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9297"/>
      </w:tblGrid>
      <w:tr w:rsidR="00F216B5" w14:paraId="57AA187E" w14:textId="77777777" w:rsidTr="00F216B5">
        <w:tc>
          <w:tcPr>
            <w:tcW w:w="2263" w:type="dxa"/>
            <w:vAlign w:val="center"/>
          </w:tcPr>
          <w:p w14:paraId="32092374" w14:textId="297BCCA4" w:rsidR="00F216B5" w:rsidRPr="00F216B5" w:rsidRDefault="00F216B5" w:rsidP="00FE1173">
            <w:pPr>
              <w:spacing w:line="276" w:lineRule="auto"/>
              <w:jc w:val="center"/>
              <w:rPr>
                <w:b/>
                <w:bCs/>
              </w:rPr>
            </w:pPr>
            <w:r w:rsidRPr="00F216B5">
              <w:rPr>
                <w:b/>
                <w:bCs/>
              </w:rPr>
              <w:t>Determinant</w:t>
            </w:r>
          </w:p>
        </w:tc>
        <w:tc>
          <w:tcPr>
            <w:tcW w:w="3828" w:type="dxa"/>
            <w:vAlign w:val="center"/>
          </w:tcPr>
          <w:p w14:paraId="23A1EDD0" w14:textId="2F8219C5" w:rsidR="00F216B5" w:rsidRPr="00F216B5" w:rsidRDefault="00F216B5" w:rsidP="00FE1173">
            <w:pPr>
              <w:spacing w:line="276" w:lineRule="auto"/>
              <w:jc w:val="center"/>
              <w:rPr>
                <w:b/>
                <w:bCs/>
              </w:rPr>
            </w:pPr>
            <w:r w:rsidRPr="00F216B5">
              <w:rPr>
                <w:b/>
                <w:bCs/>
              </w:rPr>
              <w:t>Description</w:t>
            </w:r>
          </w:p>
        </w:tc>
        <w:tc>
          <w:tcPr>
            <w:tcW w:w="9297" w:type="dxa"/>
            <w:vAlign w:val="center"/>
          </w:tcPr>
          <w:p w14:paraId="162D01C8" w14:textId="37D3E8D7" w:rsidR="00F216B5" w:rsidRPr="00F216B5" w:rsidRDefault="00F216B5" w:rsidP="00FE1173">
            <w:pPr>
              <w:spacing w:line="276" w:lineRule="auto"/>
              <w:jc w:val="center"/>
              <w:rPr>
                <w:b/>
                <w:bCs/>
              </w:rPr>
            </w:pPr>
            <w:r w:rsidRPr="00F216B5">
              <w:rPr>
                <w:b/>
                <w:bCs/>
              </w:rPr>
              <w:t>Explanation</w:t>
            </w:r>
          </w:p>
        </w:tc>
      </w:tr>
      <w:tr w:rsidR="00F216B5" w14:paraId="4FDEE82D" w14:textId="77777777" w:rsidTr="00221270">
        <w:trPr>
          <w:trHeight w:val="1512"/>
        </w:trPr>
        <w:tc>
          <w:tcPr>
            <w:tcW w:w="2263" w:type="dxa"/>
            <w:vAlign w:val="center"/>
          </w:tcPr>
          <w:p w14:paraId="337A7483" w14:textId="604DAAB0" w:rsidR="00F216B5" w:rsidRDefault="00F216B5" w:rsidP="00FE1173">
            <w:pPr>
              <w:spacing w:line="276" w:lineRule="auto"/>
              <w:jc w:val="center"/>
            </w:pPr>
            <w:r>
              <w:t>Factors influencing aggregate consumption expenditure (C)</w:t>
            </w:r>
          </w:p>
        </w:tc>
        <w:tc>
          <w:tcPr>
            <w:tcW w:w="3828" w:type="dxa"/>
            <w:vAlign w:val="center"/>
          </w:tcPr>
          <w:p w14:paraId="28152F72" w14:textId="77777777" w:rsidR="00F216B5" w:rsidRDefault="00F216B5" w:rsidP="00221270">
            <w:pPr>
              <w:spacing w:line="276" w:lineRule="auto"/>
            </w:pPr>
            <w:r>
              <w:t>Disposable income (Yd)</w:t>
            </w:r>
          </w:p>
          <w:p w14:paraId="41A834CF" w14:textId="77777777" w:rsidR="00F216B5" w:rsidRDefault="00F216B5" w:rsidP="00221270">
            <w:pPr>
              <w:spacing w:line="276" w:lineRule="auto"/>
            </w:pPr>
            <w:r>
              <w:t>Interest rates (r)</w:t>
            </w:r>
          </w:p>
          <w:p w14:paraId="1C1F4417" w14:textId="77777777" w:rsidR="00F216B5" w:rsidRDefault="00F216B5" w:rsidP="00221270">
            <w:pPr>
              <w:spacing w:line="276" w:lineRule="auto"/>
            </w:pPr>
            <w:r>
              <w:t>Expectations</w:t>
            </w:r>
          </w:p>
          <w:p w14:paraId="1713C3B9" w14:textId="77777777" w:rsidR="00F216B5" w:rsidRDefault="00F216B5" w:rsidP="00221270">
            <w:pPr>
              <w:spacing w:line="276" w:lineRule="auto"/>
            </w:pPr>
            <w:r>
              <w:t>Availability of credit</w:t>
            </w:r>
          </w:p>
          <w:p w14:paraId="7BD49E27" w14:textId="19ADA15A" w:rsidR="00F216B5" w:rsidRDefault="00F216B5" w:rsidP="00221270">
            <w:pPr>
              <w:spacing w:line="276" w:lineRule="auto"/>
            </w:pPr>
            <w:r>
              <w:t>Stock of wealth (property, shares)</w:t>
            </w:r>
          </w:p>
        </w:tc>
        <w:tc>
          <w:tcPr>
            <w:tcW w:w="9297" w:type="dxa"/>
            <w:vAlign w:val="center"/>
          </w:tcPr>
          <w:p w14:paraId="7726D765" w14:textId="77777777" w:rsidR="00F216B5" w:rsidRDefault="00FE1173" w:rsidP="00221270">
            <w:pPr>
              <w:spacing w:line="276" w:lineRule="auto"/>
            </w:pPr>
            <w:r>
              <w:t>Household spending usually lies within non-durable goods as well as durable goods, and is usually stable over the business cycle</w:t>
            </w:r>
          </w:p>
          <w:p w14:paraId="1B05A561" w14:textId="77777777" w:rsidR="00FE1173" w:rsidRDefault="00FE1173" w:rsidP="00221270">
            <w:pPr>
              <w:spacing w:line="276" w:lineRule="auto"/>
            </w:pPr>
            <w:r>
              <w:t>Yd is the most important factor</w:t>
            </w:r>
            <w:r w:rsidR="00221270">
              <w:t xml:space="preserve"> being the Y after T – more Yd means higher levels of consumption</w:t>
            </w:r>
          </w:p>
          <w:p w14:paraId="4BA425E0" w14:textId="77777777" w:rsidR="00221270" w:rsidRDefault="00221270" w:rsidP="00221270">
            <w:pPr>
              <w:spacing w:line="276" w:lineRule="auto"/>
            </w:pPr>
            <w:r>
              <w:t>The cost of credit (r) is important, low interest rates are better than higher interest rates</w:t>
            </w:r>
          </w:p>
          <w:p w14:paraId="5AF8880E" w14:textId="77777777" w:rsidR="00221270" w:rsidRDefault="00221270" w:rsidP="00221270">
            <w:pPr>
              <w:spacing w:line="276" w:lineRule="auto"/>
            </w:pPr>
            <w:r>
              <w:t>Consumer expectations influenced by media may change spending levels and patterns</w:t>
            </w:r>
          </w:p>
          <w:p w14:paraId="26C432D5" w14:textId="5CA449CD" w:rsidR="00221270" w:rsidRDefault="00221270" w:rsidP="00221270">
            <w:pPr>
              <w:spacing w:line="276" w:lineRule="auto"/>
            </w:pPr>
            <w:r>
              <w:t>Stock of wealth influences C, e.g., households with more real assets are more confident when share prices or property prices rise</w:t>
            </w:r>
          </w:p>
        </w:tc>
      </w:tr>
      <w:tr w:rsidR="00F216B5" w14:paraId="5B860EBB" w14:textId="77777777" w:rsidTr="00221270">
        <w:trPr>
          <w:trHeight w:val="1548"/>
        </w:trPr>
        <w:tc>
          <w:tcPr>
            <w:tcW w:w="2263" w:type="dxa"/>
            <w:vAlign w:val="center"/>
          </w:tcPr>
          <w:p w14:paraId="357DD52C" w14:textId="1AE0D5C0" w:rsidR="00F216B5" w:rsidRDefault="00F216B5" w:rsidP="00FE1173">
            <w:pPr>
              <w:spacing w:line="276" w:lineRule="auto"/>
              <w:jc w:val="center"/>
            </w:pPr>
            <w:r>
              <w:t>Factors influencing aggregate planned investment expenditure (Ip)</w:t>
            </w:r>
          </w:p>
        </w:tc>
        <w:tc>
          <w:tcPr>
            <w:tcW w:w="3828" w:type="dxa"/>
            <w:vAlign w:val="center"/>
          </w:tcPr>
          <w:p w14:paraId="24DDB91F" w14:textId="77777777" w:rsidR="00F216B5" w:rsidRDefault="00F216B5" w:rsidP="00221270">
            <w:pPr>
              <w:spacing w:line="276" w:lineRule="auto"/>
            </w:pPr>
            <w:r>
              <w:t>Business expectations</w:t>
            </w:r>
          </w:p>
          <w:p w14:paraId="45A96DA6" w14:textId="77777777" w:rsidR="00F216B5" w:rsidRDefault="00F216B5" w:rsidP="00221270">
            <w:pPr>
              <w:spacing w:line="276" w:lineRule="auto"/>
            </w:pPr>
            <w:r>
              <w:t>Interest rates (r)</w:t>
            </w:r>
          </w:p>
          <w:p w14:paraId="5692DA01" w14:textId="77777777" w:rsidR="00F216B5" w:rsidRDefault="00F216B5" w:rsidP="00221270">
            <w:pPr>
              <w:spacing w:line="276" w:lineRule="auto"/>
              <w:rPr>
                <w:rFonts w:ascii="pi" w:eastAsiaTheme="minorEastAsia" w:hAnsi="pi"/>
              </w:rPr>
            </w:pPr>
            <w:r>
              <w:t xml:space="preserve">Level of past profits </w:t>
            </w:r>
            <w:r>
              <w:rPr>
                <w:rFonts w:ascii="pi" w:hAnsi="p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(π)</m:t>
              </m:r>
            </m:oMath>
          </w:p>
          <w:p w14:paraId="3767D61F" w14:textId="3A14F64A" w:rsidR="00F216B5" w:rsidRDefault="00F216B5" w:rsidP="00221270">
            <w:pPr>
              <w:spacing w:line="276" w:lineRule="auto"/>
            </w:pPr>
            <w:r>
              <w:t>Government policies (e.g. taxation)</w:t>
            </w:r>
          </w:p>
        </w:tc>
        <w:tc>
          <w:tcPr>
            <w:tcW w:w="9297" w:type="dxa"/>
            <w:vAlign w:val="center"/>
          </w:tcPr>
          <w:p w14:paraId="3AF8DAA2" w14:textId="77777777" w:rsidR="00F216B5" w:rsidRDefault="00221270" w:rsidP="00221270">
            <w:pPr>
              <w:spacing w:line="276" w:lineRule="auto"/>
            </w:pPr>
            <w:r>
              <w:t>Expenditure on new capital goods that will be used to produce final goods and services</w:t>
            </w:r>
          </w:p>
          <w:p w14:paraId="47F6B5DF" w14:textId="12E8606F" w:rsidR="00221270" w:rsidRDefault="00221270" w:rsidP="00221270">
            <w:pPr>
              <w:spacing w:line="276" w:lineRule="auto"/>
            </w:pPr>
            <w:r>
              <w:t>Expectations of returns influence business spending on investment (expectations regarding current economic activity and future trends</w:t>
            </w:r>
          </w:p>
          <w:p w14:paraId="554F1BF5" w14:textId="77777777" w:rsidR="00221270" w:rsidRDefault="00221270" w:rsidP="00221270">
            <w:pPr>
              <w:spacing w:line="276" w:lineRule="auto"/>
            </w:pPr>
            <w:r>
              <w:t>Ceteris paribus, interest rates and level of Ip expenditure are negatively related</w:t>
            </w:r>
          </w:p>
          <w:p w14:paraId="258E34A3" w14:textId="7A1621EB" w:rsidR="00221270" w:rsidRDefault="00221270" w:rsidP="00221270">
            <w:pPr>
              <w:spacing w:line="276" w:lineRule="auto"/>
            </w:pPr>
            <w:r>
              <w:t>Government policies impact private investment, e.g. fiscal and monetary policy</w:t>
            </w:r>
          </w:p>
        </w:tc>
      </w:tr>
      <w:tr w:rsidR="00F216B5" w14:paraId="437215A6" w14:textId="77777777" w:rsidTr="00221270">
        <w:trPr>
          <w:trHeight w:val="1556"/>
        </w:trPr>
        <w:tc>
          <w:tcPr>
            <w:tcW w:w="2263" w:type="dxa"/>
            <w:vAlign w:val="center"/>
          </w:tcPr>
          <w:p w14:paraId="40EFFAA5" w14:textId="157507C5" w:rsidR="00F216B5" w:rsidRDefault="00F216B5" w:rsidP="00FE1173">
            <w:pPr>
              <w:spacing w:line="276" w:lineRule="auto"/>
              <w:jc w:val="center"/>
            </w:pPr>
            <w:r>
              <w:t>Factors influencing government expenditure (G)</w:t>
            </w:r>
          </w:p>
        </w:tc>
        <w:tc>
          <w:tcPr>
            <w:tcW w:w="3828" w:type="dxa"/>
            <w:vAlign w:val="center"/>
          </w:tcPr>
          <w:p w14:paraId="0E27EF07" w14:textId="77777777" w:rsidR="00F216B5" w:rsidRDefault="00F216B5" w:rsidP="00221270">
            <w:pPr>
              <w:spacing w:line="276" w:lineRule="auto"/>
            </w:pPr>
            <w:r>
              <w:t>Discretionary changes in accordance with government policy objectives, e.g. social policies, health, education</w:t>
            </w:r>
          </w:p>
          <w:p w14:paraId="08654B75" w14:textId="77777777" w:rsidR="00F216B5" w:rsidRDefault="00F216B5" w:rsidP="00221270">
            <w:pPr>
              <w:spacing w:line="276" w:lineRule="auto"/>
            </w:pPr>
            <w:r>
              <w:t>Automatic changes due to the business cycle</w:t>
            </w:r>
          </w:p>
          <w:p w14:paraId="516F5632" w14:textId="2EA6C5E1" w:rsidR="00F216B5" w:rsidRDefault="00F216B5" w:rsidP="00221270">
            <w:pPr>
              <w:spacing w:line="276" w:lineRule="auto"/>
            </w:pPr>
            <w:r>
              <w:t>Can be used to stabilise macroeconomic fluctuations</w:t>
            </w:r>
          </w:p>
        </w:tc>
        <w:tc>
          <w:tcPr>
            <w:tcW w:w="9297" w:type="dxa"/>
            <w:vAlign w:val="center"/>
          </w:tcPr>
          <w:p w14:paraId="71406E64" w14:textId="77777777" w:rsidR="00F216B5" w:rsidRDefault="00221270" w:rsidP="00221270">
            <w:pPr>
              <w:spacing w:line="276" w:lineRule="auto"/>
            </w:pPr>
            <w:r>
              <w:t>Majority of G is on current items (goods and services consumed by government institutions and wages and salaries paid to employees)</w:t>
            </w:r>
          </w:p>
          <w:p w14:paraId="7F62B004" w14:textId="77777777" w:rsidR="00221270" w:rsidRDefault="00221270" w:rsidP="00221270">
            <w:pPr>
              <w:spacing w:line="276" w:lineRule="auto"/>
            </w:pPr>
            <w:r>
              <w:t>Undertaking in production essential infrastructure involves decisions governed by the need to provide appropriate levels of service across all communities</w:t>
            </w:r>
          </w:p>
          <w:p w14:paraId="374A963B" w14:textId="347B54E6" w:rsidR="00221270" w:rsidRDefault="00221270" w:rsidP="00221270">
            <w:pPr>
              <w:spacing w:line="276" w:lineRule="auto"/>
            </w:pPr>
            <w:r>
              <w:t>Economic factors are not considered central to government consumption and investment decisions and rather affect government policy decisions</w:t>
            </w:r>
          </w:p>
        </w:tc>
      </w:tr>
      <w:tr w:rsidR="00F216B5" w14:paraId="627258A6" w14:textId="77777777" w:rsidTr="00221270">
        <w:trPr>
          <w:trHeight w:val="1548"/>
        </w:trPr>
        <w:tc>
          <w:tcPr>
            <w:tcW w:w="2263" w:type="dxa"/>
            <w:vAlign w:val="center"/>
          </w:tcPr>
          <w:p w14:paraId="0AB54E56" w14:textId="3D2CEB2E" w:rsidR="00F216B5" w:rsidRDefault="00F216B5" w:rsidP="00FE1173">
            <w:pPr>
              <w:spacing w:line="276" w:lineRule="auto"/>
              <w:jc w:val="center"/>
            </w:pPr>
            <w:r>
              <w:t>Factors influencing net exports (X-M)</w:t>
            </w:r>
          </w:p>
        </w:tc>
        <w:tc>
          <w:tcPr>
            <w:tcW w:w="3828" w:type="dxa"/>
            <w:vAlign w:val="center"/>
          </w:tcPr>
          <w:p w14:paraId="7584A548" w14:textId="77777777" w:rsidR="00F216B5" w:rsidRDefault="00F216B5" w:rsidP="00221270">
            <w:pPr>
              <w:spacing w:line="276" w:lineRule="auto"/>
            </w:pPr>
            <w:r>
              <w:t>Level of domestic and overseas domestic activity</w:t>
            </w:r>
          </w:p>
          <w:p w14:paraId="65CA3CE4" w14:textId="77777777" w:rsidR="00F216B5" w:rsidRDefault="00F216B5" w:rsidP="00221270">
            <w:pPr>
              <w:spacing w:line="276" w:lineRule="auto"/>
            </w:pPr>
            <w:r>
              <w:t>Exchange rates</w:t>
            </w:r>
          </w:p>
          <w:p w14:paraId="0F13FC32" w14:textId="77777777" w:rsidR="00F216B5" w:rsidRDefault="00F216B5" w:rsidP="00221270">
            <w:pPr>
              <w:spacing w:line="276" w:lineRule="auto"/>
            </w:pPr>
            <w:r>
              <w:t>Terms of trade</w:t>
            </w:r>
          </w:p>
          <w:p w14:paraId="688AE23A" w14:textId="4E3DAE2F" w:rsidR="00F216B5" w:rsidRDefault="00F216B5" w:rsidP="00221270">
            <w:pPr>
              <w:spacing w:line="276" w:lineRule="auto"/>
            </w:pPr>
            <w:r>
              <w:t>Presence of protection (e.g. tariffs)</w:t>
            </w:r>
          </w:p>
        </w:tc>
        <w:tc>
          <w:tcPr>
            <w:tcW w:w="9297" w:type="dxa"/>
            <w:vAlign w:val="center"/>
          </w:tcPr>
          <w:p w14:paraId="59A109BB" w14:textId="77777777" w:rsidR="00F216B5" w:rsidRDefault="00221270" w:rsidP="00221270">
            <w:pPr>
              <w:spacing w:line="276" w:lineRule="auto"/>
            </w:pPr>
            <w:r>
              <w:t>Exports and imports are reasonably volatile components of aggregate expenditure, particularly in Australia</w:t>
            </w:r>
          </w:p>
          <w:p w14:paraId="66323873" w14:textId="77777777" w:rsidR="00221270" w:rsidRDefault="00221270" w:rsidP="00221270">
            <w:pPr>
              <w:spacing w:line="276" w:lineRule="auto"/>
            </w:pPr>
            <w:r>
              <w:t>Overseas demand for Australian commodity exports and domestic demand for overseas imports influence X-M</w:t>
            </w:r>
          </w:p>
          <w:p w14:paraId="752DD6DE" w14:textId="77777777" w:rsidR="00221270" w:rsidRDefault="00221270" w:rsidP="00221270">
            <w:pPr>
              <w:spacing w:line="276" w:lineRule="auto"/>
            </w:pPr>
            <w:r>
              <w:t>Exchange rates influence X-M, when $A appreciates, domestic residents can by more units of other currencies so imports are cheaper and more competive and vice versa</w:t>
            </w:r>
          </w:p>
          <w:p w14:paraId="51FEAEFF" w14:textId="77777777" w:rsidR="00221270" w:rsidRDefault="00221270" w:rsidP="00221270">
            <w:pPr>
              <w:spacing w:line="276" w:lineRule="auto"/>
            </w:pPr>
            <w:r>
              <w:t>Movements in the ToT are significant (XPI and MPI)</w:t>
            </w:r>
          </w:p>
          <w:p w14:paraId="3315B29F" w14:textId="02AA4B2A" w:rsidR="00221270" w:rsidRDefault="00221270" w:rsidP="00221270">
            <w:pPr>
              <w:spacing w:line="276" w:lineRule="auto"/>
            </w:pPr>
            <w:r>
              <w:t>Protectionist policies impact trade</w:t>
            </w:r>
          </w:p>
        </w:tc>
      </w:tr>
    </w:tbl>
    <w:p w14:paraId="55AAD50C" w14:textId="77777777" w:rsidR="00F216B5" w:rsidRDefault="00F216B5"/>
    <w:sectPr w:rsidR="00F216B5" w:rsidSect="00F216B5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A3AFD" w14:textId="77777777" w:rsidR="00E549F4" w:rsidRDefault="00E549F4" w:rsidP="00F216B5">
      <w:r>
        <w:separator/>
      </w:r>
    </w:p>
  </w:endnote>
  <w:endnote w:type="continuationSeparator" w:id="0">
    <w:p w14:paraId="53BB2747" w14:textId="77777777" w:rsidR="00E549F4" w:rsidRDefault="00E549F4" w:rsidP="00F2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13F7D" w14:textId="77777777" w:rsidR="00E549F4" w:rsidRDefault="00E549F4" w:rsidP="00F216B5">
      <w:r>
        <w:separator/>
      </w:r>
    </w:p>
  </w:footnote>
  <w:footnote w:type="continuationSeparator" w:id="0">
    <w:p w14:paraId="7F3A7E63" w14:textId="77777777" w:rsidR="00E549F4" w:rsidRDefault="00E549F4" w:rsidP="00F21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A6B4" w14:textId="067D6974" w:rsidR="00F216B5" w:rsidRPr="00F216B5" w:rsidRDefault="00F216B5">
    <w:pPr>
      <w:pStyle w:val="Header"/>
      <w:rPr>
        <w:color w:val="808080" w:themeColor="background1" w:themeShade="80"/>
      </w:rPr>
    </w:pPr>
    <w:r w:rsidRPr="00F216B5">
      <w:rPr>
        <w:b/>
        <w:bCs/>
        <w:color w:val="808080" w:themeColor="background1" w:themeShade="80"/>
      </w:rPr>
      <w:ptab w:relativeTo="margin" w:alignment="center" w:leader="none"/>
    </w:r>
    <w:r w:rsidRPr="00F216B5">
      <w:rPr>
        <w:b/>
        <w:bCs/>
        <w:color w:val="808080" w:themeColor="background1" w:themeShade="80"/>
      </w:rPr>
      <w:t>ATAR Economics – Unit 4</w:t>
    </w:r>
    <w:r w:rsidRPr="00F216B5">
      <w:rPr>
        <w:b/>
        <w:bCs/>
        <w:color w:val="808080" w:themeColor="background1" w:themeShade="80"/>
      </w:rPr>
      <w:ptab w:relativeTo="margin" w:alignment="right" w:leader="none"/>
    </w:r>
  </w:p>
  <w:p w14:paraId="200B5849" w14:textId="77777777" w:rsidR="00F216B5" w:rsidRDefault="00F21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B5"/>
    <w:rsid w:val="00221270"/>
    <w:rsid w:val="00E549F4"/>
    <w:rsid w:val="00F216B5"/>
    <w:rsid w:val="00F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C2365"/>
  <w15:chartTrackingRefBased/>
  <w15:docId w15:val="{D985CDC2-28C5-F24E-A79F-501C22C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B5"/>
  </w:style>
  <w:style w:type="paragraph" w:styleId="Footer">
    <w:name w:val="footer"/>
    <w:basedOn w:val="Normal"/>
    <w:link w:val="FooterChar"/>
    <w:uiPriority w:val="99"/>
    <w:unhideWhenUsed/>
    <w:rsid w:val="00F21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B5"/>
  </w:style>
  <w:style w:type="table" w:styleId="TableGrid">
    <w:name w:val="Table Grid"/>
    <w:basedOn w:val="TableNormal"/>
    <w:uiPriority w:val="39"/>
    <w:rsid w:val="00F21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1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412</Words>
  <Characters>2187</Characters>
  <Application>Microsoft Office Word</Application>
  <DocSecurity>0</DocSecurity>
  <Lines>39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1</cp:revision>
  <dcterms:created xsi:type="dcterms:W3CDTF">2021-06-21T01:59:00Z</dcterms:created>
  <dcterms:modified xsi:type="dcterms:W3CDTF">2021-06-21T04:44:00Z</dcterms:modified>
</cp:coreProperties>
</file>