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EDE27" w14:textId="702BB8FE" w:rsidR="00494CA7" w:rsidRDefault="00494CA7" w:rsidP="00494CA7">
      <w:pPr>
        <w:spacing w:line="276" w:lineRule="auto"/>
        <w:jc w:val="center"/>
        <w:rPr>
          <w:b/>
          <w:bCs/>
        </w:rPr>
      </w:pPr>
      <w:r>
        <w:rPr>
          <w:b/>
          <w:bCs/>
        </w:rPr>
        <w:t>Monetary policy</w:t>
      </w:r>
    </w:p>
    <w:p w14:paraId="7A6AE156" w14:textId="71539CFF" w:rsidR="00494CA7" w:rsidRDefault="00494CA7" w:rsidP="00494CA7">
      <w:pPr>
        <w:spacing w:line="276" w:lineRule="auto"/>
        <w:rPr>
          <w:b/>
          <w:bCs/>
        </w:rPr>
      </w:pPr>
    </w:p>
    <w:p w14:paraId="6AB308B6" w14:textId="77777777" w:rsidR="00494CA7" w:rsidRDefault="00494CA7" w:rsidP="00494CA7">
      <w:pPr>
        <w:pStyle w:val="ListParagraph"/>
        <w:numPr>
          <w:ilvl w:val="0"/>
          <w:numId w:val="1"/>
        </w:numPr>
        <w:spacing w:line="276" w:lineRule="auto"/>
        <w:jc w:val="both"/>
      </w:pPr>
      <w:r>
        <w:rPr>
          <w:noProof/>
        </w:rPr>
        <w:drawing>
          <wp:anchor distT="0" distB="0" distL="114300" distR="114300" simplePos="0" relativeHeight="251658240" behindDoc="0" locked="0" layoutInCell="1" allowOverlap="1" wp14:anchorId="031430E4" wp14:editId="46991B3C">
            <wp:simplePos x="0" y="0"/>
            <wp:positionH relativeFrom="column">
              <wp:posOffset>2922270</wp:posOffset>
            </wp:positionH>
            <wp:positionV relativeFrom="paragraph">
              <wp:posOffset>10795</wp:posOffset>
            </wp:positionV>
            <wp:extent cx="3716020" cy="3103245"/>
            <wp:effectExtent l="0" t="12700" r="5080" b="209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t>There are three types of financial markets</w:t>
      </w:r>
    </w:p>
    <w:p w14:paraId="6491DC74" w14:textId="77777777" w:rsidR="00494CA7" w:rsidRDefault="00494CA7" w:rsidP="00494CA7">
      <w:pPr>
        <w:spacing w:line="276" w:lineRule="auto"/>
        <w:jc w:val="both"/>
      </w:pPr>
    </w:p>
    <w:p w14:paraId="191103D1" w14:textId="77777777" w:rsidR="00494CA7" w:rsidRDefault="00494CA7" w:rsidP="00494CA7">
      <w:pPr>
        <w:pStyle w:val="ListParagraph"/>
        <w:numPr>
          <w:ilvl w:val="0"/>
          <w:numId w:val="2"/>
        </w:numPr>
        <w:spacing w:line="276" w:lineRule="auto"/>
        <w:jc w:val="both"/>
      </w:pPr>
      <w:r w:rsidRPr="00494CA7">
        <w:rPr>
          <w:b/>
          <w:bCs/>
        </w:rPr>
        <w:t>Loan markets</w:t>
      </w:r>
      <w:r>
        <w:t xml:space="preserve"> – in which business firms borrow money to purchase assets and capital equipment, and households borrow to fund their housing mortgage, buy consumer durables and pay for holidays – banks, finance companies and credit unions are part of the loan market</w:t>
      </w:r>
    </w:p>
    <w:p w14:paraId="0AE0CE08" w14:textId="77777777" w:rsidR="00494CA7" w:rsidRDefault="00494CA7" w:rsidP="00494CA7">
      <w:pPr>
        <w:pStyle w:val="ListParagraph"/>
        <w:numPr>
          <w:ilvl w:val="0"/>
          <w:numId w:val="2"/>
        </w:numPr>
        <w:spacing w:line="276" w:lineRule="auto"/>
        <w:jc w:val="both"/>
      </w:pPr>
      <w:r>
        <w:rPr>
          <w:b/>
          <w:bCs/>
        </w:rPr>
        <w:t xml:space="preserve">Bond markets </w:t>
      </w:r>
      <w:r>
        <w:t>– in which firms and governments sell bonds to raise finance – a bond is known as a fixed interest security</w:t>
      </w:r>
    </w:p>
    <w:p w14:paraId="00A4D8B8" w14:textId="4D240D00" w:rsidR="00494CA7" w:rsidRDefault="00494CA7" w:rsidP="00494CA7">
      <w:pPr>
        <w:pStyle w:val="ListParagraph"/>
        <w:numPr>
          <w:ilvl w:val="0"/>
          <w:numId w:val="2"/>
        </w:numPr>
        <w:spacing w:line="276" w:lineRule="auto"/>
        <w:jc w:val="both"/>
      </w:pPr>
      <w:r>
        <w:rPr>
          <w:b/>
          <w:bCs/>
        </w:rPr>
        <w:t>Share markets</w:t>
      </w:r>
      <w:r>
        <w:t xml:space="preserve"> – in which firms can obtain finance by issuing new shares through the stock market</w:t>
      </w:r>
    </w:p>
    <w:p w14:paraId="7B13A199" w14:textId="7356C509" w:rsidR="00A84188" w:rsidRDefault="00A84188" w:rsidP="00A84188">
      <w:pPr>
        <w:spacing w:line="276" w:lineRule="auto"/>
        <w:jc w:val="both"/>
      </w:pPr>
    </w:p>
    <w:p w14:paraId="3EB00A49" w14:textId="4B200DC0" w:rsidR="009D6B8A" w:rsidRDefault="00A84188" w:rsidP="00A84188">
      <w:pPr>
        <w:pStyle w:val="ListParagraph"/>
        <w:numPr>
          <w:ilvl w:val="0"/>
          <w:numId w:val="4"/>
        </w:numPr>
        <w:spacing w:line="276" w:lineRule="auto"/>
        <w:jc w:val="both"/>
      </w:pPr>
      <w:r>
        <w:t>Money functions as a medium/mean of exchange – an item that everyone is confident in using to trade, money is a unit of measurement</w:t>
      </w:r>
    </w:p>
    <w:p w14:paraId="07A0EC9B" w14:textId="6FB4C9E4" w:rsidR="009D6B8A" w:rsidRDefault="009D6B8A" w:rsidP="00A84188">
      <w:pPr>
        <w:pStyle w:val="ListParagraph"/>
        <w:numPr>
          <w:ilvl w:val="0"/>
          <w:numId w:val="4"/>
        </w:numPr>
        <w:spacing w:line="276" w:lineRule="auto"/>
        <w:jc w:val="both"/>
      </w:pPr>
      <w:r>
        <w:t>M</w:t>
      </w:r>
      <w:r w:rsidR="00A84188">
        <w:t>oney measures and compares and compares prices, incomes and profit</w:t>
      </w:r>
    </w:p>
    <w:p w14:paraId="5A99D2C5" w14:textId="1DC46D48" w:rsidR="00A84188" w:rsidRDefault="009D6B8A" w:rsidP="00A84188">
      <w:pPr>
        <w:pStyle w:val="ListParagraph"/>
        <w:numPr>
          <w:ilvl w:val="0"/>
          <w:numId w:val="4"/>
        </w:numPr>
        <w:spacing w:line="276" w:lineRule="auto"/>
        <w:jc w:val="both"/>
      </w:pPr>
      <w:r>
        <w:t>M</w:t>
      </w:r>
      <w:r w:rsidR="00A84188">
        <w:t>oney is a store of value – money can be saved and used for future transactions</w:t>
      </w:r>
    </w:p>
    <w:p w14:paraId="736F685A" w14:textId="760CD961" w:rsidR="00A84188" w:rsidRDefault="00A84188" w:rsidP="00A84188">
      <w:pPr>
        <w:pStyle w:val="ListParagraph"/>
        <w:numPr>
          <w:ilvl w:val="0"/>
          <w:numId w:val="4"/>
        </w:numPr>
        <w:spacing w:line="276" w:lineRule="auto"/>
        <w:jc w:val="both"/>
      </w:pPr>
      <w:r>
        <w:t>An important role for the government is to ensure that the financial sector is stable – different organisations which monitor and ensure this include the Reserve Bank of Australia (RBA), the Australian Securities and Investment Commission (ASIC) and Australian Prudential Regulation Authority (APRA)</w:t>
      </w:r>
    </w:p>
    <w:p w14:paraId="65FC518D" w14:textId="615E399E" w:rsidR="00A84188" w:rsidRDefault="00A84188" w:rsidP="00A84188">
      <w:pPr>
        <w:spacing w:line="276" w:lineRule="auto"/>
        <w:jc w:val="both"/>
      </w:pPr>
    </w:p>
    <w:p w14:paraId="76D55D0E" w14:textId="0949053A" w:rsidR="00A84188" w:rsidRDefault="00A84188" w:rsidP="00A84188">
      <w:pPr>
        <w:spacing w:line="276" w:lineRule="auto"/>
        <w:jc w:val="center"/>
        <w:rPr>
          <w:b/>
          <w:bCs/>
        </w:rPr>
      </w:pPr>
      <w:r>
        <w:rPr>
          <w:b/>
          <w:bCs/>
        </w:rPr>
        <w:t>Interest rates</w:t>
      </w:r>
    </w:p>
    <w:p w14:paraId="3D73478D" w14:textId="0A8CBE0C" w:rsidR="00A84188" w:rsidRDefault="00A84188" w:rsidP="00A84188">
      <w:pPr>
        <w:spacing w:line="276" w:lineRule="auto"/>
        <w:rPr>
          <w:b/>
          <w:bCs/>
        </w:rPr>
      </w:pPr>
    </w:p>
    <w:p w14:paraId="54639352" w14:textId="1AB22E57" w:rsidR="00A84188" w:rsidRDefault="00A84188" w:rsidP="00A84188">
      <w:pPr>
        <w:pStyle w:val="ListParagraph"/>
        <w:numPr>
          <w:ilvl w:val="0"/>
          <w:numId w:val="5"/>
        </w:numPr>
        <w:spacing w:line="276" w:lineRule="auto"/>
        <w:jc w:val="both"/>
      </w:pPr>
      <w:r>
        <w:t>Interest rates are the price of money (the price of credit), where the nominal interest rate is the headline rate and the real interest rate is the headline rate minus inflation</w:t>
      </w:r>
    </w:p>
    <w:p w14:paraId="468EDE0F" w14:textId="1D7EBE5E" w:rsidR="00A84188" w:rsidRDefault="00A84188" w:rsidP="00A84188">
      <w:pPr>
        <w:pStyle w:val="ListParagraph"/>
        <w:numPr>
          <w:ilvl w:val="0"/>
          <w:numId w:val="5"/>
        </w:numPr>
        <w:spacing w:line="276" w:lineRule="auto"/>
        <w:jc w:val="both"/>
      </w:pPr>
      <w:r>
        <w:t>We have to pay people interest when we borrow money for a number of reasons; 1. To compensate for inflation, 2. To eliminate the risk of not being paid back, 3. Most people prefer to have their money in their possession (liquidity preference), so we compensate for their liquidity preference – all three counts are used to compensate the lender</w:t>
      </w:r>
    </w:p>
    <w:p w14:paraId="2259D46C" w14:textId="25E6A8F6" w:rsidR="00A84188" w:rsidRDefault="00A84188" w:rsidP="00A84188">
      <w:pPr>
        <w:spacing w:line="276" w:lineRule="auto"/>
        <w:jc w:val="both"/>
      </w:pPr>
    </w:p>
    <w:p w14:paraId="1CECA7FB" w14:textId="015B3F44" w:rsidR="00A84188" w:rsidRDefault="00A84188" w:rsidP="00A84188">
      <w:pPr>
        <w:spacing w:line="276" w:lineRule="auto"/>
        <w:jc w:val="center"/>
        <w:rPr>
          <w:b/>
          <w:bCs/>
        </w:rPr>
      </w:pPr>
      <w:r>
        <w:rPr>
          <w:b/>
          <w:bCs/>
        </w:rPr>
        <w:t>The objectives of monetary policy</w:t>
      </w:r>
    </w:p>
    <w:p w14:paraId="4F33B188" w14:textId="0D2E9A28" w:rsidR="00A84188" w:rsidRDefault="00A84188" w:rsidP="00A84188">
      <w:pPr>
        <w:spacing w:line="276" w:lineRule="auto"/>
        <w:rPr>
          <w:b/>
          <w:bCs/>
        </w:rPr>
      </w:pPr>
    </w:p>
    <w:p w14:paraId="4FDCABA6" w14:textId="00A99E3C" w:rsidR="00A84188" w:rsidRDefault="00A84188" w:rsidP="00A84188">
      <w:pPr>
        <w:pStyle w:val="ListParagraph"/>
        <w:numPr>
          <w:ilvl w:val="0"/>
          <w:numId w:val="6"/>
        </w:numPr>
        <w:spacing w:line="276" w:lineRule="auto"/>
      </w:pPr>
      <w:r>
        <w:t>The stability of the currency (price stability or low inflation)</w:t>
      </w:r>
    </w:p>
    <w:p w14:paraId="062803F2" w14:textId="14C3A168" w:rsidR="00A84188" w:rsidRDefault="00A84188" w:rsidP="00A84188">
      <w:pPr>
        <w:pStyle w:val="ListParagraph"/>
        <w:numPr>
          <w:ilvl w:val="0"/>
          <w:numId w:val="6"/>
        </w:numPr>
        <w:spacing w:line="276" w:lineRule="auto"/>
      </w:pPr>
      <w:r>
        <w:t>The maintenance of full employment (low unemployment)</w:t>
      </w:r>
    </w:p>
    <w:p w14:paraId="3013E13C" w14:textId="53A46D52" w:rsidR="00A84188" w:rsidRDefault="00A84188" w:rsidP="00A84188">
      <w:pPr>
        <w:pStyle w:val="ListParagraph"/>
        <w:numPr>
          <w:ilvl w:val="0"/>
          <w:numId w:val="6"/>
        </w:numPr>
        <w:spacing w:line="276" w:lineRule="auto"/>
      </w:pPr>
      <w:r>
        <w:t>The economic prosperity and welfare of the people of Australian</w:t>
      </w:r>
    </w:p>
    <w:p w14:paraId="6602BFC6" w14:textId="34F39E3D" w:rsidR="00A84188" w:rsidRDefault="00A84188" w:rsidP="00A84188">
      <w:pPr>
        <w:spacing w:line="276" w:lineRule="auto"/>
      </w:pPr>
    </w:p>
    <w:p w14:paraId="010A54CB" w14:textId="0B2773F4" w:rsidR="00A84188" w:rsidRDefault="00A84188" w:rsidP="00A84188">
      <w:pPr>
        <w:pStyle w:val="ListParagraph"/>
        <w:numPr>
          <w:ilvl w:val="0"/>
          <w:numId w:val="7"/>
        </w:numPr>
        <w:spacing w:line="276" w:lineRule="auto"/>
        <w:jc w:val="both"/>
      </w:pPr>
      <w:r>
        <w:t>Inflation erodes the value of money in terms of currency and savings, so given a nominal value of an asset will diminish the value of the asset</w:t>
      </w:r>
    </w:p>
    <w:p w14:paraId="039809EC" w14:textId="02B914C7" w:rsidR="00A84188" w:rsidRDefault="00A84188" w:rsidP="00A84188">
      <w:pPr>
        <w:pStyle w:val="ListParagraph"/>
        <w:numPr>
          <w:ilvl w:val="0"/>
          <w:numId w:val="7"/>
        </w:numPr>
        <w:spacing w:line="276" w:lineRule="auto"/>
        <w:jc w:val="both"/>
      </w:pPr>
      <w:r>
        <w:lastRenderedPageBreak/>
        <w:t>Inflation tends to reward ‘non-productive investment’, for example, renting out a house but not increasing the number of houses means that house prices increase with no production – hence, non-productive – it simply alters the value of assets</w:t>
      </w:r>
    </w:p>
    <w:p w14:paraId="1E98ADBF" w14:textId="64C120E2" w:rsidR="00494CA7" w:rsidRDefault="00A84188" w:rsidP="00494CA7">
      <w:pPr>
        <w:pStyle w:val="ListParagraph"/>
        <w:numPr>
          <w:ilvl w:val="0"/>
          <w:numId w:val="7"/>
        </w:numPr>
        <w:spacing w:line="276" w:lineRule="auto"/>
        <w:jc w:val="both"/>
      </w:pPr>
      <w:r>
        <w:t>Inflation rewards borrowing and punishes lending</w:t>
      </w:r>
      <w:r w:rsidR="00663BFB">
        <w:t>, and high inflation will also jeopardise our international trade as goods from overseas will become relatively cheap but our goods overseas will be more expensive</w:t>
      </w:r>
    </w:p>
    <w:p w14:paraId="60176FFE" w14:textId="77777777" w:rsidR="00B554C7" w:rsidRDefault="00B554C7" w:rsidP="00B554C7">
      <w:pPr>
        <w:pStyle w:val="ListParagraph"/>
        <w:spacing w:line="276" w:lineRule="auto"/>
        <w:ind w:left="360"/>
        <w:jc w:val="both"/>
      </w:pPr>
    </w:p>
    <w:p w14:paraId="4CBA5793" w14:textId="4CB0853E" w:rsidR="00663BFB" w:rsidRDefault="00663BFB" w:rsidP="00663BFB">
      <w:pPr>
        <w:spacing w:line="276" w:lineRule="auto"/>
        <w:jc w:val="center"/>
        <w:rPr>
          <w:b/>
          <w:bCs/>
        </w:rPr>
      </w:pPr>
      <w:r>
        <w:rPr>
          <w:b/>
          <w:bCs/>
        </w:rPr>
        <w:t>How is monetary policy implemented?</w:t>
      </w:r>
    </w:p>
    <w:p w14:paraId="134C8A75" w14:textId="7A686252" w:rsidR="00663BFB" w:rsidRDefault="00663BFB" w:rsidP="00663BFB">
      <w:pPr>
        <w:spacing w:line="276" w:lineRule="auto"/>
        <w:rPr>
          <w:b/>
          <w:bCs/>
        </w:rPr>
      </w:pPr>
    </w:p>
    <w:p w14:paraId="1190F05C" w14:textId="27BC6148" w:rsidR="00663BFB" w:rsidRDefault="007C17A8" w:rsidP="009D6B8A">
      <w:pPr>
        <w:pStyle w:val="ListParagraph"/>
        <w:numPr>
          <w:ilvl w:val="0"/>
          <w:numId w:val="8"/>
        </w:numPr>
        <w:spacing w:line="276" w:lineRule="auto"/>
        <w:jc w:val="both"/>
      </w:pPr>
      <w:r>
        <w:t>Monetary policy is implemented through the cash rate; the cash rate is the interest rate which the RBA charges on overnight loans by Australian banks (e.g., Bendigo, Westpac, ANZ etc.) – in theory, when the cash rate rises, the interest rates on financial products also rise as the interest rate they are charged by the RBA are also increased</w:t>
      </w:r>
    </w:p>
    <w:p w14:paraId="00ECDB88" w14:textId="16FA3798" w:rsidR="009D6B8A" w:rsidRDefault="009D6B8A" w:rsidP="009D6B8A">
      <w:pPr>
        <w:pStyle w:val="ListParagraph"/>
        <w:numPr>
          <w:ilvl w:val="0"/>
          <w:numId w:val="8"/>
        </w:numPr>
        <w:spacing w:line="276" w:lineRule="auto"/>
        <w:jc w:val="both"/>
      </w:pPr>
      <w:r>
        <w:t>The RBA announces a cash rate target, then uses open market operations (OMOs) to achieve that target in the interbank market – the market is made up of banks and a small number of other financial institutions, which are collectively known as approved deposit-taking institutions (ADIs)</w:t>
      </w:r>
    </w:p>
    <w:p w14:paraId="025ECA47" w14:textId="29F65C8A" w:rsidR="00B82A4C" w:rsidRDefault="00B82A4C" w:rsidP="009D6B8A">
      <w:pPr>
        <w:pStyle w:val="ListParagraph"/>
        <w:numPr>
          <w:ilvl w:val="0"/>
          <w:numId w:val="8"/>
        </w:numPr>
        <w:spacing w:line="276" w:lineRule="auto"/>
        <w:jc w:val="both"/>
      </w:pPr>
      <w:r>
        <w:t>Banks keep ‘exchange settlement accounts’ at the RBA in order to settle their day-to-day transactions – the daily demand for cash in ESA accounts fluctuates as banks meet their mutual obligations, and banks either borrow or deposit from/in the RBA</w:t>
      </w:r>
    </w:p>
    <w:p w14:paraId="5B719034" w14:textId="1833831C" w:rsidR="00481FA3" w:rsidRDefault="00B82A4C" w:rsidP="009D6B8A">
      <w:pPr>
        <w:pStyle w:val="ListParagraph"/>
        <w:numPr>
          <w:ilvl w:val="0"/>
          <w:numId w:val="8"/>
        </w:numPr>
        <w:spacing w:line="276" w:lineRule="auto"/>
        <w:jc w:val="both"/>
      </w:pPr>
      <w:r>
        <w:t>The RBA supplies the funds to maintain liquidity through repurchase agreements (repo</w:t>
      </w:r>
      <w:r w:rsidR="00F351F7">
        <w:t>s), government bonds and foreign exchange swaps</w:t>
      </w:r>
    </w:p>
    <w:p w14:paraId="0B398831" w14:textId="3EC68049" w:rsidR="009D6B8A" w:rsidRDefault="009D6B8A" w:rsidP="009D6B8A">
      <w:pPr>
        <w:pStyle w:val="ListParagraph"/>
        <w:numPr>
          <w:ilvl w:val="0"/>
          <w:numId w:val="8"/>
        </w:numPr>
        <w:spacing w:line="276" w:lineRule="auto"/>
        <w:jc w:val="both"/>
      </w:pPr>
      <w:r>
        <w:t>Changes to the cash rate target are generally made in small amounts, often 0.25 percentage points (25 basis points)</w:t>
      </w:r>
    </w:p>
    <w:p w14:paraId="3CFA2DF0" w14:textId="77777777" w:rsidR="00B554C7" w:rsidRDefault="00B554C7" w:rsidP="00B554C7">
      <w:pPr>
        <w:pStyle w:val="ListParagraph"/>
        <w:spacing w:line="276" w:lineRule="auto"/>
        <w:ind w:left="360"/>
      </w:pPr>
    </w:p>
    <w:p w14:paraId="33789F12" w14:textId="2796E55F" w:rsidR="00481FA3" w:rsidRDefault="00481FA3" w:rsidP="00481FA3">
      <w:pPr>
        <w:spacing w:line="276" w:lineRule="auto"/>
        <w:jc w:val="center"/>
        <w:rPr>
          <w:b/>
          <w:bCs/>
        </w:rPr>
      </w:pPr>
      <w:r>
        <w:rPr>
          <w:b/>
          <w:bCs/>
        </w:rPr>
        <w:t>Monetary policy stances</w:t>
      </w:r>
    </w:p>
    <w:p w14:paraId="62EA46F9" w14:textId="50B1BA03" w:rsidR="00481FA3" w:rsidRDefault="00481FA3" w:rsidP="00481FA3">
      <w:pPr>
        <w:spacing w:line="276" w:lineRule="auto"/>
        <w:rPr>
          <w:b/>
          <w:bCs/>
        </w:rPr>
      </w:pPr>
    </w:p>
    <w:p w14:paraId="4D39F316" w14:textId="053CBE2C" w:rsidR="00481FA3" w:rsidRDefault="00481FA3" w:rsidP="00481FA3">
      <w:pPr>
        <w:pStyle w:val="ListParagraph"/>
        <w:numPr>
          <w:ilvl w:val="0"/>
          <w:numId w:val="9"/>
        </w:numPr>
        <w:spacing w:line="276" w:lineRule="auto"/>
        <w:jc w:val="both"/>
      </w:pPr>
      <w:r>
        <w:t>An upward cash rate movement over a period of time is described as a ‘contractionary’ monetary stance to decrease aggregate demand, and a downward movement is an ‘expansionary stance’ to increase aggregate demand</w:t>
      </w:r>
    </w:p>
    <w:p w14:paraId="46F2DE2A" w14:textId="095934B8" w:rsidR="00B554C7" w:rsidRDefault="00481FA3" w:rsidP="00B554C7">
      <w:pPr>
        <w:pStyle w:val="ListParagraph"/>
        <w:numPr>
          <w:ilvl w:val="0"/>
          <w:numId w:val="9"/>
        </w:numPr>
        <w:spacing w:line="276" w:lineRule="auto"/>
        <w:jc w:val="both"/>
      </w:pPr>
      <w:r>
        <w:t>Under normal circumstances, the cash rate would be above the underlying inflation rate which was not seen from 2019 onward – we’ve had a negative cash rate which means there is reduced incentive to put money in the bank</w:t>
      </w:r>
    </w:p>
    <w:p w14:paraId="3E4838B5" w14:textId="0CE57842" w:rsidR="009D6B8A" w:rsidRDefault="009D6B8A" w:rsidP="00B554C7">
      <w:pPr>
        <w:pStyle w:val="ListParagraph"/>
        <w:numPr>
          <w:ilvl w:val="0"/>
          <w:numId w:val="9"/>
        </w:numPr>
        <w:spacing w:line="276" w:lineRule="auto"/>
        <w:jc w:val="both"/>
      </w:pPr>
      <w:r>
        <w:t>The cash rate target in Australia has been falling since 2015, reflecting weakness in the economy after the mining boom, then the onset of the COVID-19 pandemic</w:t>
      </w:r>
    </w:p>
    <w:p w14:paraId="2FBACD1C" w14:textId="392C3009" w:rsidR="00494CA7" w:rsidRDefault="00494CA7" w:rsidP="00B554C7">
      <w:pPr>
        <w:spacing w:line="276" w:lineRule="auto"/>
        <w:jc w:val="center"/>
      </w:pPr>
    </w:p>
    <w:p w14:paraId="6F3BA308" w14:textId="5DEA5AF9" w:rsidR="009D6B8A" w:rsidRDefault="009D6B8A" w:rsidP="00B554C7">
      <w:pPr>
        <w:spacing w:line="276" w:lineRule="auto"/>
        <w:jc w:val="center"/>
      </w:pPr>
    </w:p>
    <w:p w14:paraId="02B0E00C" w14:textId="568FDAD0" w:rsidR="009D6B8A" w:rsidRDefault="009D6B8A" w:rsidP="00B554C7">
      <w:pPr>
        <w:spacing w:line="276" w:lineRule="auto"/>
        <w:jc w:val="center"/>
      </w:pPr>
    </w:p>
    <w:p w14:paraId="67CA4F14" w14:textId="5748AA3A" w:rsidR="009D6B8A" w:rsidRDefault="009D6B8A" w:rsidP="00B554C7">
      <w:pPr>
        <w:spacing w:line="276" w:lineRule="auto"/>
        <w:jc w:val="center"/>
      </w:pPr>
    </w:p>
    <w:p w14:paraId="19B7457E" w14:textId="26F1C51F" w:rsidR="009D6B8A" w:rsidRDefault="009D6B8A" w:rsidP="00B554C7">
      <w:pPr>
        <w:spacing w:line="276" w:lineRule="auto"/>
        <w:jc w:val="center"/>
      </w:pPr>
    </w:p>
    <w:p w14:paraId="242401A4" w14:textId="145FC014" w:rsidR="009D6B8A" w:rsidRDefault="009D6B8A" w:rsidP="00B554C7">
      <w:pPr>
        <w:spacing w:line="276" w:lineRule="auto"/>
        <w:jc w:val="center"/>
      </w:pPr>
    </w:p>
    <w:p w14:paraId="38588E64" w14:textId="385B64FA" w:rsidR="009D6B8A" w:rsidRDefault="009D6B8A" w:rsidP="00B554C7">
      <w:pPr>
        <w:spacing w:line="276" w:lineRule="auto"/>
        <w:jc w:val="center"/>
      </w:pPr>
    </w:p>
    <w:p w14:paraId="253D8BB6" w14:textId="45258422" w:rsidR="009D6B8A" w:rsidRDefault="009D6B8A" w:rsidP="00B554C7">
      <w:pPr>
        <w:spacing w:line="276" w:lineRule="auto"/>
        <w:jc w:val="center"/>
      </w:pPr>
    </w:p>
    <w:p w14:paraId="4B4ADCF9" w14:textId="120C2762" w:rsidR="009D6B8A" w:rsidRDefault="009D6B8A" w:rsidP="00B554C7">
      <w:pPr>
        <w:spacing w:line="276" w:lineRule="auto"/>
        <w:jc w:val="center"/>
      </w:pPr>
    </w:p>
    <w:p w14:paraId="774F95CB" w14:textId="77777777" w:rsidR="009D6B8A" w:rsidRDefault="009D6B8A" w:rsidP="00B554C7">
      <w:pPr>
        <w:spacing w:line="276" w:lineRule="auto"/>
        <w:jc w:val="center"/>
      </w:pPr>
    </w:p>
    <w:p w14:paraId="4CA5CABA" w14:textId="5BE30381" w:rsidR="00B554C7" w:rsidRDefault="00B554C7" w:rsidP="00B554C7">
      <w:pPr>
        <w:spacing w:line="276" w:lineRule="auto"/>
        <w:jc w:val="center"/>
        <w:rPr>
          <w:b/>
          <w:bCs/>
        </w:rPr>
      </w:pPr>
      <w:r>
        <w:rPr>
          <w:b/>
          <w:bCs/>
        </w:rPr>
        <w:lastRenderedPageBreak/>
        <w:t>Transmission mechanism</w:t>
      </w:r>
    </w:p>
    <w:p w14:paraId="04ED963C" w14:textId="26A6AF30" w:rsidR="00890697" w:rsidRPr="00890697" w:rsidRDefault="009D6B8A" w:rsidP="00890697">
      <w:r>
        <w:rPr>
          <w:b/>
          <w:bCs/>
          <w:noProof/>
        </w:rPr>
        <mc:AlternateContent>
          <mc:Choice Requires="wps">
            <w:drawing>
              <wp:anchor distT="0" distB="0" distL="114300" distR="114300" simplePos="0" relativeHeight="251660288" behindDoc="0" locked="0" layoutInCell="1" allowOverlap="1" wp14:anchorId="2FEDC6BF" wp14:editId="02D58CD4">
                <wp:simplePos x="0" y="0"/>
                <wp:positionH relativeFrom="column">
                  <wp:posOffset>2540000</wp:posOffset>
                </wp:positionH>
                <wp:positionV relativeFrom="paragraph">
                  <wp:posOffset>73448</wp:posOffset>
                </wp:positionV>
                <wp:extent cx="4334933" cy="3826934"/>
                <wp:effectExtent l="0" t="0" r="8890" b="8890"/>
                <wp:wrapNone/>
                <wp:docPr id="2" name="Text Box 2"/>
                <wp:cNvGraphicFramePr/>
                <a:graphic xmlns:a="http://schemas.openxmlformats.org/drawingml/2006/main">
                  <a:graphicData uri="http://schemas.microsoft.com/office/word/2010/wordprocessingShape">
                    <wps:wsp>
                      <wps:cNvSpPr txBox="1"/>
                      <wps:spPr>
                        <a:xfrm>
                          <a:off x="0" y="0"/>
                          <a:ext cx="4334933" cy="3826934"/>
                        </a:xfrm>
                        <a:prstGeom prst="rect">
                          <a:avLst/>
                        </a:prstGeom>
                        <a:solidFill>
                          <a:schemeClr val="lt1"/>
                        </a:solidFill>
                        <a:ln w="6350">
                          <a:solidFill>
                            <a:prstClr val="black"/>
                          </a:solidFill>
                        </a:ln>
                      </wps:spPr>
                      <wps:txbx>
                        <w:txbxContent>
                          <w:p w14:paraId="2874D378" w14:textId="6B83CFE0" w:rsidR="009D6B8A" w:rsidRDefault="009D6B8A" w:rsidP="009D6B8A">
                            <w:pPr>
                              <w:jc w:val="both"/>
                              <w:rPr>
                                <w:b/>
                                <w:bCs/>
                                <w:sz w:val="20"/>
                                <w:szCs w:val="20"/>
                              </w:rPr>
                            </w:pPr>
                            <w:r>
                              <w:rPr>
                                <w:b/>
                                <w:bCs/>
                                <w:sz w:val="20"/>
                                <w:szCs w:val="20"/>
                              </w:rPr>
                              <w:t>When the cash rate is reduced:</w:t>
                            </w:r>
                            <w:r w:rsidR="00A46D08">
                              <w:rPr>
                                <w:b/>
                                <w:bCs/>
                                <w:sz w:val="20"/>
                                <w:szCs w:val="20"/>
                              </w:rPr>
                              <w:t xml:space="preserve"> </w:t>
                            </w:r>
                            <w:r w:rsidR="00A46D08" w:rsidRPr="00A46D08">
                              <w:rPr>
                                <w:b/>
                                <w:bCs/>
                                <w:i/>
                                <w:iCs/>
                                <w:color w:val="C00000"/>
                                <w:sz w:val="20"/>
                                <w:szCs w:val="20"/>
                              </w:rPr>
                              <w:t>(aggregate demand will decrease!)</w:t>
                            </w:r>
                          </w:p>
                          <w:p w14:paraId="2E650630" w14:textId="0B73C17D" w:rsidR="009D6B8A" w:rsidRDefault="009D6B8A" w:rsidP="009D6B8A">
                            <w:pPr>
                              <w:jc w:val="both"/>
                              <w:rPr>
                                <w:sz w:val="20"/>
                                <w:szCs w:val="20"/>
                              </w:rPr>
                            </w:pPr>
                            <w:r>
                              <w:rPr>
                                <w:sz w:val="20"/>
                                <w:szCs w:val="20"/>
                              </w:rPr>
                              <w:t>This affects all other interest rates. When interest rates are low, the cost of borrowing decreases as less repayments need to be made on the loans, therefore increasing C and I. Lower interest repayments increase the cash flow available for businesses and households, increasing C and I. Increased accessibility of credit increases demand assets (such as property</w:t>
                            </w:r>
                            <w:r w:rsidR="00A46D08">
                              <w:rPr>
                                <w:sz w:val="20"/>
                                <w:szCs w:val="20"/>
                              </w:rPr>
                              <w:t>) increasing household perception of wealth and hence, increasing consumption. Lower returns on foreign investment result in a fall in demand for the currency, depreciating it. This increases the international competitiveness of exports and reduces the competitiveness of imports. This increases net exports.</w:t>
                            </w:r>
                          </w:p>
                          <w:p w14:paraId="72D2A043" w14:textId="77777777" w:rsidR="00A46D08" w:rsidRDefault="00A46D08" w:rsidP="009D6B8A">
                            <w:pPr>
                              <w:jc w:val="both"/>
                              <w:rPr>
                                <w:sz w:val="20"/>
                                <w:szCs w:val="20"/>
                              </w:rPr>
                            </w:pPr>
                          </w:p>
                          <w:p w14:paraId="5C973DA9" w14:textId="490A7ECE" w:rsidR="00A46D08" w:rsidRDefault="00A46D08" w:rsidP="009D6B8A">
                            <w:pPr>
                              <w:jc w:val="both"/>
                              <w:rPr>
                                <w:b/>
                                <w:bCs/>
                                <w:sz w:val="20"/>
                                <w:szCs w:val="20"/>
                              </w:rPr>
                            </w:pPr>
                            <w:r>
                              <w:rPr>
                                <w:b/>
                                <w:bCs/>
                                <w:sz w:val="20"/>
                                <w:szCs w:val="20"/>
                              </w:rPr>
                              <w:t xml:space="preserve">When the cash rate is increased: </w:t>
                            </w:r>
                            <w:r w:rsidRPr="00A46D08">
                              <w:rPr>
                                <w:b/>
                                <w:bCs/>
                                <w:i/>
                                <w:iCs/>
                                <w:color w:val="00B050"/>
                                <w:sz w:val="20"/>
                                <w:szCs w:val="20"/>
                              </w:rPr>
                              <w:t xml:space="preserve">(aggregate demand will </w:t>
                            </w:r>
                            <w:r w:rsidRPr="00A46D08">
                              <w:rPr>
                                <w:b/>
                                <w:bCs/>
                                <w:i/>
                                <w:iCs/>
                                <w:color w:val="00B050"/>
                                <w:sz w:val="20"/>
                                <w:szCs w:val="20"/>
                              </w:rPr>
                              <w:t>increase</w:t>
                            </w:r>
                            <w:r w:rsidRPr="00A46D08">
                              <w:rPr>
                                <w:b/>
                                <w:bCs/>
                                <w:i/>
                                <w:iCs/>
                                <w:color w:val="00B050"/>
                                <w:sz w:val="20"/>
                                <w:szCs w:val="20"/>
                              </w:rPr>
                              <w:t>!)</w:t>
                            </w:r>
                          </w:p>
                          <w:p w14:paraId="09DD3ABB" w14:textId="00E427F3" w:rsidR="00A46D08" w:rsidRPr="00A46D08" w:rsidRDefault="00A46D08" w:rsidP="009D6B8A">
                            <w:pPr>
                              <w:jc w:val="both"/>
                              <w:rPr>
                                <w:sz w:val="20"/>
                                <w:szCs w:val="20"/>
                              </w:rPr>
                            </w:pPr>
                            <w:r>
                              <w:rPr>
                                <w:sz w:val="20"/>
                                <w:szCs w:val="20"/>
                              </w:rPr>
                              <w:t>This affects all other interest rates. When interest rates are high, the cost of borrowing increases as there are higher repayments that need to be made, therefore discouraging C and I. An increase in market interest rates means that households and businesses have to meet higher interest repayments, hence reducing cash flow available for consumption and investment. An increase in interest rates reduces the accessibility to credit to purchase assets such as property. Reduced demand will reduce property prices, decreasing household perception of wealth and hence, lowering consumption. A rise in market interest rates attracts foreign investment as the returns on investment are greater. An increase in foreign investment represents an increased demand for the currency, appreciating the dollar. This reduced the international competitiveness of exports and increases the competitiveness of imports, reducing net exports.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EDC6BF" id="_x0000_t202" coordsize="21600,21600" o:spt="202" path="m,l,21600r21600,l21600,xe">
                <v:stroke joinstyle="miter"/>
                <v:path gradientshapeok="t" o:connecttype="rect"/>
              </v:shapetype>
              <v:shape id="Text Box 2" o:spid="_x0000_s1026" type="#_x0000_t202" style="position:absolute;margin-left:200pt;margin-top:5.8pt;width:341.35pt;height:30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gb+TgIAAKIEAAAOAAAAZHJzL2Uyb0RvYy54bWysVFFv2jAQfp+0/2D5fQSSlJWIUDEqpklV&#13;&#10;WwmmPhvHIdEcn2cbEvbrd3YCpd2epr2Y892Xz3ff3TG/6xpJjsLYGlROJ6MxJUJxKGq1z+n37frT&#13;&#10;LSXWMVUwCUrk9CQsvVt8/DBvdSZiqEAWwhAkUTZrdU4r53QWRZZXomF2BFooDJZgGubwavZRYViL&#13;&#10;7I2M4vF4GrVgCm2AC2vRe98H6SLwl6Xg7qksrXBE5hRzc+E04dz5M1rMWbY3TFc1H9Jg/5BFw2qF&#13;&#10;j16o7plj5GDqP6iamhuwULoRhyaCsqy5CDVgNZPxu2o2FdMi1ILiWH2Ryf4/Wv54fDakLnIaU6JY&#13;&#10;gy3ais6RL9CR2KvTapshaKMR5jp0Y5fPfotOX3RXmsb/YjkE46jz6aKtJ+PoTJMknSUJJRxjyW08&#13;&#10;nSWp54leP9fGuq8CGuKNnBpsXtCUHR+s66FniH/NgqyLdS1luPiBEStpyJFhq6ULSSL5G5RUpM3p&#13;&#10;NLkZB+I3MU99+X4nGf8xpHeFQj6pMGcvSl+8t1y36waldlCcUCgD/aBZzdc18j4w656ZwclCbXBb&#13;&#10;3BMepQRMBgaLkgrMr7/5PR4bjlFKWpzUnNqfB2YEJfKbwlGYTdLUj3a4pDefY7yY68juOqIOzQpQ&#13;&#10;oQnupebB9Hgnz2ZpoHnBpVr6VzHEFMe3c+rO5sr1+4NLycVyGUA4zJq5B7XR3FP7jng9t90LM3ro&#13;&#10;p8NReITzTLPsXVt7rP9SwfLgoKxDz73AvaqD7rgIYWqGpfWbdn0PqNe/lsVvAAAA//8DAFBLAwQU&#13;&#10;AAYACAAAACEAubWPDOMAAAAQAQAADwAAAGRycy9kb3ducmV2LnhtbEyPzU7DMBCE70i8g7VI3Kid&#13;&#10;UoWQxqn4KVw4URDnbezaFvE6it00vD3uCS4rrWZ2dr5mM/ueTXqMLpCEYiGAaeqCcmQkfH683FTA&#13;&#10;YkJS2AfSEn50hE17edFgrcKJ3vW0S4blEIo1SrApDTXnsbPaY1yEQVPWDmH0mPI6Gq5GPOVw3/Ol&#13;&#10;ECX36Ch/sDjoJ6u7793RS9g+mnvTVTjabaWcm+avw5t5lfL6an5e5/GwBpb0nP4u4MyQ+0Obi+3D&#13;&#10;kVRkvYSVEBkoZaEogZ0NolreAdtLKIvVLfC24f9B2l8AAAD//wMAUEsBAi0AFAAGAAgAAAAhALaD&#13;&#10;OJL+AAAA4QEAABMAAAAAAAAAAAAAAAAAAAAAAFtDb250ZW50X1R5cGVzXS54bWxQSwECLQAUAAYA&#13;&#10;CAAAACEAOP0h/9YAAACUAQAACwAAAAAAAAAAAAAAAAAvAQAAX3JlbHMvLnJlbHNQSwECLQAUAAYA&#13;&#10;CAAAACEACtYG/k4CAACiBAAADgAAAAAAAAAAAAAAAAAuAgAAZHJzL2Uyb0RvYy54bWxQSwECLQAU&#13;&#10;AAYACAAAACEAubWPDOMAAAAQAQAADwAAAAAAAAAAAAAAAACoBAAAZHJzL2Rvd25yZXYueG1sUEsF&#13;&#10;BgAAAAAEAAQA8wAAALgFAAAAAA==&#13;&#10;" fillcolor="white [3201]" strokeweight=".5pt">
                <v:textbox>
                  <w:txbxContent>
                    <w:p w14:paraId="2874D378" w14:textId="6B83CFE0" w:rsidR="009D6B8A" w:rsidRDefault="009D6B8A" w:rsidP="009D6B8A">
                      <w:pPr>
                        <w:jc w:val="both"/>
                        <w:rPr>
                          <w:b/>
                          <w:bCs/>
                          <w:sz w:val="20"/>
                          <w:szCs w:val="20"/>
                        </w:rPr>
                      </w:pPr>
                      <w:r>
                        <w:rPr>
                          <w:b/>
                          <w:bCs/>
                          <w:sz w:val="20"/>
                          <w:szCs w:val="20"/>
                        </w:rPr>
                        <w:t>When the cash rate is reduced:</w:t>
                      </w:r>
                      <w:r w:rsidR="00A46D08">
                        <w:rPr>
                          <w:b/>
                          <w:bCs/>
                          <w:sz w:val="20"/>
                          <w:szCs w:val="20"/>
                        </w:rPr>
                        <w:t xml:space="preserve"> </w:t>
                      </w:r>
                      <w:r w:rsidR="00A46D08" w:rsidRPr="00A46D08">
                        <w:rPr>
                          <w:b/>
                          <w:bCs/>
                          <w:i/>
                          <w:iCs/>
                          <w:color w:val="C00000"/>
                          <w:sz w:val="20"/>
                          <w:szCs w:val="20"/>
                        </w:rPr>
                        <w:t>(aggregate demand will decrease!)</w:t>
                      </w:r>
                    </w:p>
                    <w:p w14:paraId="2E650630" w14:textId="0B73C17D" w:rsidR="009D6B8A" w:rsidRDefault="009D6B8A" w:rsidP="009D6B8A">
                      <w:pPr>
                        <w:jc w:val="both"/>
                        <w:rPr>
                          <w:sz w:val="20"/>
                          <w:szCs w:val="20"/>
                        </w:rPr>
                      </w:pPr>
                      <w:r>
                        <w:rPr>
                          <w:sz w:val="20"/>
                          <w:szCs w:val="20"/>
                        </w:rPr>
                        <w:t>This affects all other interest rates. When interest rates are low, the cost of borrowing decreases as less repayments need to be made on the loans, therefore increasing C and I. Lower interest repayments increase the cash flow available for businesses and households, increasing C and I. Increased accessibility of credit increases demand assets (such as property</w:t>
                      </w:r>
                      <w:r w:rsidR="00A46D08">
                        <w:rPr>
                          <w:sz w:val="20"/>
                          <w:szCs w:val="20"/>
                        </w:rPr>
                        <w:t>) increasing household perception of wealth and hence, increasing consumption. Lower returns on foreign investment result in a fall in demand for the currency, depreciating it. This increases the international competitiveness of exports and reduces the competitiveness of imports. This increases net exports.</w:t>
                      </w:r>
                    </w:p>
                    <w:p w14:paraId="72D2A043" w14:textId="77777777" w:rsidR="00A46D08" w:rsidRDefault="00A46D08" w:rsidP="009D6B8A">
                      <w:pPr>
                        <w:jc w:val="both"/>
                        <w:rPr>
                          <w:sz w:val="20"/>
                          <w:szCs w:val="20"/>
                        </w:rPr>
                      </w:pPr>
                    </w:p>
                    <w:p w14:paraId="5C973DA9" w14:textId="490A7ECE" w:rsidR="00A46D08" w:rsidRDefault="00A46D08" w:rsidP="009D6B8A">
                      <w:pPr>
                        <w:jc w:val="both"/>
                        <w:rPr>
                          <w:b/>
                          <w:bCs/>
                          <w:sz w:val="20"/>
                          <w:szCs w:val="20"/>
                        </w:rPr>
                      </w:pPr>
                      <w:r>
                        <w:rPr>
                          <w:b/>
                          <w:bCs/>
                          <w:sz w:val="20"/>
                          <w:szCs w:val="20"/>
                        </w:rPr>
                        <w:t xml:space="preserve">When the cash rate is increased: </w:t>
                      </w:r>
                      <w:r w:rsidRPr="00A46D08">
                        <w:rPr>
                          <w:b/>
                          <w:bCs/>
                          <w:i/>
                          <w:iCs/>
                          <w:color w:val="00B050"/>
                          <w:sz w:val="20"/>
                          <w:szCs w:val="20"/>
                        </w:rPr>
                        <w:t xml:space="preserve">(aggregate demand will </w:t>
                      </w:r>
                      <w:r w:rsidRPr="00A46D08">
                        <w:rPr>
                          <w:b/>
                          <w:bCs/>
                          <w:i/>
                          <w:iCs/>
                          <w:color w:val="00B050"/>
                          <w:sz w:val="20"/>
                          <w:szCs w:val="20"/>
                        </w:rPr>
                        <w:t>increase</w:t>
                      </w:r>
                      <w:r w:rsidRPr="00A46D08">
                        <w:rPr>
                          <w:b/>
                          <w:bCs/>
                          <w:i/>
                          <w:iCs/>
                          <w:color w:val="00B050"/>
                          <w:sz w:val="20"/>
                          <w:szCs w:val="20"/>
                        </w:rPr>
                        <w:t>!)</w:t>
                      </w:r>
                    </w:p>
                    <w:p w14:paraId="09DD3ABB" w14:textId="00E427F3" w:rsidR="00A46D08" w:rsidRPr="00A46D08" w:rsidRDefault="00A46D08" w:rsidP="009D6B8A">
                      <w:pPr>
                        <w:jc w:val="both"/>
                        <w:rPr>
                          <w:sz w:val="20"/>
                          <w:szCs w:val="20"/>
                        </w:rPr>
                      </w:pPr>
                      <w:r>
                        <w:rPr>
                          <w:sz w:val="20"/>
                          <w:szCs w:val="20"/>
                        </w:rPr>
                        <w:t>This affects all other interest rates. When interest rates are high, the cost of borrowing increases as there are higher repayments that need to be made, therefore discouraging C and I. An increase in market interest rates means that households and businesses have to meet higher interest repayments, hence reducing cash flow available for consumption and investment. An increase in interest rates reduces the accessibility to credit to purchase assets such as property. Reduced demand will reduce property prices, decreasing household perception of wealth and hence, lowering consumption. A rise in market interest rates attracts foreign investment as the returns on investment are greater. An increase in foreign investment represents an increased demand for the currency, appreciating the dollar. This reduced the international competitiveness of exports and increases the competitiveness of imports, reducing net exports.</w:t>
                      </w:r>
                    </w:p>
                  </w:txbxContent>
                </v:textbox>
              </v:shape>
            </w:pict>
          </mc:Fallback>
        </mc:AlternateContent>
      </w:r>
    </w:p>
    <w:p w14:paraId="5D0B4522" w14:textId="3B7688BC" w:rsidR="00890697" w:rsidRPr="00890697" w:rsidRDefault="00890697" w:rsidP="00890697"/>
    <w:p w14:paraId="74E20562" w14:textId="07D126D7" w:rsidR="00890697" w:rsidRPr="00890697" w:rsidRDefault="00890697" w:rsidP="00890697"/>
    <w:p w14:paraId="6EC2ABED" w14:textId="4D686F2F" w:rsidR="00890697" w:rsidRPr="00890697" w:rsidRDefault="00A46D08" w:rsidP="00890697">
      <w:r>
        <w:rPr>
          <w:b/>
          <w:bCs/>
          <w:noProof/>
        </w:rPr>
        <w:drawing>
          <wp:anchor distT="0" distB="0" distL="114300" distR="114300" simplePos="0" relativeHeight="251659264" behindDoc="1" locked="0" layoutInCell="1" allowOverlap="1" wp14:anchorId="132213DF" wp14:editId="18CA2971">
            <wp:simplePos x="0" y="0"/>
            <wp:positionH relativeFrom="column">
              <wp:posOffset>-127000</wp:posOffset>
            </wp:positionH>
            <wp:positionV relativeFrom="paragraph">
              <wp:posOffset>157903</wp:posOffset>
            </wp:positionV>
            <wp:extent cx="2556510" cy="2532380"/>
            <wp:effectExtent l="0" t="0" r="0" b="0"/>
            <wp:wrapTight wrapText="bothSides">
              <wp:wrapPolygon edited="0">
                <wp:start x="0" y="0"/>
                <wp:lineTo x="0" y="21448"/>
                <wp:lineTo x="21461" y="21448"/>
                <wp:lineTo x="21461" y="0"/>
                <wp:lineTo x="0" y="0"/>
              </wp:wrapPolygon>
            </wp:wrapTight>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6510" cy="2532380"/>
                    </a:xfrm>
                    <a:prstGeom prst="rect">
                      <a:avLst/>
                    </a:prstGeom>
                  </pic:spPr>
                </pic:pic>
              </a:graphicData>
            </a:graphic>
            <wp14:sizeRelH relativeFrom="page">
              <wp14:pctWidth>0</wp14:pctWidth>
            </wp14:sizeRelH>
            <wp14:sizeRelV relativeFrom="page">
              <wp14:pctHeight>0</wp14:pctHeight>
            </wp14:sizeRelV>
          </wp:anchor>
        </w:drawing>
      </w:r>
    </w:p>
    <w:p w14:paraId="6F6560F6" w14:textId="1F45B21C" w:rsidR="00890697" w:rsidRPr="00890697" w:rsidRDefault="00890697" w:rsidP="00890697"/>
    <w:p w14:paraId="4FCE8FA6" w14:textId="4269A4FA" w:rsidR="00890697" w:rsidRPr="00890697" w:rsidRDefault="00890697" w:rsidP="00890697"/>
    <w:p w14:paraId="69EAE435" w14:textId="7341B9D7" w:rsidR="00890697" w:rsidRPr="00890697" w:rsidRDefault="00890697" w:rsidP="00890697"/>
    <w:p w14:paraId="3B835F39" w14:textId="39E8D9C3" w:rsidR="00890697" w:rsidRPr="00890697" w:rsidRDefault="00890697" w:rsidP="00890697"/>
    <w:p w14:paraId="34F6CF54" w14:textId="7B7C99E9" w:rsidR="00890697" w:rsidRPr="00890697" w:rsidRDefault="00890697" w:rsidP="00890697"/>
    <w:p w14:paraId="76297C06" w14:textId="3087E01A" w:rsidR="00890697" w:rsidRPr="00890697" w:rsidRDefault="00890697" w:rsidP="00890697"/>
    <w:p w14:paraId="67AD0AE7" w14:textId="7488285D" w:rsidR="00890697" w:rsidRPr="00890697" w:rsidRDefault="00890697" w:rsidP="00890697"/>
    <w:p w14:paraId="26817FEF" w14:textId="5115A8F3" w:rsidR="00890697" w:rsidRPr="00890697" w:rsidRDefault="00890697" w:rsidP="00890697"/>
    <w:p w14:paraId="46FF43CD" w14:textId="49D8DAED" w:rsidR="00890697" w:rsidRPr="00890697" w:rsidRDefault="00890697" w:rsidP="00890697"/>
    <w:p w14:paraId="1F538C91" w14:textId="634461AD" w:rsidR="00890697" w:rsidRPr="00890697" w:rsidRDefault="00890697" w:rsidP="00890697"/>
    <w:p w14:paraId="5164233B" w14:textId="09A8722B" w:rsidR="00890697" w:rsidRPr="00890697" w:rsidRDefault="00890697" w:rsidP="00890697"/>
    <w:p w14:paraId="1E308608" w14:textId="5A4346AE" w:rsidR="00890697" w:rsidRDefault="00890697" w:rsidP="00890697">
      <w:pPr>
        <w:rPr>
          <w:b/>
          <w:bCs/>
        </w:rPr>
      </w:pPr>
    </w:p>
    <w:p w14:paraId="61FB5EB8" w14:textId="5F4B528E" w:rsidR="009D6B8A" w:rsidRDefault="009D6B8A" w:rsidP="00890697">
      <w:pPr>
        <w:rPr>
          <w:b/>
          <w:bCs/>
        </w:rPr>
      </w:pPr>
    </w:p>
    <w:p w14:paraId="54FA6B61" w14:textId="77777777" w:rsidR="00A46D08" w:rsidRDefault="00A46D08" w:rsidP="00890697">
      <w:pPr>
        <w:rPr>
          <w:b/>
          <w:bCs/>
        </w:rPr>
      </w:pPr>
    </w:p>
    <w:p w14:paraId="2194E7BA" w14:textId="48614C06" w:rsidR="009D6B8A" w:rsidRDefault="009D6B8A" w:rsidP="00890697">
      <w:pPr>
        <w:rPr>
          <w:b/>
          <w:bCs/>
        </w:rPr>
      </w:pPr>
    </w:p>
    <w:p w14:paraId="57AE4F81" w14:textId="552CF316" w:rsidR="00A46D08" w:rsidRDefault="00A46D08" w:rsidP="00890697">
      <w:pPr>
        <w:rPr>
          <w:b/>
          <w:bCs/>
        </w:rPr>
      </w:pPr>
    </w:p>
    <w:p w14:paraId="38766A0F" w14:textId="77777777" w:rsidR="00A46D08" w:rsidRDefault="00A46D08" w:rsidP="00890697">
      <w:pPr>
        <w:rPr>
          <w:b/>
          <w:bCs/>
        </w:rPr>
      </w:pPr>
    </w:p>
    <w:p w14:paraId="20EB3D2E" w14:textId="77777777" w:rsidR="00A46D08" w:rsidRDefault="00A46D08" w:rsidP="009D6B8A">
      <w:pPr>
        <w:jc w:val="center"/>
        <w:rPr>
          <w:b/>
          <w:bCs/>
        </w:rPr>
      </w:pPr>
    </w:p>
    <w:p w14:paraId="0F53FEC7" w14:textId="5AB390A9" w:rsidR="00A46D08" w:rsidRDefault="00A46D08" w:rsidP="009D6B8A">
      <w:pPr>
        <w:jc w:val="center"/>
        <w:rPr>
          <w:b/>
          <w:bCs/>
        </w:rPr>
      </w:pPr>
      <w:r>
        <w:rPr>
          <w:b/>
          <w:bCs/>
        </w:rPr>
        <w:t>The impact of monetary policy</w:t>
      </w:r>
    </w:p>
    <w:p w14:paraId="35C17A63" w14:textId="5A80FD62" w:rsidR="00A46D08" w:rsidRDefault="00A46D08" w:rsidP="009D6B8A">
      <w:pPr>
        <w:jc w:val="center"/>
        <w:rPr>
          <w:b/>
          <w:bCs/>
        </w:rPr>
      </w:pPr>
    </w:p>
    <w:p w14:paraId="21857524" w14:textId="0B557F87" w:rsidR="00A46D08" w:rsidRPr="00A46D08" w:rsidRDefault="00A46D08" w:rsidP="00A46D08">
      <w:pPr>
        <w:pStyle w:val="ListParagraph"/>
        <w:numPr>
          <w:ilvl w:val="0"/>
          <w:numId w:val="10"/>
        </w:numPr>
        <w:jc w:val="both"/>
        <w:rPr>
          <w:b/>
          <w:bCs/>
        </w:rPr>
      </w:pPr>
      <w:r>
        <w:t>Monetary policy affects the level of aggregate demand which can be shown using the Keynesian model or the classical model</w:t>
      </w:r>
    </w:p>
    <w:p w14:paraId="6A0A023B" w14:textId="2436D642" w:rsidR="00A46D08" w:rsidRDefault="00A46D08" w:rsidP="00A46D08">
      <w:pPr>
        <w:jc w:val="both"/>
        <w:rPr>
          <w:b/>
          <w:bCs/>
        </w:rPr>
      </w:pPr>
      <w:r>
        <w:rPr>
          <w:b/>
          <w:bCs/>
          <w:noProof/>
        </w:rPr>
        <mc:AlternateContent>
          <mc:Choice Requires="wps">
            <w:drawing>
              <wp:anchor distT="0" distB="0" distL="114300" distR="114300" simplePos="0" relativeHeight="251665408" behindDoc="0" locked="0" layoutInCell="1" allowOverlap="1" wp14:anchorId="66C67478" wp14:editId="13BC52E2">
                <wp:simplePos x="0" y="0"/>
                <wp:positionH relativeFrom="column">
                  <wp:posOffset>3505200</wp:posOffset>
                </wp:positionH>
                <wp:positionV relativeFrom="paragraph">
                  <wp:posOffset>181187</wp:posOffset>
                </wp:positionV>
                <wp:extent cx="3225800" cy="3251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225800" cy="3251200"/>
                        </a:xfrm>
                        <a:prstGeom prst="rect">
                          <a:avLst/>
                        </a:prstGeom>
                        <a:solidFill>
                          <a:schemeClr val="lt1"/>
                        </a:solidFill>
                        <a:ln w="6350">
                          <a:noFill/>
                        </a:ln>
                      </wps:spPr>
                      <wps:txbx>
                        <w:txbxContent>
                          <w:p w14:paraId="7ED53ACF" w14:textId="6573A904" w:rsidR="00A46D08" w:rsidRDefault="00613681" w:rsidP="00613681">
                            <w:pPr>
                              <w:pStyle w:val="ListParagraph"/>
                              <w:numPr>
                                <w:ilvl w:val="0"/>
                                <w:numId w:val="11"/>
                              </w:numPr>
                              <w:spacing w:line="276" w:lineRule="auto"/>
                              <w:jc w:val="both"/>
                            </w:pPr>
                            <w:r>
                              <w:t>The effect of the expansionary monetary policy is shown to the left, where low cash rates encouraged aggregate demand through the transmission mechanism</w:t>
                            </w:r>
                          </w:p>
                          <w:p w14:paraId="2127FE6F" w14:textId="1D9C6EFB" w:rsidR="00613681" w:rsidRDefault="00613681" w:rsidP="00613681">
                            <w:pPr>
                              <w:pStyle w:val="ListParagraph"/>
                              <w:numPr>
                                <w:ilvl w:val="0"/>
                                <w:numId w:val="11"/>
                              </w:numPr>
                              <w:spacing w:line="276" w:lineRule="auto"/>
                              <w:jc w:val="both"/>
                            </w:pPr>
                            <w:r>
                              <w:t>The increase in aggregate demand from AD</w:t>
                            </w:r>
                            <w:r w:rsidRPr="00525CFF">
                              <w:rPr>
                                <w:vertAlign w:val="subscript"/>
                              </w:rPr>
                              <w:t>1</w:t>
                            </w:r>
                            <w:r>
                              <w:t xml:space="preserve"> to AD</w:t>
                            </w:r>
                            <w:r w:rsidRPr="00525CFF">
                              <w:rPr>
                                <w:vertAlign w:val="subscript"/>
                              </w:rPr>
                              <w:t>2</w:t>
                            </w:r>
                            <w:r>
                              <w:t xml:space="preserve"> will increase GDP from Y</w:t>
                            </w:r>
                            <w:r w:rsidRPr="00525CFF">
                              <w:rPr>
                                <w:vertAlign w:val="subscript"/>
                              </w:rPr>
                              <w:t>1</w:t>
                            </w:r>
                            <w:r>
                              <w:t xml:space="preserve"> to Y</w:t>
                            </w:r>
                            <w:r w:rsidRPr="00525CFF">
                              <w:rPr>
                                <w:vertAlign w:val="subscript"/>
                              </w:rPr>
                              <w:t>2</w:t>
                            </w:r>
                            <w:r>
                              <w:t>, which will also stimulate employment</w:t>
                            </w:r>
                          </w:p>
                          <w:p w14:paraId="155A5101" w14:textId="66FC46BD" w:rsidR="00613681" w:rsidRDefault="00613681" w:rsidP="00613681">
                            <w:pPr>
                              <w:pStyle w:val="ListParagraph"/>
                              <w:numPr>
                                <w:ilvl w:val="0"/>
                                <w:numId w:val="11"/>
                              </w:numPr>
                              <w:spacing w:line="276" w:lineRule="auto"/>
                              <w:jc w:val="both"/>
                            </w:pPr>
                            <w:r>
                              <w:t>The change from AD</w:t>
                            </w:r>
                            <w:r w:rsidRPr="00525CFF">
                              <w:rPr>
                                <w:vertAlign w:val="subscript"/>
                              </w:rPr>
                              <w:t>1</w:t>
                            </w:r>
                            <w:r>
                              <w:t xml:space="preserve"> to AD</w:t>
                            </w:r>
                            <w:r w:rsidRPr="00525CFF">
                              <w:rPr>
                                <w:vertAlign w:val="subscript"/>
                              </w:rPr>
                              <w:t>2</w:t>
                            </w:r>
                            <w:r>
                              <w:t xml:space="preserve"> as shown will also increase price levels from P</w:t>
                            </w:r>
                            <w:r w:rsidRPr="00525CFF">
                              <w:rPr>
                                <w:vertAlign w:val="subscript"/>
                              </w:rPr>
                              <w:t>1</w:t>
                            </w:r>
                            <w:r>
                              <w:t xml:space="preserve"> to P</w:t>
                            </w:r>
                            <w:r w:rsidRPr="00525CFF">
                              <w:rPr>
                                <w:vertAlign w:val="subscript"/>
                              </w:rPr>
                              <w:t>2</w:t>
                            </w:r>
                          </w:p>
                          <w:p w14:paraId="7732B0FA" w14:textId="41C50BE7" w:rsidR="00613681" w:rsidRDefault="00613681" w:rsidP="00613681">
                            <w:pPr>
                              <w:pStyle w:val="ListParagraph"/>
                              <w:numPr>
                                <w:ilvl w:val="0"/>
                                <w:numId w:val="11"/>
                              </w:numPr>
                              <w:spacing w:line="276" w:lineRule="auto"/>
                              <w:jc w:val="both"/>
                            </w:pPr>
                            <w:r>
                              <w:t>This is appropriate as there is still spare capacity in the economy, and the cash rates are stimulating inflation towards the target band of between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C67478" id="Text Box 7" o:spid="_x0000_s1027" type="#_x0000_t202" style="position:absolute;left:0;text-align:left;margin-left:276pt;margin-top:14.25pt;width:254pt;height:2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m6CQwIAAIEEAAAOAAAAZHJzL2Uyb0RvYy54bWysVMGO2jAQvVfqP1i+l4QAyzYirCgrqkpo&#13;&#10;dyWo9mwcm0RyPK5tSOjXd+wAS7c9Vb2Y8czkeea9GWYPXaPIUVhXgy7ocJBSIjSHstb7gn7frj7d&#13;&#10;U+I80yVToEVBT8LRh/nHD7PW5CKDClQpLEEQ7fLWFLTy3uRJ4nglGuYGYITGoATbMI9Xu09Ky1pE&#13;&#10;b1SSpeld0oItjQUunEPvYx+k84gvpeD+WUonPFEFxdp8PG08d+FM5jOW7y0zVc3PZbB/qKJhtcZH&#13;&#10;r1CPzDNysPUfUE3NLTiQfsChSUDKmovYA3YzTN91s6mYEbEXJMeZK03u/8Hyp+OLJXVZ0CklmjUo&#13;&#10;0VZ0nnyBjkwDO61xOSZtDKb5Dt2o8sXv0Bma7qRtwi+2QzCOPJ+u3AYwjs5Rlk3uUwxxjI2yyRDV&#13;&#10;CzjJ2+fGOv9VQEOCUVCL4kVO2XHtfJ96SQmvOVB1uaqVipcwMGKpLDkylFr5WCSC/5alNGkLejea&#13;&#10;pBFYQ/i8R1YaawnN9k0Fy3e7LlJzbXgH5Ql5sNDPkTN8VWOta+b8C7M4ONgfLoN/xkMqwLfgbFFS&#13;&#10;gf35N3/IRz0xSkmLg1hQ9+PArKBEfdOo9OfheBwmN17Gk2mGF3sb2d1G9KFZAhIwxLUzPJoh36uL&#13;&#10;KS00r7gzi/Aqhpjm+HZB/cVc+n49cOe4WCxiEs6qYX6tN4YH6EB4UGLbvTJrznJ5VPoJLiPL8neq&#13;&#10;9bnhSw2LgwdZR0kDzz2rZ/pxzuNQnHcyLNLtPWa9/XPMfwEAAP//AwBQSwMEFAAGAAgAAAAhAKWc&#13;&#10;RqvmAAAAEAEAAA8AAABkcnMvZG93bnJldi54bWxMj09PwzAMxe9IfIfISFwQS+jINnVNJ8S/SdxY&#13;&#10;B4hb1pi2okmqJmvLt8c7wcWS/ezn98s2k23ZgH1ovFNwMxPA0JXeNK5SsC+erlfAQtTO6NY7VPCD&#13;&#10;ATb5+VmmU+NH94rDLlaMTFxItYI6xi7lPJQ1Wh1mvkNH2pfvrY7U9hU3vR7J3LY8EWLBrW4cfah1&#13;&#10;h/c1lt+7o1XweVV9vITp+W2cy3n3uB2K5bsplLq8mB7WVO7WwCJO8e8CTgyUH3IKdvBHZwJrFUiZ&#13;&#10;EFBUkKwksNOCWAiaHEi6FRJ4nvH/IPkvAAAA//8DAFBLAQItABQABgAIAAAAIQC2gziS/gAAAOEB&#13;&#10;AAATAAAAAAAAAAAAAAAAAAAAAABbQ29udGVudF9UeXBlc10ueG1sUEsBAi0AFAAGAAgAAAAhADj9&#13;&#10;If/WAAAAlAEAAAsAAAAAAAAAAAAAAAAALwEAAF9yZWxzLy5yZWxzUEsBAi0AFAAGAAgAAAAhAIgu&#13;&#10;boJDAgAAgQQAAA4AAAAAAAAAAAAAAAAALgIAAGRycy9lMm9Eb2MueG1sUEsBAi0AFAAGAAgAAAAh&#13;&#10;AKWcRqvmAAAAEAEAAA8AAAAAAAAAAAAAAAAAnQQAAGRycy9kb3ducmV2LnhtbFBLBQYAAAAABAAE&#13;&#10;APMAAACwBQAAAAA=&#13;&#10;" fillcolor="white [3201]" stroked="f" strokeweight=".5pt">
                <v:textbox>
                  <w:txbxContent>
                    <w:p w14:paraId="7ED53ACF" w14:textId="6573A904" w:rsidR="00A46D08" w:rsidRDefault="00613681" w:rsidP="00613681">
                      <w:pPr>
                        <w:pStyle w:val="ListParagraph"/>
                        <w:numPr>
                          <w:ilvl w:val="0"/>
                          <w:numId w:val="11"/>
                        </w:numPr>
                        <w:spacing w:line="276" w:lineRule="auto"/>
                        <w:jc w:val="both"/>
                      </w:pPr>
                      <w:r>
                        <w:t>The effect of the expansionary monetary policy is shown to the left, where low cash rates encouraged aggregate demand through the transmission mechanism</w:t>
                      </w:r>
                    </w:p>
                    <w:p w14:paraId="2127FE6F" w14:textId="1D9C6EFB" w:rsidR="00613681" w:rsidRDefault="00613681" w:rsidP="00613681">
                      <w:pPr>
                        <w:pStyle w:val="ListParagraph"/>
                        <w:numPr>
                          <w:ilvl w:val="0"/>
                          <w:numId w:val="11"/>
                        </w:numPr>
                        <w:spacing w:line="276" w:lineRule="auto"/>
                        <w:jc w:val="both"/>
                      </w:pPr>
                      <w:r>
                        <w:t>The increase in aggregate demand from AD</w:t>
                      </w:r>
                      <w:r w:rsidRPr="00525CFF">
                        <w:rPr>
                          <w:vertAlign w:val="subscript"/>
                        </w:rPr>
                        <w:t>1</w:t>
                      </w:r>
                      <w:r>
                        <w:t xml:space="preserve"> to AD</w:t>
                      </w:r>
                      <w:r w:rsidRPr="00525CFF">
                        <w:rPr>
                          <w:vertAlign w:val="subscript"/>
                        </w:rPr>
                        <w:t>2</w:t>
                      </w:r>
                      <w:r>
                        <w:t xml:space="preserve"> will increase GDP from Y</w:t>
                      </w:r>
                      <w:r w:rsidRPr="00525CFF">
                        <w:rPr>
                          <w:vertAlign w:val="subscript"/>
                        </w:rPr>
                        <w:t>1</w:t>
                      </w:r>
                      <w:r>
                        <w:t xml:space="preserve"> to Y</w:t>
                      </w:r>
                      <w:r w:rsidRPr="00525CFF">
                        <w:rPr>
                          <w:vertAlign w:val="subscript"/>
                        </w:rPr>
                        <w:t>2</w:t>
                      </w:r>
                      <w:r>
                        <w:t>, which will also stimulate employment</w:t>
                      </w:r>
                    </w:p>
                    <w:p w14:paraId="155A5101" w14:textId="66FC46BD" w:rsidR="00613681" w:rsidRDefault="00613681" w:rsidP="00613681">
                      <w:pPr>
                        <w:pStyle w:val="ListParagraph"/>
                        <w:numPr>
                          <w:ilvl w:val="0"/>
                          <w:numId w:val="11"/>
                        </w:numPr>
                        <w:spacing w:line="276" w:lineRule="auto"/>
                        <w:jc w:val="both"/>
                      </w:pPr>
                      <w:r>
                        <w:t>The change from AD</w:t>
                      </w:r>
                      <w:r w:rsidRPr="00525CFF">
                        <w:rPr>
                          <w:vertAlign w:val="subscript"/>
                        </w:rPr>
                        <w:t>1</w:t>
                      </w:r>
                      <w:r>
                        <w:t xml:space="preserve"> to AD</w:t>
                      </w:r>
                      <w:r w:rsidRPr="00525CFF">
                        <w:rPr>
                          <w:vertAlign w:val="subscript"/>
                        </w:rPr>
                        <w:t>2</w:t>
                      </w:r>
                      <w:r>
                        <w:t xml:space="preserve"> as shown will also increase price levels from P</w:t>
                      </w:r>
                      <w:r w:rsidRPr="00525CFF">
                        <w:rPr>
                          <w:vertAlign w:val="subscript"/>
                        </w:rPr>
                        <w:t>1</w:t>
                      </w:r>
                      <w:r>
                        <w:t xml:space="preserve"> to P</w:t>
                      </w:r>
                      <w:r w:rsidRPr="00525CFF">
                        <w:rPr>
                          <w:vertAlign w:val="subscript"/>
                        </w:rPr>
                        <w:t>2</w:t>
                      </w:r>
                    </w:p>
                    <w:p w14:paraId="7732B0FA" w14:textId="41C50BE7" w:rsidR="00613681" w:rsidRDefault="00613681" w:rsidP="00613681">
                      <w:pPr>
                        <w:pStyle w:val="ListParagraph"/>
                        <w:numPr>
                          <w:ilvl w:val="0"/>
                          <w:numId w:val="11"/>
                        </w:numPr>
                        <w:spacing w:line="276" w:lineRule="auto"/>
                        <w:jc w:val="both"/>
                      </w:pPr>
                      <w:r>
                        <w:t>This is appropriate as there is still spare capacity in the economy, and the cash rates are stimulating inflation towards the target band of between 2-3%</w:t>
                      </w:r>
                    </w:p>
                  </w:txbxContent>
                </v:textbox>
              </v:shape>
            </w:pict>
          </mc:Fallback>
        </mc:AlternateContent>
      </w:r>
      <w:r>
        <w:rPr>
          <w:b/>
          <w:bCs/>
          <w:noProof/>
        </w:rPr>
        <mc:AlternateContent>
          <mc:Choice Requires="wps">
            <w:drawing>
              <wp:anchor distT="0" distB="0" distL="114300" distR="114300" simplePos="0" relativeHeight="251661312" behindDoc="0" locked="0" layoutInCell="1" allowOverlap="1" wp14:anchorId="2672CC23" wp14:editId="0FA16FFB">
                <wp:simplePos x="0" y="0"/>
                <wp:positionH relativeFrom="column">
                  <wp:posOffset>50800</wp:posOffset>
                </wp:positionH>
                <wp:positionV relativeFrom="paragraph">
                  <wp:posOffset>181187</wp:posOffset>
                </wp:positionV>
                <wp:extent cx="3335867" cy="3251200"/>
                <wp:effectExtent l="0" t="0" r="17145" b="12700"/>
                <wp:wrapNone/>
                <wp:docPr id="3" name="Text Box 3"/>
                <wp:cNvGraphicFramePr/>
                <a:graphic xmlns:a="http://schemas.openxmlformats.org/drawingml/2006/main">
                  <a:graphicData uri="http://schemas.microsoft.com/office/word/2010/wordprocessingShape">
                    <wps:wsp>
                      <wps:cNvSpPr txBox="1"/>
                      <wps:spPr>
                        <a:xfrm>
                          <a:off x="0" y="0"/>
                          <a:ext cx="3335867" cy="3251200"/>
                        </a:xfrm>
                        <a:prstGeom prst="rect">
                          <a:avLst/>
                        </a:prstGeom>
                        <a:solidFill>
                          <a:schemeClr val="lt1"/>
                        </a:solidFill>
                        <a:ln w="6350">
                          <a:solidFill>
                            <a:prstClr val="black"/>
                          </a:solidFill>
                        </a:ln>
                      </wps:spPr>
                      <wps:txbx>
                        <w:txbxContent>
                          <w:p w14:paraId="1963517F" w14:textId="3441FACD" w:rsidR="00A46D08" w:rsidRPr="00A46D08" w:rsidRDefault="00A46D08" w:rsidP="00A46D08">
                            <w:pPr>
                              <w:jc w:val="center"/>
                              <w:rPr>
                                <w:b/>
                                <w:bCs/>
                                <w:sz w:val="20"/>
                                <w:szCs w:val="20"/>
                              </w:rPr>
                            </w:pPr>
                            <w:r>
                              <w:rPr>
                                <w:b/>
                                <w:bCs/>
                                <w:sz w:val="20"/>
                                <w:szCs w:val="20"/>
                              </w:rPr>
                              <w:t>Keynesian AD/AS: Expansionary monetary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CC23" id="Text Box 3" o:spid="_x0000_s1028" type="#_x0000_t202" style="position:absolute;left:0;text-align:left;margin-left:4pt;margin-top:14.25pt;width:262.65pt;height:2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28tUAIAAKkEAAAOAAAAZHJzL2Uyb0RvYy54bWysVFFv2jAQfp+0/2D5fQQI0C4iVIyKaVLV&#13;&#10;VoKpz8ZxwJrj82xDwn79zk5CabenaS/mfPfl8913d8zvmkqRk7BOgs7paDCkRGgOhdT7nH7frj/d&#13;&#10;UuI80wVToEVOz8LRu8XHD/PaZGIMB1CFsARJtMtqk9OD9yZLEscPomJuAEZoDJZgK+bxavdJYVmN&#13;&#10;7JVKxsPhLKnBFsYCF86h974N0kXkL0vB/VNZOuGJyinm5uNp47kLZ7KYs2xvmTlI3qXB/iGLikmN&#13;&#10;j16o7pln5GjlH1SV5BYclH7AoUqgLCUXsQasZjR8V83mwIyItaA4zlxkcv+Plj+eni2RRU5TSjSr&#13;&#10;sEVb0XjyBRqSBnVq4zIEbQzCfINu7HLvd+gMRTelrcIvlkMwjjqfL9oGMo7ONE2nt7MbSjjG0vF0&#13;&#10;hN0LPMnr58Y6/1VARYKRU4vNi5qy04PzLbSHhNccKFmspVLxEgZGrJQlJ4atVj4mieRvUEqTOqez&#13;&#10;dDqMxG9igfry/U4x/qNL7wqFfEpjzkGUtvhg+WbXRAnHvTA7KM6ol4V23pzha4n0D8z5Z2ZxwFAi&#13;&#10;XBr/hEepAHOCzqLkAPbX3/wBj33HKCU1DmxO3c8js4IS9U3jRHweTSZhwuNlMr0Z48VeR3bXEX2s&#13;&#10;VoBCjXA9DY9mwHvVm6WF6gV3axlexRDTHN/Oqe/NlW/XCHeTi+UygnCmDfMPemN4oA6NCbJumxdm&#13;&#10;TddWjxPxCP1os+xdd1ts+FLD8uihlLH1QedW1U5+3Ic4PN3uhoW7vkfU6z/M4jcAAAD//wMAUEsD&#13;&#10;BBQABgAIAAAAIQCzOqiM4QAAAA0BAAAPAAAAZHJzL2Rvd25yZXYueG1sTI/NTsMwEITvSLyDtUjc&#13;&#10;qENDkJvGqfgpXDhREGc3du2o8Tqy3TS8PcsJLqtdjWZ2vmYz+4FNJqY+oITbRQHMYBd0j1bC58fL&#13;&#10;jQCWskKthoBGwrdJsGkvLxpV63DGdzPtsmUUgqlWElzOY8156pzxKi3CaJC0Q4heZTqj5TqqM4X7&#13;&#10;gS+L4p571SN9cGo0T850x93JS9g+2pXthIpuK3TfT/PX4c2+Snl9NT+vaTysgWUz5z8H/DJQf2ip&#13;&#10;2D6cUCc2SBCEkyUsRQWM5KosS2B7Wu6KCnjb8P8U7Q8AAAD//wMAUEsBAi0AFAAGAAgAAAAhALaD&#13;&#10;OJL+AAAA4QEAABMAAAAAAAAAAAAAAAAAAAAAAFtDb250ZW50X1R5cGVzXS54bWxQSwECLQAUAAYA&#13;&#10;CAAAACEAOP0h/9YAAACUAQAACwAAAAAAAAAAAAAAAAAvAQAAX3JlbHMvLnJlbHNQSwECLQAUAAYA&#13;&#10;CAAAACEAVZtvLVACAACpBAAADgAAAAAAAAAAAAAAAAAuAgAAZHJzL2Uyb0RvYy54bWxQSwECLQAU&#13;&#10;AAYACAAAACEAszqojOEAAAANAQAADwAAAAAAAAAAAAAAAACqBAAAZHJzL2Rvd25yZXYueG1sUEsF&#13;&#10;BgAAAAAEAAQA8wAAALgFAAAAAA==&#13;&#10;" fillcolor="white [3201]" strokeweight=".5pt">
                <v:textbox>
                  <w:txbxContent>
                    <w:p w14:paraId="1963517F" w14:textId="3441FACD" w:rsidR="00A46D08" w:rsidRPr="00A46D08" w:rsidRDefault="00A46D08" w:rsidP="00A46D08">
                      <w:pPr>
                        <w:jc w:val="center"/>
                        <w:rPr>
                          <w:b/>
                          <w:bCs/>
                          <w:sz w:val="20"/>
                          <w:szCs w:val="20"/>
                        </w:rPr>
                      </w:pPr>
                      <w:r>
                        <w:rPr>
                          <w:b/>
                          <w:bCs/>
                          <w:sz w:val="20"/>
                          <w:szCs w:val="20"/>
                        </w:rPr>
                        <w:t>Keynesian AD/AS: Expansionary monetary policy</w:t>
                      </w:r>
                    </w:p>
                  </w:txbxContent>
                </v:textbox>
              </v:shape>
            </w:pict>
          </mc:Fallback>
        </mc:AlternateContent>
      </w:r>
    </w:p>
    <w:p w14:paraId="672DDC00" w14:textId="383986A5" w:rsidR="00A46D08" w:rsidRDefault="00A46D08" w:rsidP="00A46D08">
      <w:pPr>
        <w:tabs>
          <w:tab w:val="left" w:pos="5880"/>
        </w:tabs>
        <w:jc w:val="both"/>
        <w:rPr>
          <w:b/>
          <w:bCs/>
        </w:rPr>
      </w:pPr>
    </w:p>
    <w:p w14:paraId="4BC4A35B" w14:textId="66B9A137" w:rsidR="00A46D08" w:rsidRDefault="00A46D08" w:rsidP="00A46D08">
      <w:pPr>
        <w:jc w:val="both"/>
        <w:rPr>
          <w:b/>
          <w:bCs/>
        </w:rPr>
      </w:pPr>
    </w:p>
    <w:p w14:paraId="26B549F7" w14:textId="0363CC4C" w:rsidR="00A46D08" w:rsidRDefault="00613681" w:rsidP="00A46D08">
      <w:pPr>
        <w:jc w:val="both"/>
        <w:rPr>
          <w:b/>
          <w:bCs/>
        </w:rPr>
      </w:pPr>
      <w:r>
        <w:rPr>
          <w:b/>
          <w:bCs/>
          <w:noProof/>
        </w:rPr>
        <mc:AlternateContent>
          <mc:Choice Requires="wps">
            <w:drawing>
              <wp:anchor distT="0" distB="0" distL="114300" distR="114300" simplePos="0" relativeHeight="251664384" behindDoc="0" locked="0" layoutInCell="1" allowOverlap="1" wp14:anchorId="7E1DC074" wp14:editId="0C17ECDB">
                <wp:simplePos x="0" y="0"/>
                <wp:positionH relativeFrom="column">
                  <wp:posOffset>335280</wp:posOffset>
                </wp:positionH>
                <wp:positionV relativeFrom="paragraph">
                  <wp:posOffset>29210</wp:posOffset>
                </wp:positionV>
                <wp:extent cx="0" cy="2535343"/>
                <wp:effectExtent l="63500" t="25400" r="38100" b="17780"/>
                <wp:wrapNone/>
                <wp:docPr id="6" name="Straight Arrow Connector 6"/>
                <wp:cNvGraphicFramePr/>
                <a:graphic xmlns:a="http://schemas.openxmlformats.org/drawingml/2006/main">
                  <a:graphicData uri="http://schemas.microsoft.com/office/word/2010/wordprocessingShape">
                    <wps:wsp>
                      <wps:cNvCnPr/>
                      <wps:spPr>
                        <a:xfrm flipH="1" flipV="1">
                          <a:off x="0" y="0"/>
                          <a:ext cx="0" cy="25353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772865" id="_x0000_t32" coordsize="21600,21600" o:spt="32" o:oned="t" path="m,l21600,21600e" filled="f">
                <v:path arrowok="t" fillok="f" o:connecttype="none"/>
                <o:lock v:ext="edit" shapetype="t"/>
              </v:shapetype>
              <v:shape id="Straight Arrow Connector 6" o:spid="_x0000_s1026" type="#_x0000_t32" style="position:absolute;margin-left:26.4pt;margin-top:2.3pt;width:0;height:199.6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RS5o2wEAAAgEAAAOAAAAZHJzL2Uyb0RvYy54bWysU9uO0zAQfUfiHyy/06QtW6Go6Qp1uTwg&#13;&#10;qHaBd69jJxa+aWya9O8Z22lAXCSEeLHG9pwzc47H+9vJaHIWEJSzLV2vakqE5a5Ttm/pp4+vn72g&#13;&#10;JERmO6adFS29iEBvD0+f7EffiI0bnO4EECSxoRl9S4cYfVNVgQ/CsLByXli8lA4Mi7iFvuqAjchu&#13;&#10;dLWp6101Oug8OC5CwNO7ckkPmV9KweMHKYOIRLcUe4t5hbw+prU67FnTA/OD4nMb7B+6MExZLLpQ&#13;&#10;3bHIyFdQv1AZxcEFJ+OKO1M5KRUXWQOqWdc/qXkYmBdZC5oT/GJT+H+0/P35BER1Ld1RYpnBJ3qI&#13;&#10;wFQ/RPISwI3k6KxFGx2QXXJr9KFB0NGeYN4Ff4IkfZJgiNTKv8VBoDn6nKJ0h0LJlF2/LK6LKRJe&#13;&#10;Djmebm62N9vn21SjKmQJ6CHEN8IZkoKWhrm3palCz87vQizAKyCBtU1rZEq/sh2JF4/qIihmey3m&#13;&#10;OimlSpqKihzFixYFfi8keoM9ljJ5KsVRAzkznKfuy3phwcwEkUrrBVRn6X8EzbkJJvKk/i1wyc4V&#13;&#10;nY0L0Cjr4HdV43RtVZb8q+qiNcl+dN0lv2m2A8ctv8P8NdI8/7jP8O8f+PANAAD//wMAUEsDBBQA&#13;&#10;BgAIAAAAIQCdQXdm3QAAAAwBAAAPAAAAZHJzL2Rvd25yZXYueG1sTI/NTsMwEITvSLyDtUjcqEML&#13;&#10;FU2zqfjrjUtTHsCNNz9qvI5ipwlvz8IFLit9Gs3sTLabXacuNITWM8L9IgFFXHrbco3wedzfPYEK&#13;&#10;0bA1nWdC+KIAu/z6KjOp9RMf6FLEWkkIh9QgNDH2qdahbMiZsPA9sWiVH5yJgkOt7WAmCXedXibJ&#13;&#10;WjvTsnxoTE+vDZXnYnQIOhzHw2qezmVF00dVvNv9S71BvL2Z37ZynregIs3xzwE/G6Q/5FLs5Ee2&#13;&#10;QXUIj0upHxEe1qBE/sWTYLLagM4z/X9E/g0AAP//AwBQSwECLQAUAAYACAAAACEAtoM4kv4AAADh&#13;&#10;AQAAEwAAAAAAAAAAAAAAAAAAAAAAW0NvbnRlbnRfVHlwZXNdLnhtbFBLAQItABQABgAIAAAAIQA4&#13;&#10;/SH/1gAAAJQBAAALAAAAAAAAAAAAAAAAAC8BAABfcmVscy8ucmVsc1BLAQItABQABgAIAAAAIQB7&#13;&#10;RS5o2wEAAAgEAAAOAAAAAAAAAAAAAAAAAC4CAABkcnMvZTJvRG9jLnhtbFBLAQItABQABgAIAAAA&#13;&#10;IQCdQXdm3QAAAAwBAAAPAAAAAAAAAAAAAAAAADUEAABkcnMvZG93bnJldi54bWxQSwUGAAAAAAQA&#13;&#10;BADzAAAAPwUAAAAA&#13;&#10;" strokecolor="black [3200]" strokeweight=".5pt">
                <v:stroke endarrow="block" joinstyle="miter"/>
              </v:shape>
            </w:pict>
          </mc:Fallback>
        </mc:AlternateContent>
      </w:r>
    </w:p>
    <w:p w14:paraId="11A316BF" w14:textId="2823E062" w:rsidR="00A46D08" w:rsidRDefault="00A46D08" w:rsidP="00A46D08">
      <w:pPr>
        <w:jc w:val="both"/>
        <w:rPr>
          <w:b/>
          <w:bCs/>
        </w:rPr>
      </w:pPr>
    </w:p>
    <w:p w14:paraId="4514668D" w14:textId="141D16FF" w:rsidR="00A46D08" w:rsidRDefault="00A46D08" w:rsidP="00A46D08">
      <w:pPr>
        <w:jc w:val="both"/>
        <w:rPr>
          <w:b/>
          <w:bCs/>
        </w:rPr>
      </w:pPr>
    </w:p>
    <w:p w14:paraId="6AAA7D93" w14:textId="50856E6E" w:rsidR="00A46D08" w:rsidRDefault="00A46D08" w:rsidP="00A46D08">
      <w:pPr>
        <w:jc w:val="both"/>
        <w:rPr>
          <w:b/>
          <w:bCs/>
        </w:rPr>
      </w:pPr>
    </w:p>
    <w:p w14:paraId="071BC961" w14:textId="3E120C61" w:rsidR="00A46D08" w:rsidRDefault="00A46D08" w:rsidP="00A46D08">
      <w:pPr>
        <w:jc w:val="both"/>
        <w:rPr>
          <w:b/>
          <w:bCs/>
        </w:rPr>
      </w:pPr>
    </w:p>
    <w:p w14:paraId="0C678F76" w14:textId="5ADA9166" w:rsidR="00A46D08" w:rsidRDefault="00A46D08" w:rsidP="00A46D08">
      <w:pPr>
        <w:jc w:val="both"/>
        <w:rPr>
          <w:b/>
          <w:bCs/>
        </w:rPr>
      </w:pPr>
    </w:p>
    <w:p w14:paraId="59BA4C57" w14:textId="57666138" w:rsidR="00A46D08" w:rsidRDefault="00A46D08" w:rsidP="00A46D08">
      <w:pPr>
        <w:jc w:val="both"/>
        <w:rPr>
          <w:b/>
          <w:bCs/>
        </w:rPr>
      </w:pPr>
    </w:p>
    <w:p w14:paraId="7CDE06FB" w14:textId="723F4DE1" w:rsidR="00A46D08" w:rsidRDefault="00A46D08" w:rsidP="00A46D08">
      <w:pPr>
        <w:jc w:val="both"/>
        <w:rPr>
          <w:b/>
          <w:bCs/>
        </w:rPr>
      </w:pPr>
    </w:p>
    <w:p w14:paraId="6B294DC4" w14:textId="2C998814" w:rsidR="00A46D08" w:rsidRDefault="00A46D08" w:rsidP="00A46D08">
      <w:pPr>
        <w:jc w:val="both"/>
        <w:rPr>
          <w:b/>
          <w:bCs/>
        </w:rPr>
      </w:pPr>
    </w:p>
    <w:p w14:paraId="55A83922" w14:textId="137D15D4" w:rsidR="00A46D08" w:rsidRDefault="00A46D08" w:rsidP="00A46D08">
      <w:pPr>
        <w:jc w:val="both"/>
        <w:rPr>
          <w:b/>
          <w:bCs/>
        </w:rPr>
      </w:pPr>
    </w:p>
    <w:p w14:paraId="17359761" w14:textId="488FB3E0" w:rsidR="00A46D08" w:rsidRDefault="00A46D08" w:rsidP="00A46D08">
      <w:pPr>
        <w:jc w:val="both"/>
        <w:rPr>
          <w:b/>
          <w:bCs/>
        </w:rPr>
      </w:pPr>
    </w:p>
    <w:p w14:paraId="7078452D" w14:textId="5F9E2A6A" w:rsidR="00A46D08" w:rsidRDefault="00A46D08" w:rsidP="00A46D08">
      <w:pPr>
        <w:jc w:val="both"/>
        <w:rPr>
          <w:b/>
          <w:bCs/>
        </w:rPr>
      </w:pPr>
    </w:p>
    <w:p w14:paraId="73C46743" w14:textId="7C61A88C" w:rsidR="00A46D08" w:rsidRDefault="00A46D08" w:rsidP="00A46D08">
      <w:pPr>
        <w:jc w:val="both"/>
        <w:rPr>
          <w:b/>
          <w:bCs/>
        </w:rPr>
      </w:pPr>
    </w:p>
    <w:p w14:paraId="17E3B938" w14:textId="1556A980" w:rsidR="00A46D08" w:rsidRDefault="00A46D08" w:rsidP="00A46D08">
      <w:pPr>
        <w:jc w:val="both"/>
        <w:rPr>
          <w:b/>
          <w:bCs/>
        </w:rPr>
      </w:pPr>
      <w:r>
        <w:rPr>
          <w:b/>
          <w:bCs/>
          <w:noProof/>
        </w:rPr>
        <mc:AlternateContent>
          <mc:Choice Requires="wps">
            <w:drawing>
              <wp:anchor distT="0" distB="0" distL="114300" distR="114300" simplePos="0" relativeHeight="251662336" behindDoc="0" locked="0" layoutInCell="1" allowOverlap="1" wp14:anchorId="576CAE8B" wp14:editId="3F6684B2">
                <wp:simplePos x="0" y="0"/>
                <wp:positionH relativeFrom="column">
                  <wp:posOffset>342265</wp:posOffset>
                </wp:positionH>
                <wp:positionV relativeFrom="paragraph">
                  <wp:posOffset>142240</wp:posOffset>
                </wp:positionV>
                <wp:extent cx="2696633"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26966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F8E9B" id="Straight Arrow Connector 5" o:spid="_x0000_s1026" type="#_x0000_t32" style="position:absolute;margin-left:26.95pt;margin-top:11.2pt;width:212.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l040gEAAPQDAAAOAAAAZHJzL2Uyb0RvYy54bWysU9uO0zAQfUfiHyy/06RdbQVR0xXqAi8I&#13;&#10;KhY+wOuMEwvfNDZN+veMnTaLuEgI8TKJ7Tkz5xyPd3eTNewEGLV3LV+vas7ASd9p17f8y+e3L15y&#13;&#10;FpNwnTDeQcvPEPnd/vmz3Rga2PjBmw6QUREXmzG0fEgpNFUV5QBWxJUP4OhQebQi0RL7qkMxUnVr&#13;&#10;qk1db6vRYxfQS4iRdu/nQ74v9ZUCmT4qFSEx03LilkrEEh9zrPY70fQowqDlhYb4BxZWaEdNl1L3&#13;&#10;Ign2DfUvpayW6KNXaSW9rbxSWkLRQGrW9U9qHgYRoGghc2JYbIr/r6z8cDoi013LbzlzwtIVPSQU&#13;&#10;uh8Se43oR3bwzpGNHtltdmsMsSHQwR3xsorhiFn6pNDmL4liU3H4vDgMU2KSNjfbV9vtzQ1n8npW&#13;&#10;PQEDxvQOvGX5p+XxwmMhsC4Oi9P7mKg1Aa+A3NW4HJPQ5o3rWDoHUpJQC9cbyLwpPadUmf/MuPyl&#13;&#10;s4EZ/gkU+UAc5zZlAuFgkJ0EzU73db1UocwMUdqYBVQXbn8EXXIzDMpU/i1wyS4dvUsL0Grn8Xdd&#13;&#10;03Slqub8q+pZa5b96Ltzub9iB41W8efyDPLs/rgu8KfHuv8OAAD//wMAUEsDBBQABgAIAAAAIQDc&#13;&#10;5H3+4QAAAA0BAAAPAAAAZHJzL2Rvd25yZXYueG1sTE/JTsMwEL0j8Q/WIHGjDqG0aRqnQizHCtFU&#13;&#10;VY9uPIkjvESx04a/ZxAHuIw08968pdhM1rAzDqHzTsD9LAGGrvaqc62AffV2lwELUToljXco4AsD&#13;&#10;bMrrq0Lmyl/cB553sWUk4kIuBegY+5zzUGu0Msx8j46wxg9WRlqHlqtBXkjcGp4myYJb2Tly0LLH&#13;&#10;Z4315260Apqq3dfH14yPpnlfVge90ttqK8TtzfSypvG0BhZxin8f8NOB8kNJwU5+dCowI+DxYUVM&#13;&#10;AWk6B0b4fJktgJ1+D7ws+P8W5TcAAAD//wMAUEsBAi0AFAAGAAgAAAAhALaDOJL+AAAA4QEAABMA&#13;&#10;AAAAAAAAAAAAAAAAAAAAAFtDb250ZW50X1R5cGVzXS54bWxQSwECLQAUAAYACAAAACEAOP0h/9YA&#13;&#10;AACUAQAACwAAAAAAAAAAAAAAAAAvAQAAX3JlbHMvLnJlbHNQSwECLQAUAAYACAAAACEAkX5dONIB&#13;&#10;AAD0AwAADgAAAAAAAAAAAAAAAAAuAgAAZHJzL2Uyb0RvYy54bWxQSwECLQAUAAYACAAAACEA3OR9&#13;&#10;/uEAAAANAQAADwAAAAAAAAAAAAAAAAAsBAAAZHJzL2Rvd25yZXYueG1sUEsFBgAAAAAEAAQA8wAA&#13;&#10;ADoFAAAAAA==&#13;&#10;" strokecolor="black [3200]" strokeweight=".5pt">
                <v:stroke endarrow="block" joinstyle="miter"/>
              </v:shape>
            </w:pict>
          </mc:Fallback>
        </mc:AlternateContent>
      </w:r>
    </w:p>
    <w:p w14:paraId="7ED9E0D7" w14:textId="7555B9BB" w:rsidR="00A46D08" w:rsidRDefault="00A46D08" w:rsidP="00A46D08">
      <w:pPr>
        <w:jc w:val="both"/>
        <w:rPr>
          <w:b/>
          <w:bCs/>
        </w:rPr>
      </w:pPr>
    </w:p>
    <w:p w14:paraId="452FB5E5" w14:textId="5261F70B" w:rsidR="00A46D08" w:rsidRDefault="00A46D08" w:rsidP="00A46D08">
      <w:pPr>
        <w:jc w:val="both"/>
        <w:rPr>
          <w:b/>
          <w:bCs/>
        </w:rPr>
      </w:pPr>
    </w:p>
    <w:p w14:paraId="134F4D92" w14:textId="645F9515" w:rsidR="00A46D08" w:rsidRDefault="00A46D08" w:rsidP="00A46D08">
      <w:pPr>
        <w:jc w:val="both"/>
        <w:rPr>
          <w:b/>
          <w:bCs/>
        </w:rPr>
      </w:pPr>
    </w:p>
    <w:p w14:paraId="41E72590" w14:textId="5B98E478" w:rsidR="00A46D08" w:rsidRDefault="00A46D08" w:rsidP="00A46D08">
      <w:pPr>
        <w:jc w:val="both"/>
        <w:rPr>
          <w:b/>
          <w:bCs/>
        </w:rPr>
      </w:pPr>
    </w:p>
    <w:p w14:paraId="1381C3A9" w14:textId="77777777" w:rsidR="00A46D08" w:rsidRPr="00A46D08" w:rsidRDefault="00A46D08" w:rsidP="00A46D08">
      <w:pPr>
        <w:jc w:val="both"/>
        <w:rPr>
          <w:b/>
          <w:bCs/>
        </w:rPr>
      </w:pPr>
    </w:p>
    <w:p w14:paraId="55A543D1" w14:textId="77777777" w:rsidR="00A46D08" w:rsidRDefault="00A46D08" w:rsidP="009D6B8A">
      <w:pPr>
        <w:jc w:val="center"/>
        <w:rPr>
          <w:b/>
          <w:bCs/>
        </w:rPr>
      </w:pPr>
    </w:p>
    <w:p w14:paraId="15491475" w14:textId="3BF9D7D2" w:rsidR="00613681" w:rsidRDefault="00613681" w:rsidP="00613681">
      <w:pPr>
        <w:tabs>
          <w:tab w:val="center" w:pos="5233"/>
          <w:tab w:val="left" w:pos="5733"/>
        </w:tabs>
        <w:rPr>
          <w:b/>
          <w:bCs/>
        </w:rPr>
      </w:pPr>
      <w:r>
        <w:rPr>
          <w:b/>
          <w:bCs/>
          <w:noProof/>
        </w:rPr>
        <w:lastRenderedPageBreak/>
        <mc:AlternateContent>
          <mc:Choice Requires="wps">
            <w:drawing>
              <wp:anchor distT="0" distB="0" distL="114300" distR="114300" simplePos="0" relativeHeight="251669504" behindDoc="0" locked="0" layoutInCell="1" allowOverlap="1" wp14:anchorId="7AD95C31" wp14:editId="7E611760">
                <wp:simplePos x="0" y="0"/>
                <wp:positionH relativeFrom="column">
                  <wp:posOffset>3445934</wp:posOffset>
                </wp:positionH>
                <wp:positionV relativeFrom="paragraph">
                  <wp:posOffset>-635</wp:posOffset>
                </wp:positionV>
                <wp:extent cx="3225800" cy="3251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225800" cy="3251200"/>
                        </a:xfrm>
                        <a:prstGeom prst="rect">
                          <a:avLst/>
                        </a:prstGeom>
                        <a:solidFill>
                          <a:schemeClr val="lt1"/>
                        </a:solidFill>
                        <a:ln w="6350">
                          <a:noFill/>
                        </a:ln>
                      </wps:spPr>
                      <wps:txbx>
                        <w:txbxContent>
                          <w:p w14:paraId="1FAF4898" w14:textId="6DBFAB43" w:rsidR="00613681" w:rsidRDefault="00613681" w:rsidP="00613681">
                            <w:pPr>
                              <w:pStyle w:val="ListParagraph"/>
                              <w:numPr>
                                <w:ilvl w:val="0"/>
                                <w:numId w:val="11"/>
                              </w:numPr>
                              <w:spacing w:line="276" w:lineRule="auto"/>
                              <w:jc w:val="both"/>
                            </w:pPr>
                            <w:r>
                              <w:t>The effect of the contractionary monetary policy is shown to the left</w:t>
                            </w:r>
                          </w:p>
                          <w:p w14:paraId="6D1A1383" w14:textId="3F5A5E55" w:rsidR="00613681" w:rsidRDefault="00613681" w:rsidP="00613681">
                            <w:pPr>
                              <w:pStyle w:val="ListParagraph"/>
                              <w:numPr>
                                <w:ilvl w:val="0"/>
                                <w:numId w:val="11"/>
                              </w:numPr>
                              <w:spacing w:line="276" w:lineRule="auto"/>
                              <w:jc w:val="both"/>
                            </w:pPr>
                            <w:r>
                              <w:t>High levels of aggregate demand are reduced by high cash rates, which through the transmission mechanism, discourages private spending and net exports</w:t>
                            </w:r>
                          </w:p>
                          <w:p w14:paraId="08E1C27E" w14:textId="55976A6B" w:rsidR="00613681" w:rsidRDefault="00613681" w:rsidP="00613681">
                            <w:pPr>
                              <w:pStyle w:val="ListParagraph"/>
                              <w:numPr>
                                <w:ilvl w:val="0"/>
                                <w:numId w:val="11"/>
                              </w:numPr>
                              <w:spacing w:line="276" w:lineRule="auto"/>
                              <w:jc w:val="both"/>
                            </w:pPr>
                            <w:r>
                              <w:t>The contractionary monetary policy reduces AD from AD</w:t>
                            </w:r>
                            <w:r w:rsidRPr="00525CFF">
                              <w:rPr>
                                <w:vertAlign w:val="subscript"/>
                              </w:rPr>
                              <w:t>1</w:t>
                            </w:r>
                            <w:r>
                              <w:t xml:space="preserve"> to AD</w:t>
                            </w:r>
                            <w:r w:rsidRPr="00525CFF">
                              <w:rPr>
                                <w:vertAlign w:val="subscript"/>
                              </w:rPr>
                              <w:t>2</w:t>
                            </w:r>
                          </w:p>
                          <w:p w14:paraId="2CDA6E61" w14:textId="4F82DEDF" w:rsidR="00613681" w:rsidRDefault="00613681" w:rsidP="00613681">
                            <w:pPr>
                              <w:pStyle w:val="ListParagraph"/>
                              <w:numPr>
                                <w:ilvl w:val="0"/>
                                <w:numId w:val="11"/>
                              </w:numPr>
                              <w:spacing w:line="276" w:lineRule="auto"/>
                              <w:jc w:val="both"/>
                            </w:pPr>
                            <w:r>
                              <w:t>While this results in a fall in real GDP from Y</w:t>
                            </w:r>
                            <w:r w:rsidRPr="00525CFF">
                              <w:rPr>
                                <w:vertAlign w:val="subscript"/>
                              </w:rPr>
                              <w:t>1</w:t>
                            </w:r>
                            <w:r>
                              <w:t xml:space="preserve"> to Y</w:t>
                            </w:r>
                            <w:r w:rsidRPr="00525CFF">
                              <w:rPr>
                                <w:vertAlign w:val="subscript"/>
                              </w:rPr>
                              <w:t>2</w:t>
                            </w:r>
                            <w:r>
                              <w:t xml:space="preserve"> and some increases in unemployment, it’s beneficial to the economy as it results in a larger fall in price levels from P</w:t>
                            </w:r>
                            <w:r w:rsidRPr="00525CFF">
                              <w:rPr>
                                <w:vertAlign w:val="subscript"/>
                              </w:rPr>
                              <w:t>1</w:t>
                            </w:r>
                            <w:r>
                              <w:t xml:space="preserve"> to P</w:t>
                            </w:r>
                            <w:r w:rsidRPr="00525CFF">
                              <w:rPr>
                                <w:vertAlign w:val="subscript"/>
                              </w:rPr>
                              <w:t>2</w:t>
                            </w:r>
                          </w:p>
                          <w:p w14:paraId="6AAD03A6" w14:textId="492A93DD" w:rsidR="00613681" w:rsidRDefault="00613681" w:rsidP="00613681">
                            <w:pPr>
                              <w:pStyle w:val="ListParagraph"/>
                              <w:numPr>
                                <w:ilvl w:val="0"/>
                                <w:numId w:val="11"/>
                              </w:numPr>
                              <w:spacing w:line="276" w:lineRule="auto"/>
                              <w:jc w:val="both"/>
                            </w:pPr>
                            <w:r>
                              <w:t>P</w:t>
                            </w:r>
                            <w:r w:rsidRPr="00525CFF">
                              <w:rPr>
                                <w:vertAlign w:val="subscript"/>
                              </w:rPr>
                              <w:t>2</w:t>
                            </w:r>
                            <w:r>
                              <w:t xml:space="preserve"> represents the target inflationary band of the Reserve Bank at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95C31" id="Text Box 12" o:spid="_x0000_s1029" type="#_x0000_t202" style="position:absolute;margin-left:271.35pt;margin-top:-.05pt;width:254pt;height:25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2OsRAIAAIMEAAAOAAAAZHJzL2Uyb0RvYy54bWysVMFuGjEQvVfqP1i+l4UlpAliiWgiqkoo&#13;&#10;iUSqnI3XCyt5Pa5t2KVf32cvJGnaU9WLGc/MPs+8N8Pspms0OyjnazIFHw2GnCkjqazNtuDfn5af&#13;&#10;rjjzQZhSaDKq4Efl+c3844dZa6cqpx3pUjkGEOOnrS34LgQ7zTIvd6oRfkBWGQQrco0IuLptVjrR&#13;&#10;Ar3RWT4cXmYtudI6ksp7eO/6IJ8n/KpSMjxUlVeB6YKjtpBOl85NPLP5TEy3TthdLU9liH+oohG1&#13;&#10;waMvUHciCLZ39R9QTS0dearCQFKTUVXVUqUe0M1o+K6b9U5YlXoBOd6+0OT/H6y8Pzw6VpfQLufM&#13;&#10;iAYaPakusC/UMbjAT2v9FGlri8TQwY/cs9/DGdvuKtfEXzTEEAfTxxd2I5qEc5znk6shQhKxcT4Z&#13;&#10;Qb+Ik71+bp0PXxU1LBoFd5AvsSoOKx/61HNKfM2TrstlrXW6xJFRt9qxg4DYOqQiAf5bljasLfjl&#13;&#10;eDJMwIbi5z2yNqglNts3Fa3QbbpEzvjc8IbKI3hw1E+St3JZo9aV8OFROIwO+sM6hAcclSa8RSeL&#13;&#10;sx25n3/zx3woiihnLUax4P7HXjjFmf5moPX16OIizm66XEw+57i4t5HN24jZN7cEAkZYPCuTGfOD&#13;&#10;PpuVo+YZW7OIryIkjMTbBQ9n8zb0C4Ktk2qxSEmYVivCyqytjNCR8KjEU/csnD3JFaD0PZ2HVkzf&#13;&#10;qdbnxi8NLfaBqjpJGnnuWT3Rj0lPQ3HayrhKb+8p6/W/Y/4LAAD//wMAUEsDBBQABgAIAAAAIQDc&#13;&#10;9CI+5gAAAA8BAAAPAAAAZHJzL2Rvd25yZXYueG1sTI9NT8MwDIbvSPyHyEhc0JZ2owy6phPiY0jc&#13;&#10;WPkQt6wxbUXjVE3Wln+Pd4KLJfuxX79vtplsKwbsfeNIQTyPQCCVzjRUKXgtHmfXIHzQZHTrCBX8&#13;&#10;oIdNfnqS6dS4kV5w2IVKsAj5VCuoQ+hSKX1Zo9V+7jokZl+utzpw21fS9HpkcdvKRRRdSasb4g+1&#13;&#10;7vCuxvJ7d7AKPi+qj2c/bd/GZbLsHp6GYvVuCqXOz6b7NZfbNYiAU/i7gGMG9g85G9u7AxkvWgXJ&#13;&#10;5WLFqwpmMYgjj5KIB3smcXwDMs/k/xz5LwAAAP//AwBQSwECLQAUAAYACAAAACEAtoM4kv4AAADh&#13;&#10;AQAAEwAAAAAAAAAAAAAAAAAAAAAAW0NvbnRlbnRfVHlwZXNdLnhtbFBLAQItABQABgAIAAAAIQA4&#13;&#10;/SH/1gAAAJQBAAALAAAAAAAAAAAAAAAAAC8BAABfcmVscy8ucmVsc1BLAQItABQABgAIAAAAIQAm&#13;&#10;L2OsRAIAAIMEAAAOAAAAAAAAAAAAAAAAAC4CAABkcnMvZTJvRG9jLnhtbFBLAQItABQABgAIAAAA&#13;&#10;IQDc9CI+5gAAAA8BAAAPAAAAAAAAAAAAAAAAAJ4EAABkcnMvZG93bnJldi54bWxQSwUGAAAAAAQA&#13;&#10;BADzAAAAsQUAAAAA&#13;&#10;" fillcolor="white [3201]" stroked="f" strokeweight=".5pt">
                <v:textbox>
                  <w:txbxContent>
                    <w:p w14:paraId="1FAF4898" w14:textId="6DBFAB43" w:rsidR="00613681" w:rsidRDefault="00613681" w:rsidP="00613681">
                      <w:pPr>
                        <w:pStyle w:val="ListParagraph"/>
                        <w:numPr>
                          <w:ilvl w:val="0"/>
                          <w:numId w:val="11"/>
                        </w:numPr>
                        <w:spacing w:line="276" w:lineRule="auto"/>
                        <w:jc w:val="both"/>
                      </w:pPr>
                      <w:r>
                        <w:t>The effect of the contractionary monetary policy is shown to the left</w:t>
                      </w:r>
                    </w:p>
                    <w:p w14:paraId="6D1A1383" w14:textId="3F5A5E55" w:rsidR="00613681" w:rsidRDefault="00613681" w:rsidP="00613681">
                      <w:pPr>
                        <w:pStyle w:val="ListParagraph"/>
                        <w:numPr>
                          <w:ilvl w:val="0"/>
                          <w:numId w:val="11"/>
                        </w:numPr>
                        <w:spacing w:line="276" w:lineRule="auto"/>
                        <w:jc w:val="both"/>
                      </w:pPr>
                      <w:r>
                        <w:t>High levels of aggregate demand are reduced by high cash rates, which through the transmission mechanism, discourages private spending and net exports</w:t>
                      </w:r>
                    </w:p>
                    <w:p w14:paraId="08E1C27E" w14:textId="55976A6B" w:rsidR="00613681" w:rsidRDefault="00613681" w:rsidP="00613681">
                      <w:pPr>
                        <w:pStyle w:val="ListParagraph"/>
                        <w:numPr>
                          <w:ilvl w:val="0"/>
                          <w:numId w:val="11"/>
                        </w:numPr>
                        <w:spacing w:line="276" w:lineRule="auto"/>
                        <w:jc w:val="both"/>
                      </w:pPr>
                      <w:r>
                        <w:t>The contractionary monetary policy reduces AD from AD</w:t>
                      </w:r>
                      <w:r w:rsidRPr="00525CFF">
                        <w:rPr>
                          <w:vertAlign w:val="subscript"/>
                        </w:rPr>
                        <w:t>1</w:t>
                      </w:r>
                      <w:r>
                        <w:t xml:space="preserve"> to AD</w:t>
                      </w:r>
                      <w:r w:rsidRPr="00525CFF">
                        <w:rPr>
                          <w:vertAlign w:val="subscript"/>
                        </w:rPr>
                        <w:t>2</w:t>
                      </w:r>
                    </w:p>
                    <w:p w14:paraId="2CDA6E61" w14:textId="4F82DEDF" w:rsidR="00613681" w:rsidRDefault="00613681" w:rsidP="00613681">
                      <w:pPr>
                        <w:pStyle w:val="ListParagraph"/>
                        <w:numPr>
                          <w:ilvl w:val="0"/>
                          <w:numId w:val="11"/>
                        </w:numPr>
                        <w:spacing w:line="276" w:lineRule="auto"/>
                        <w:jc w:val="both"/>
                      </w:pPr>
                      <w:r>
                        <w:t>While this results in a fall in real GDP from Y</w:t>
                      </w:r>
                      <w:r w:rsidRPr="00525CFF">
                        <w:rPr>
                          <w:vertAlign w:val="subscript"/>
                        </w:rPr>
                        <w:t>1</w:t>
                      </w:r>
                      <w:r>
                        <w:t xml:space="preserve"> to Y</w:t>
                      </w:r>
                      <w:r w:rsidRPr="00525CFF">
                        <w:rPr>
                          <w:vertAlign w:val="subscript"/>
                        </w:rPr>
                        <w:t>2</w:t>
                      </w:r>
                      <w:r>
                        <w:t xml:space="preserve"> and some increases in unemployment, it’s beneficial to the economy as it results in a larger fall in price levels from P</w:t>
                      </w:r>
                      <w:r w:rsidRPr="00525CFF">
                        <w:rPr>
                          <w:vertAlign w:val="subscript"/>
                        </w:rPr>
                        <w:t>1</w:t>
                      </w:r>
                      <w:r>
                        <w:t xml:space="preserve"> to P</w:t>
                      </w:r>
                      <w:r w:rsidRPr="00525CFF">
                        <w:rPr>
                          <w:vertAlign w:val="subscript"/>
                        </w:rPr>
                        <w:t>2</w:t>
                      </w:r>
                    </w:p>
                    <w:p w14:paraId="6AAD03A6" w14:textId="492A93DD" w:rsidR="00613681" w:rsidRDefault="00613681" w:rsidP="00613681">
                      <w:pPr>
                        <w:pStyle w:val="ListParagraph"/>
                        <w:numPr>
                          <w:ilvl w:val="0"/>
                          <w:numId w:val="11"/>
                        </w:numPr>
                        <w:spacing w:line="276" w:lineRule="auto"/>
                        <w:jc w:val="both"/>
                      </w:pPr>
                      <w:r>
                        <w:t>P</w:t>
                      </w:r>
                      <w:r w:rsidRPr="00525CFF">
                        <w:rPr>
                          <w:vertAlign w:val="subscript"/>
                        </w:rPr>
                        <w:t>2</w:t>
                      </w:r>
                      <w:r>
                        <w:t xml:space="preserve"> represents the target inflationary band of the Reserve Bank at 2-3%</w:t>
                      </w:r>
                    </w:p>
                  </w:txbxContent>
                </v:textbox>
              </v:shape>
            </w:pict>
          </mc:Fallback>
        </mc:AlternateContent>
      </w:r>
      <w:r>
        <w:rPr>
          <w:b/>
          <w:bCs/>
        </w:rPr>
        <w:tab/>
      </w:r>
      <w:r>
        <w:rPr>
          <w:b/>
          <w:bCs/>
          <w:noProof/>
        </w:rPr>
        <mc:AlternateContent>
          <mc:Choice Requires="wps">
            <w:drawing>
              <wp:anchor distT="0" distB="0" distL="114300" distR="114300" simplePos="0" relativeHeight="251667456" behindDoc="0" locked="0" layoutInCell="1" allowOverlap="1" wp14:anchorId="43DF73B1" wp14:editId="6E662D6E">
                <wp:simplePos x="0" y="0"/>
                <wp:positionH relativeFrom="column">
                  <wp:posOffset>0</wp:posOffset>
                </wp:positionH>
                <wp:positionV relativeFrom="paragraph">
                  <wp:posOffset>-635</wp:posOffset>
                </wp:positionV>
                <wp:extent cx="3335867" cy="3251200"/>
                <wp:effectExtent l="0" t="0" r="17145" b="12700"/>
                <wp:wrapNone/>
                <wp:docPr id="8" name="Text Box 8"/>
                <wp:cNvGraphicFramePr/>
                <a:graphic xmlns:a="http://schemas.openxmlformats.org/drawingml/2006/main">
                  <a:graphicData uri="http://schemas.microsoft.com/office/word/2010/wordprocessingShape">
                    <wps:wsp>
                      <wps:cNvSpPr txBox="1"/>
                      <wps:spPr>
                        <a:xfrm>
                          <a:off x="0" y="0"/>
                          <a:ext cx="3335867" cy="3251200"/>
                        </a:xfrm>
                        <a:prstGeom prst="rect">
                          <a:avLst/>
                        </a:prstGeom>
                        <a:solidFill>
                          <a:schemeClr val="lt1"/>
                        </a:solidFill>
                        <a:ln w="6350">
                          <a:solidFill>
                            <a:prstClr val="black"/>
                          </a:solidFill>
                        </a:ln>
                      </wps:spPr>
                      <wps:txbx>
                        <w:txbxContent>
                          <w:p w14:paraId="198276F8" w14:textId="4F877E95" w:rsidR="00613681" w:rsidRDefault="00613681" w:rsidP="00613681">
                            <w:pPr>
                              <w:jc w:val="center"/>
                              <w:rPr>
                                <w:b/>
                                <w:bCs/>
                                <w:sz w:val="20"/>
                                <w:szCs w:val="20"/>
                              </w:rPr>
                            </w:pPr>
                            <w:r>
                              <w:rPr>
                                <w:b/>
                                <w:bCs/>
                                <w:sz w:val="20"/>
                                <w:szCs w:val="20"/>
                              </w:rPr>
                              <w:t xml:space="preserve">Keynesian AD/AS: </w:t>
                            </w:r>
                            <w:r>
                              <w:rPr>
                                <w:b/>
                                <w:bCs/>
                                <w:sz w:val="20"/>
                                <w:szCs w:val="20"/>
                              </w:rPr>
                              <w:t>Contractionary</w:t>
                            </w:r>
                            <w:r>
                              <w:rPr>
                                <w:b/>
                                <w:bCs/>
                                <w:sz w:val="20"/>
                                <w:szCs w:val="20"/>
                              </w:rPr>
                              <w:t xml:space="preserve"> monetary policy</w:t>
                            </w:r>
                          </w:p>
                          <w:p w14:paraId="0C53BD05" w14:textId="03871BEC" w:rsidR="00613681" w:rsidRDefault="00613681" w:rsidP="00613681">
                            <w:pPr>
                              <w:jc w:val="center"/>
                              <w:rPr>
                                <w:b/>
                                <w:bCs/>
                                <w:sz w:val="20"/>
                                <w:szCs w:val="20"/>
                              </w:rPr>
                            </w:pPr>
                          </w:p>
                          <w:p w14:paraId="7146DB90" w14:textId="409B3E42" w:rsidR="00613681" w:rsidRPr="00A46D08" w:rsidRDefault="00613681" w:rsidP="00613681">
                            <w:pPr>
                              <w:jc w:val="center"/>
                              <w:rPr>
                                <w:b/>
                                <w:bCs/>
                                <w:sz w:val="20"/>
                                <w:szCs w:val="20"/>
                              </w:rPr>
                            </w:pPr>
                            <w:r>
                              <w:rPr>
                                <w:noProof/>
                              </w:rPr>
                              <w:drawing>
                                <wp:inline distT="0" distB="0" distL="0" distR="0" wp14:anchorId="1EB02EFD" wp14:editId="3951F1A4">
                                  <wp:extent cx="2857500" cy="267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3989" cy="26857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F73B1" id="Text Box 8" o:spid="_x0000_s1030" type="#_x0000_t202" style="position:absolute;margin-left:0;margin-top:-.05pt;width:262.65pt;height:2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SX5dTwIAAKkEAAAOAAAAZHJzL2Uyb0RvYy54bWysVE2P2jAQvVfqf7B8L+F7aURYUVZUldDu&#13;&#10;SlDt2Tg2RHU8rm1I6K/v2ElYdttT1YsZz7w8z7yZYX5fl4qchXUF6IwOen1KhOaQF/qQ0e+79acZ&#13;&#10;Jc4znTMFWmT0Ihy9X3z8MK9MKoZwBJULS5BEu7QyGT16b9IkcfwoSuZ6YITGoARbMo9Xe0hyyypk&#13;&#10;L1Uy7PenSQU2Nxa4cA69D02QLiK/lIL7Jymd8ERlFHPz8bTx3IczWcxZerDMHAvepsH+IYuSFRof&#13;&#10;vVI9MM/IyRZ/UJUFt+BA+h6HMgEpCy5iDVjNoP+umu2RGRFrQXGcucrk/h8tfzw/W1LkGcVGaVZi&#13;&#10;i3ai9uQL1GQW1KmMSxG0NQjzNbqxy53foTMUXUtbhl8sh2Acdb5ctQ1kHJ2j0Wgym95RwjE2Gk4G&#13;&#10;2L3Ak7x+bqzzXwWUJBgZtdi8qCk7b5xvoB0kvOZAFfm6UCpewsCIlbLkzLDVysckkfwNSmlSZXQ6&#13;&#10;mvQj8ZtYoL5+v1eM/2jTu0Ehn9KYcxClKT5Yvt7XUcJxJ8we8gvqZaGZN2f4ukD6DXP+mVkcMJQI&#13;&#10;l8Y/4SEVYE7QWpQcwf76mz/gse8YpaTCgc2o+3liVlCivmmciM+D8ThMeLyMJ3dDvNjbyP42ok/l&#13;&#10;ClCoAa6n4dEMeK86U1ooX3C3luFVDDHN8e2M+s5c+WaNcDe5WC4jCGfaML/RW8MDdWhMkHVXvzBr&#13;&#10;2rZ6nIhH6Eabpe+622DDlxqWJw+yiK0POjeqtvLjPsThaXc3LNztPaJe/2EWvwEAAP//AwBQSwME&#13;&#10;FAAGAAgAAAAhADUoL/HfAAAACwEAAA8AAABkcnMvZG93bnJldi54bWxMj81OwzAQhO9IvIO1lbi1&#13;&#10;ToqK0jROxU/hwomCOLuxa1uN15HtpuHtWU70strVaGbna7aT79moY3IBBZSLApjGLiiHRsDX5+u8&#13;&#10;ApayRCX7gFrAj06wbW9vGlmrcMEPPe6zYRSCqZYCbM5DzXnqrPYyLcKgkbRjiF5mOqPhKsoLhfue&#13;&#10;L4vigXvpkD5YOehnq7vT/uwF7J7M2nSVjHZXKefG6fv4bt6EuJtNLxsajxtgWU/53wF/DNQfWip2&#13;&#10;CGdUifUCiCYLmJfASFwtV/fADrSU5Rp42/BrhvYXAAD//wMAUEsBAi0AFAAGAAgAAAAhALaDOJL+&#13;&#10;AAAA4QEAABMAAAAAAAAAAAAAAAAAAAAAAFtDb250ZW50X1R5cGVzXS54bWxQSwECLQAUAAYACAAA&#13;&#10;ACEAOP0h/9YAAACUAQAACwAAAAAAAAAAAAAAAAAvAQAAX3JlbHMvLnJlbHNQSwECLQAUAAYACAAA&#13;&#10;ACEA/El+XU8CAACpBAAADgAAAAAAAAAAAAAAAAAuAgAAZHJzL2Uyb0RvYy54bWxQSwECLQAUAAYA&#13;&#10;CAAAACEANSgv8d8AAAALAQAADwAAAAAAAAAAAAAAAACpBAAAZHJzL2Rvd25yZXYueG1sUEsFBgAA&#13;&#10;AAAEAAQA8wAAALUFAAAAAA==&#13;&#10;" fillcolor="white [3201]" strokeweight=".5pt">
                <v:textbox>
                  <w:txbxContent>
                    <w:p w14:paraId="198276F8" w14:textId="4F877E95" w:rsidR="00613681" w:rsidRDefault="00613681" w:rsidP="00613681">
                      <w:pPr>
                        <w:jc w:val="center"/>
                        <w:rPr>
                          <w:b/>
                          <w:bCs/>
                          <w:sz w:val="20"/>
                          <w:szCs w:val="20"/>
                        </w:rPr>
                      </w:pPr>
                      <w:r>
                        <w:rPr>
                          <w:b/>
                          <w:bCs/>
                          <w:sz w:val="20"/>
                          <w:szCs w:val="20"/>
                        </w:rPr>
                        <w:t xml:space="preserve">Keynesian AD/AS: </w:t>
                      </w:r>
                      <w:r>
                        <w:rPr>
                          <w:b/>
                          <w:bCs/>
                          <w:sz w:val="20"/>
                          <w:szCs w:val="20"/>
                        </w:rPr>
                        <w:t>Contractionary</w:t>
                      </w:r>
                      <w:r>
                        <w:rPr>
                          <w:b/>
                          <w:bCs/>
                          <w:sz w:val="20"/>
                          <w:szCs w:val="20"/>
                        </w:rPr>
                        <w:t xml:space="preserve"> monetary policy</w:t>
                      </w:r>
                    </w:p>
                    <w:p w14:paraId="0C53BD05" w14:textId="03871BEC" w:rsidR="00613681" w:rsidRDefault="00613681" w:rsidP="00613681">
                      <w:pPr>
                        <w:jc w:val="center"/>
                        <w:rPr>
                          <w:b/>
                          <w:bCs/>
                          <w:sz w:val="20"/>
                          <w:szCs w:val="20"/>
                        </w:rPr>
                      </w:pPr>
                    </w:p>
                    <w:p w14:paraId="7146DB90" w14:textId="409B3E42" w:rsidR="00613681" w:rsidRPr="00A46D08" w:rsidRDefault="00613681" w:rsidP="00613681">
                      <w:pPr>
                        <w:jc w:val="center"/>
                        <w:rPr>
                          <w:b/>
                          <w:bCs/>
                          <w:sz w:val="20"/>
                          <w:szCs w:val="20"/>
                        </w:rPr>
                      </w:pPr>
                      <w:r>
                        <w:rPr>
                          <w:noProof/>
                        </w:rPr>
                        <w:drawing>
                          <wp:inline distT="0" distB="0" distL="0" distR="0" wp14:anchorId="1EB02EFD" wp14:editId="3951F1A4">
                            <wp:extent cx="2857500" cy="267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3989" cy="2685785"/>
                                    </a:xfrm>
                                    <a:prstGeom prst="rect">
                                      <a:avLst/>
                                    </a:prstGeom>
                                  </pic:spPr>
                                </pic:pic>
                              </a:graphicData>
                            </a:graphic>
                          </wp:inline>
                        </w:drawing>
                      </w:r>
                    </w:p>
                  </w:txbxContent>
                </v:textbox>
              </v:shape>
            </w:pict>
          </mc:Fallback>
        </mc:AlternateContent>
      </w:r>
      <w:r>
        <w:rPr>
          <w:b/>
          <w:bCs/>
        </w:rPr>
        <w:tab/>
      </w:r>
    </w:p>
    <w:p w14:paraId="0BC36771" w14:textId="77777777" w:rsidR="00613681" w:rsidRDefault="00613681" w:rsidP="00A46D08">
      <w:pPr>
        <w:jc w:val="center"/>
        <w:rPr>
          <w:b/>
          <w:bCs/>
        </w:rPr>
      </w:pPr>
    </w:p>
    <w:p w14:paraId="31FD9603" w14:textId="77777777" w:rsidR="00613681" w:rsidRDefault="00613681" w:rsidP="00A46D08">
      <w:pPr>
        <w:jc w:val="center"/>
        <w:rPr>
          <w:b/>
          <w:bCs/>
        </w:rPr>
      </w:pPr>
    </w:p>
    <w:p w14:paraId="47687DB0" w14:textId="547C3013" w:rsidR="00613681" w:rsidRDefault="00613681" w:rsidP="00A46D08">
      <w:pPr>
        <w:jc w:val="center"/>
        <w:rPr>
          <w:b/>
          <w:bCs/>
        </w:rPr>
      </w:pPr>
    </w:p>
    <w:p w14:paraId="3B4D3DDE" w14:textId="1D4B35E2" w:rsidR="00613681" w:rsidRDefault="00613681" w:rsidP="00A46D08">
      <w:pPr>
        <w:jc w:val="center"/>
        <w:rPr>
          <w:b/>
          <w:bCs/>
        </w:rPr>
      </w:pPr>
    </w:p>
    <w:p w14:paraId="695ED679" w14:textId="7656C2B6" w:rsidR="00613681" w:rsidRDefault="00613681" w:rsidP="00A46D08">
      <w:pPr>
        <w:jc w:val="center"/>
        <w:rPr>
          <w:b/>
          <w:bCs/>
        </w:rPr>
      </w:pPr>
    </w:p>
    <w:p w14:paraId="7978A963" w14:textId="2507431D" w:rsidR="00613681" w:rsidRDefault="00613681" w:rsidP="00A46D08">
      <w:pPr>
        <w:jc w:val="center"/>
        <w:rPr>
          <w:b/>
          <w:bCs/>
        </w:rPr>
      </w:pPr>
    </w:p>
    <w:p w14:paraId="22A664A9" w14:textId="647078EA" w:rsidR="00613681" w:rsidRDefault="00613681" w:rsidP="00A46D08">
      <w:pPr>
        <w:jc w:val="center"/>
        <w:rPr>
          <w:b/>
          <w:bCs/>
        </w:rPr>
      </w:pPr>
    </w:p>
    <w:p w14:paraId="49DB9AD3" w14:textId="08CF6720" w:rsidR="00613681" w:rsidRDefault="00613681" w:rsidP="00A46D08">
      <w:pPr>
        <w:jc w:val="center"/>
        <w:rPr>
          <w:b/>
          <w:bCs/>
        </w:rPr>
      </w:pPr>
    </w:p>
    <w:p w14:paraId="17B3DB45" w14:textId="69EF92B9" w:rsidR="00613681" w:rsidRDefault="00613681" w:rsidP="00A46D08">
      <w:pPr>
        <w:jc w:val="center"/>
        <w:rPr>
          <w:b/>
          <w:bCs/>
        </w:rPr>
      </w:pPr>
    </w:p>
    <w:p w14:paraId="26DCA6F0" w14:textId="79FD15F5" w:rsidR="00613681" w:rsidRDefault="00613681" w:rsidP="00A46D08">
      <w:pPr>
        <w:jc w:val="center"/>
        <w:rPr>
          <w:b/>
          <w:bCs/>
        </w:rPr>
      </w:pPr>
    </w:p>
    <w:p w14:paraId="7D4050DC" w14:textId="276B07AD" w:rsidR="00613681" w:rsidRDefault="00613681" w:rsidP="00A46D08">
      <w:pPr>
        <w:jc w:val="center"/>
        <w:rPr>
          <w:b/>
          <w:bCs/>
        </w:rPr>
      </w:pPr>
    </w:p>
    <w:p w14:paraId="50124626" w14:textId="6819F286" w:rsidR="00613681" w:rsidRDefault="00613681" w:rsidP="00A46D08">
      <w:pPr>
        <w:jc w:val="center"/>
        <w:rPr>
          <w:b/>
          <w:bCs/>
        </w:rPr>
      </w:pPr>
    </w:p>
    <w:p w14:paraId="4679ECE6" w14:textId="4E8214D0" w:rsidR="00613681" w:rsidRDefault="00613681" w:rsidP="00A46D08">
      <w:pPr>
        <w:jc w:val="center"/>
        <w:rPr>
          <w:b/>
          <w:bCs/>
        </w:rPr>
      </w:pPr>
    </w:p>
    <w:p w14:paraId="6F65408F" w14:textId="1A6A955A" w:rsidR="00613681" w:rsidRDefault="00613681" w:rsidP="00A46D08">
      <w:pPr>
        <w:jc w:val="center"/>
        <w:rPr>
          <w:b/>
          <w:bCs/>
        </w:rPr>
      </w:pPr>
    </w:p>
    <w:p w14:paraId="05F06AA7" w14:textId="73382AAF" w:rsidR="00613681" w:rsidRDefault="00613681" w:rsidP="00A46D08">
      <w:pPr>
        <w:jc w:val="center"/>
        <w:rPr>
          <w:b/>
          <w:bCs/>
        </w:rPr>
      </w:pPr>
    </w:p>
    <w:p w14:paraId="4CCA673F" w14:textId="77777777" w:rsidR="00613681" w:rsidRDefault="00613681" w:rsidP="00A46D08">
      <w:pPr>
        <w:jc w:val="center"/>
        <w:rPr>
          <w:b/>
          <w:bCs/>
        </w:rPr>
      </w:pPr>
    </w:p>
    <w:p w14:paraId="4458B0C6" w14:textId="77777777" w:rsidR="00613681" w:rsidRDefault="00613681" w:rsidP="00A46D08">
      <w:pPr>
        <w:jc w:val="center"/>
        <w:rPr>
          <w:b/>
          <w:bCs/>
        </w:rPr>
      </w:pPr>
    </w:p>
    <w:p w14:paraId="50B6A15C" w14:textId="0EAAAA6C" w:rsidR="009D6B8A" w:rsidRDefault="009D6B8A" w:rsidP="00A46D08">
      <w:pPr>
        <w:jc w:val="center"/>
        <w:rPr>
          <w:b/>
          <w:bCs/>
        </w:rPr>
      </w:pPr>
      <w:r>
        <w:rPr>
          <w:b/>
          <w:bCs/>
        </w:rPr>
        <w:t>Strengths and weaknesses of monetary policy</w:t>
      </w:r>
    </w:p>
    <w:p w14:paraId="04F94FBD" w14:textId="6B74A68D" w:rsidR="00890697" w:rsidRDefault="00890697" w:rsidP="00890697"/>
    <w:tbl>
      <w:tblPr>
        <w:tblStyle w:val="GridTable4-Accent2"/>
        <w:tblW w:w="0" w:type="auto"/>
        <w:tblLook w:val="04A0" w:firstRow="1" w:lastRow="0" w:firstColumn="1" w:lastColumn="0" w:noHBand="0" w:noVBand="1"/>
      </w:tblPr>
      <w:tblGrid>
        <w:gridCol w:w="5228"/>
        <w:gridCol w:w="5228"/>
      </w:tblGrid>
      <w:tr w:rsidR="00890697" w14:paraId="6848654C" w14:textId="77777777" w:rsidTr="00890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FBB996A" w14:textId="28990473" w:rsidR="00890697" w:rsidRDefault="00890697" w:rsidP="001E03F4">
            <w:pPr>
              <w:spacing w:line="276" w:lineRule="auto"/>
              <w:jc w:val="center"/>
            </w:pPr>
            <w:r>
              <w:t>Strength of monetary policy</w:t>
            </w:r>
          </w:p>
        </w:tc>
        <w:tc>
          <w:tcPr>
            <w:tcW w:w="5228" w:type="dxa"/>
          </w:tcPr>
          <w:p w14:paraId="1AF947E9" w14:textId="128F7288" w:rsidR="00890697" w:rsidRDefault="00890697" w:rsidP="001E03F4">
            <w:pPr>
              <w:spacing w:line="276" w:lineRule="auto"/>
              <w:jc w:val="center"/>
              <w:cnfStyle w:val="100000000000" w:firstRow="1" w:lastRow="0" w:firstColumn="0" w:lastColumn="0" w:oddVBand="0" w:evenVBand="0" w:oddHBand="0" w:evenHBand="0" w:firstRowFirstColumn="0" w:firstRowLastColumn="0" w:lastRowFirstColumn="0" w:lastRowLastColumn="0"/>
            </w:pPr>
            <w:r>
              <w:t>Weaknesses of monetary policy</w:t>
            </w:r>
          </w:p>
        </w:tc>
      </w:tr>
      <w:tr w:rsidR="00890697" w14:paraId="621086DD" w14:textId="77777777" w:rsidTr="00890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C630288" w14:textId="7DCFCD27" w:rsidR="00890697" w:rsidRPr="005A1A92" w:rsidRDefault="00890697" w:rsidP="001E03F4">
            <w:pPr>
              <w:spacing w:line="276" w:lineRule="auto"/>
              <w:jc w:val="both"/>
              <w:rPr>
                <w:b w:val="0"/>
                <w:bCs w:val="0"/>
                <w:color w:val="833C0B" w:themeColor="accent2" w:themeShade="80"/>
              </w:rPr>
            </w:pPr>
            <w:r w:rsidRPr="005A1A92">
              <w:rPr>
                <w:color w:val="833C0B" w:themeColor="accent2" w:themeShade="80"/>
              </w:rPr>
              <w:t xml:space="preserve">Short decision and implementation lags: </w:t>
            </w:r>
            <w:r w:rsidRPr="005A1A92">
              <w:rPr>
                <w:b w:val="0"/>
                <w:bCs w:val="0"/>
                <w:color w:val="833C0B" w:themeColor="accent2" w:themeShade="80"/>
              </w:rPr>
              <w:t>Monetary policy decisions are made on the first Tuesday of each month and react shortly to changes in the economic climate, thus having a short decision lag</w:t>
            </w:r>
          </w:p>
        </w:tc>
        <w:tc>
          <w:tcPr>
            <w:tcW w:w="5228" w:type="dxa"/>
          </w:tcPr>
          <w:p w14:paraId="3D64E0CA" w14:textId="7BC53C3A" w:rsidR="00890697" w:rsidRPr="005A1A92" w:rsidRDefault="00890697" w:rsidP="001E03F4">
            <w:pPr>
              <w:spacing w:line="276" w:lineRule="auto"/>
              <w:jc w:val="both"/>
              <w:cnfStyle w:val="000000100000" w:firstRow="0" w:lastRow="0" w:firstColumn="0" w:lastColumn="0" w:oddVBand="0" w:evenVBand="0" w:oddHBand="1" w:evenHBand="0" w:firstRowFirstColumn="0" w:firstRowLastColumn="0" w:lastRowFirstColumn="0" w:lastRowLastColumn="0"/>
              <w:rPr>
                <w:color w:val="833C0B" w:themeColor="accent2" w:themeShade="80"/>
              </w:rPr>
            </w:pPr>
            <w:r w:rsidRPr="005A1A92">
              <w:rPr>
                <w:b/>
                <w:bCs/>
                <w:color w:val="833C0B" w:themeColor="accent2" w:themeShade="80"/>
              </w:rPr>
              <w:t>Blunt instrument:</w:t>
            </w:r>
            <w:r w:rsidRPr="005A1A92">
              <w:rPr>
                <w:color w:val="833C0B" w:themeColor="accent2" w:themeShade="80"/>
              </w:rPr>
              <w:t xml:space="preserve"> Monetary policy applies to all industries, sectors and states equally, regardless of different levels of growth, hence being called a ‘blunt instrument’</w:t>
            </w:r>
            <w:r w:rsidR="005A1A92" w:rsidRPr="005A1A92">
              <w:rPr>
                <w:color w:val="833C0B" w:themeColor="accent2" w:themeShade="80"/>
              </w:rPr>
              <w:t xml:space="preserve"> – cannot be directed</w:t>
            </w:r>
          </w:p>
        </w:tc>
      </w:tr>
      <w:tr w:rsidR="00890697" w14:paraId="0AC18134" w14:textId="77777777" w:rsidTr="00890697">
        <w:tc>
          <w:tcPr>
            <w:cnfStyle w:val="001000000000" w:firstRow="0" w:lastRow="0" w:firstColumn="1" w:lastColumn="0" w:oddVBand="0" w:evenVBand="0" w:oddHBand="0" w:evenHBand="0" w:firstRowFirstColumn="0" w:firstRowLastColumn="0" w:lastRowFirstColumn="0" w:lastRowLastColumn="0"/>
            <w:tcW w:w="5228" w:type="dxa"/>
          </w:tcPr>
          <w:p w14:paraId="26D4632F" w14:textId="0C43E8BA" w:rsidR="00890697" w:rsidRPr="005A1A92" w:rsidRDefault="00890697" w:rsidP="001E03F4">
            <w:pPr>
              <w:spacing w:line="276" w:lineRule="auto"/>
              <w:jc w:val="both"/>
              <w:rPr>
                <w:b w:val="0"/>
                <w:bCs w:val="0"/>
                <w:color w:val="3B3838" w:themeColor="background2" w:themeShade="40"/>
              </w:rPr>
            </w:pPr>
            <w:r w:rsidRPr="005A1A92">
              <w:rPr>
                <w:color w:val="3B3838" w:themeColor="background2" w:themeShade="40"/>
              </w:rPr>
              <w:t xml:space="preserve">Effect during booms: </w:t>
            </w:r>
            <w:r w:rsidRPr="005A1A92">
              <w:rPr>
                <w:b w:val="0"/>
                <w:bCs w:val="0"/>
                <w:color w:val="3B3838" w:themeColor="background2" w:themeShade="40"/>
              </w:rPr>
              <w:t>Increasing the cost of borrowing is an effective method of combating high levels of economic activity – increases in cash rates have an immediate effect on households and firms cash flow and an immediate increase in investment risk</w:t>
            </w:r>
          </w:p>
        </w:tc>
        <w:tc>
          <w:tcPr>
            <w:tcW w:w="5228" w:type="dxa"/>
          </w:tcPr>
          <w:p w14:paraId="3CEDD2EC" w14:textId="21190A28" w:rsidR="00890697" w:rsidRPr="005A1A92" w:rsidRDefault="00890697" w:rsidP="001E03F4">
            <w:pPr>
              <w:spacing w:line="276" w:lineRule="auto"/>
              <w:jc w:val="both"/>
              <w:cnfStyle w:val="000000000000" w:firstRow="0" w:lastRow="0" w:firstColumn="0" w:lastColumn="0" w:oddVBand="0" w:evenVBand="0" w:oddHBand="0" w:evenHBand="0" w:firstRowFirstColumn="0" w:firstRowLastColumn="0" w:lastRowFirstColumn="0" w:lastRowLastColumn="0"/>
              <w:rPr>
                <w:color w:val="3B3838" w:themeColor="background2" w:themeShade="40"/>
              </w:rPr>
            </w:pPr>
            <w:r w:rsidRPr="005A1A92">
              <w:rPr>
                <w:b/>
                <w:bCs/>
                <w:color w:val="3B3838" w:themeColor="background2" w:themeShade="40"/>
              </w:rPr>
              <w:t xml:space="preserve">Long effect lag: </w:t>
            </w:r>
            <w:r w:rsidRPr="005A1A92">
              <w:rPr>
                <w:color w:val="3B3838" w:themeColor="background2" w:themeShade="40"/>
              </w:rPr>
              <w:t>Monetary policy has a long effect lag as it works indirectly through the transmission mechanism to reduce or increase aggregate demand – to combat this, the RBA makes the cash rate decisions based on the mid-term economic outlook</w:t>
            </w:r>
          </w:p>
        </w:tc>
      </w:tr>
      <w:tr w:rsidR="00890697" w14:paraId="0099795F" w14:textId="77777777" w:rsidTr="00890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8806FC7" w14:textId="5E1446D4" w:rsidR="00890697" w:rsidRPr="005A1A92" w:rsidRDefault="00890697" w:rsidP="001E03F4">
            <w:pPr>
              <w:spacing w:line="276" w:lineRule="auto"/>
              <w:jc w:val="both"/>
              <w:rPr>
                <w:b w:val="0"/>
                <w:bCs w:val="0"/>
                <w:color w:val="833C0B" w:themeColor="accent2" w:themeShade="80"/>
              </w:rPr>
            </w:pPr>
            <w:r w:rsidRPr="005A1A92">
              <w:rPr>
                <w:color w:val="833C0B" w:themeColor="accent2" w:themeShade="80"/>
              </w:rPr>
              <w:t xml:space="preserve">No political influence: </w:t>
            </w:r>
            <w:r w:rsidRPr="005A1A92">
              <w:rPr>
                <w:b w:val="0"/>
                <w:bCs w:val="0"/>
                <w:color w:val="833C0B" w:themeColor="accent2" w:themeShade="80"/>
              </w:rPr>
              <w:t>The RBA isn’t influenced by the political spectrum of government but is an independent authority where all decisions made by the bank are solely based on economic reasons to achieve the RBA’s three economic objectives</w:t>
            </w:r>
          </w:p>
        </w:tc>
        <w:tc>
          <w:tcPr>
            <w:tcW w:w="5228" w:type="dxa"/>
          </w:tcPr>
          <w:p w14:paraId="224D0A86" w14:textId="428BDCB7" w:rsidR="00890697" w:rsidRPr="005A1A92" w:rsidRDefault="00890697" w:rsidP="001E03F4">
            <w:pPr>
              <w:spacing w:line="276" w:lineRule="auto"/>
              <w:jc w:val="both"/>
              <w:cnfStyle w:val="000000100000" w:firstRow="0" w:lastRow="0" w:firstColumn="0" w:lastColumn="0" w:oddVBand="0" w:evenVBand="0" w:oddHBand="1" w:evenHBand="0" w:firstRowFirstColumn="0" w:firstRowLastColumn="0" w:lastRowFirstColumn="0" w:lastRowLastColumn="0"/>
              <w:rPr>
                <w:color w:val="833C0B" w:themeColor="accent2" w:themeShade="80"/>
              </w:rPr>
            </w:pPr>
            <w:r w:rsidRPr="005A1A92">
              <w:rPr>
                <w:b/>
                <w:bCs/>
                <w:color w:val="833C0B" w:themeColor="accent2" w:themeShade="80"/>
              </w:rPr>
              <w:t xml:space="preserve">Ineffective during a trough: </w:t>
            </w:r>
            <w:r w:rsidRPr="005A1A92">
              <w:rPr>
                <w:color w:val="833C0B" w:themeColor="accent2" w:themeShade="80"/>
              </w:rPr>
              <w:t>During a trough, low levels of economic activity create a lack of confidence in the economy that outweighs the benefits of low cash rates – households will still save despite low deposit rates</w:t>
            </w:r>
          </w:p>
        </w:tc>
      </w:tr>
      <w:tr w:rsidR="00890697" w14:paraId="3510290B" w14:textId="77777777" w:rsidTr="005A1A92">
        <w:tc>
          <w:tcPr>
            <w:cnfStyle w:val="001000000000" w:firstRow="0" w:lastRow="0" w:firstColumn="1" w:lastColumn="0" w:oddVBand="0" w:evenVBand="0" w:oddHBand="0" w:evenHBand="0" w:firstRowFirstColumn="0" w:firstRowLastColumn="0" w:lastRowFirstColumn="0" w:lastRowLastColumn="0"/>
            <w:tcW w:w="5228" w:type="dxa"/>
          </w:tcPr>
          <w:p w14:paraId="08D81738" w14:textId="2AE02483" w:rsidR="00890697" w:rsidRPr="005A1A92" w:rsidRDefault="00890697" w:rsidP="001E03F4">
            <w:pPr>
              <w:spacing w:line="276" w:lineRule="auto"/>
              <w:jc w:val="both"/>
              <w:rPr>
                <w:b w:val="0"/>
                <w:bCs w:val="0"/>
                <w:color w:val="3B3838" w:themeColor="background2" w:themeShade="40"/>
              </w:rPr>
            </w:pPr>
            <w:r w:rsidRPr="005A1A92">
              <w:rPr>
                <w:color w:val="3B3838" w:themeColor="background2" w:themeShade="40"/>
              </w:rPr>
              <w:t xml:space="preserve">Strong links to exchange rate: </w:t>
            </w:r>
            <w:r w:rsidRPr="005A1A92">
              <w:rPr>
                <w:b w:val="0"/>
                <w:bCs w:val="0"/>
                <w:color w:val="3B3838" w:themeColor="background2" w:themeShade="40"/>
              </w:rPr>
              <w:t>Changes in the cash rate often have an immediate effect on the exchange rate – in most cases, changes to the cash rate are followed by expected market movements in the floated exchange rate of the AUD</w:t>
            </w:r>
          </w:p>
        </w:tc>
        <w:tc>
          <w:tcPr>
            <w:tcW w:w="5228" w:type="dxa"/>
            <w:shd w:val="clear" w:color="auto" w:fill="auto"/>
          </w:tcPr>
          <w:p w14:paraId="64FF669B" w14:textId="261ABF23" w:rsidR="00890697" w:rsidRPr="005A1A92" w:rsidRDefault="005A1A92" w:rsidP="001E03F4">
            <w:pPr>
              <w:spacing w:line="276" w:lineRule="auto"/>
              <w:jc w:val="both"/>
              <w:cnfStyle w:val="000000000000" w:firstRow="0" w:lastRow="0" w:firstColumn="0" w:lastColumn="0" w:oddVBand="0" w:evenVBand="0" w:oddHBand="0" w:evenHBand="0" w:firstRowFirstColumn="0" w:firstRowLastColumn="0" w:lastRowFirstColumn="0" w:lastRowLastColumn="0"/>
              <w:rPr>
                <w:color w:val="3B3838" w:themeColor="background2" w:themeShade="40"/>
              </w:rPr>
            </w:pPr>
            <w:r w:rsidRPr="005A1A92">
              <w:rPr>
                <w:b/>
                <w:bCs/>
                <w:color w:val="3B3838" w:themeColor="background2" w:themeShade="40"/>
              </w:rPr>
              <w:t xml:space="preserve">The liquidity trap: </w:t>
            </w:r>
            <w:r w:rsidRPr="005A1A92">
              <w:rPr>
                <w:color w:val="3B3838" w:themeColor="background2" w:themeShade="40"/>
              </w:rPr>
              <w:t>When interest rates are low, and unemployment rates are high, economic outlook is bleak and despite interest rates people are not borrowing money – they are not confident</w:t>
            </w:r>
          </w:p>
        </w:tc>
      </w:tr>
    </w:tbl>
    <w:p w14:paraId="75266575" w14:textId="64A908B2" w:rsidR="00890697" w:rsidRDefault="00890697" w:rsidP="00890697"/>
    <w:p w14:paraId="43BF8C8D" w14:textId="0216DB04" w:rsidR="001E03F4" w:rsidRDefault="001E03F4" w:rsidP="001E03F4">
      <w:pPr>
        <w:jc w:val="center"/>
        <w:rPr>
          <w:b/>
          <w:bCs/>
        </w:rPr>
      </w:pPr>
      <w:r>
        <w:rPr>
          <w:b/>
          <w:bCs/>
        </w:rPr>
        <w:t>Recent monetary policy in Australia</w:t>
      </w:r>
    </w:p>
    <w:p w14:paraId="41DCDB1B" w14:textId="50CE780E" w:rsidR="001E03F4" w:rsidRDefault="001E03F4" w:rsidP="001E03F4">
      <w:pPr>
        <w:jc w:val="center"/>
        <w:rPr>
          <w:b/>
          <w:bCs/>
        </w:rPr>
      </w:pPr>
    </w:p>
    <w:p w14:paraId="17067580" w14:textId="77777777" w:rsidR="001E03F4" w:rsidRDefault="001E03F4" w:rsidP="001E03F4">
      <w:pPr>
        <w:spacing w:line="276" w:lineRule="auto"/>
        <w:jc w:val="both"/>
      </w:pPr>
      <w:r>
        <w:t xml:space="preserve">In 2008, cash rate was 7%. The GFC led to a decline in the global economy, and to some extent the domestic economy. But the government chose to tackle the GFC using fiscal policy (by spending money). </w:t>
      </w:r>
      <w:r>
        <w:lastRenderedPageBreak/>
        <w:t xml:space="preserve">Simultaneously, monetary policy was used as the cash rate was placed at 3%. After the GFC had finished, by 2011, the cash rate was approximately 5%. The target cash rate has fallen since 2011, falling to below 1% in 2019 (following a steady decline). Real interest rates was negative (less than inflation), and during this period low interest rates did not achieve its goal of growth in the economy. </w:t>
      </w:r>
    </w:p>
    <w:p w14:paraId="56E7683D" w14:textId="77777777" w:rsidR="001E03F4" w:rsidRDefault="001E03F4" w:rsidP="001E03F4">
      <w:pPr>
        <w:spacing w:line="276" w:lineRule="auto"/>
        <w:jc w:val="both"/>
      </w:pPr>
    </w:p>
    <w:p w14:paraId="1BE08921" w14:textId="7C8020D3" w:rsidR="001E03F4" w:rsidRDefault="001E03F4" w:rsidP="001E03F4">
      <w:pPr>
        <w:spacing w:line="276" w:lineRule="auto"/>
        <w:jc w:val="both"/>
      </w:pPr>
      <w:r>
        <w:t>Causes may have been the current level of debt (at that time) which may have been high, so they were not in a position to borrow more.</w:t>
      </w:r>
      <w:r w:rsidR="009B7409">
        <w:t xml:space="preserve"> High level of debt preference, which has declined since the GFC. Wage growth was slow during this period. Underemployment was increasing, as full-time workers were made to be part-time, which would affect the level of income, and therefore affect the confidence in borrowing. Australia’s exchange rate was high during this period due to the fact that we had higher interest rates relative to our competing nations. This led to a high level of capital inflow, meaning our exports are expensive, our imports are cheaper, which does not assist in creating growth. After the GFC, baby boomers were hit the heaviest as the shares in their super declined along with their house prices.</w:t>
      </w:r>
    </w:p>
    <w:p w14:paraId="5A78430D" w14:textId="52B12210" w:rsidR="00525CFF" w:rsidRDefault="00525CFF" w:rsidP="001E03F4">
      <w:pPr>
        <w:spacing w:line="276" w:lineRule="auto"/>
        <w:jc w:val="both"/>
      </w:pPr>
    </w:p>
    <w:p w14:paraId="70749F91" w14:textId="35966098" w:rsidR="00525CFF" w:rsidRDefault="00525CFF" w:rsidP="00525CFF">
      <w:pPr>
        <w:spacing w:line="276" w:lineRule="auto"/>
        <w:jc w:val="center"/>
        <w:rPr>
          <w:b/>
          <w:bCs/>
        </w:rPr>
      </w:pPr>
      <w:r>
        <w:rPr>
          <w:b/>
          <w:bCs/>
        </w:rPr>
        <w:t>Unconventional monetary policy</w:t>
      </w:r>
    </w:p>
    <w:p w14:paraId="65047FC8" w14:textId="78A71051" w:rsidR="002444A5" w:rsidRDefault="002444A5" w:rsidP="002444A5">
      <w:pPr>
        <w:spacing w:line="276" w:lineRule="auto"/>
        <w:rPr>
          <w:b/>
          <w:bCs/>
        </w:rPr>
      </w:pPr>
    </w:p>
    <w:p w14:paraId="3C29EC83" w14:textId="430D84A2" w:rsidR="002444A5" w:rsidRPr="002444A5" w:rsidRDefault="002444A5" w:rsidP="002444A5">
      <w:pPr>
        <w:pStyle w:val="ListParagraph"/>
        <w:numPr>
          <w:ilvl w:val="0"/>
          <w:numId w:val="10"/>
        </w:numPr>
        <w:spacing w:line="276" w:lineRule="auto"/>
        <w:jc w:val="both"/>
        <w:rPr>
          <w:b/>
          <w:bCs/>
        </w:rPr>
      </w:pPr>
      <w:r>
        <w:t>In March 2020, the RBA announced that it would commence using other instruments, in addition to the cash rate, “to lower funding costs and support the supply of credit” (RBA, 2020)</w:t>
      </w:r>
    </w:p>
    <w:p w14:paraId="78A61237" w14:textId="593C3707" w:rsidR="002444A5" w:rsidRDefault="002444A5" w:rsidP="002444A5">
      <w:pPr>
        <w:spacing w:line="276" w:lineRule="auto"/>
        <w:jc w:val="both"/>
        <w:rPr>
          <w:b/>
          <w:bCs/>
        </w:rPr>
      </w:pPr>
    </w:p>
    <w:p w14:paraId="7617F4EF" w14:textId="11AD8484" w:rsidR="002444A5" w:rsidRPr="002444A5" w:rsidRDefault="002444A5" w:rsidP="002444A5">
      <w:pPr>
        <w:pStyle w:val="ListParagraph"/>
        <w:numPr>
          <w:ilvl w:val="0"/>
          <w:numId w:val="12"/>
        </w:numPr>
        <w:spacing w:line="276" w:lineRule="auto"/>
        <w:jc w:val="both"/>
        <w:rPr>
          <w:b/>
          <w:bCs/>
        </w:rPr>
      </w:pPr>
      <w:r>
        <w:t>Quantitative easing (QE)</w:t>
      </w:r>
    </w:p>
    <w:p w14:paraId="48C1713A" w14:textId="646F279A" w:rsidR="002444A5" w:rsidRPr="002444A5" w:rsidRDefault="002444A5" w:rsidP="002444A5">
      <w:pPr>
        <w:pStyle w:val="ListParagraph"/>
        <w:numPr>
          <w:ilvl w:val="0"/>
          <w:numId w:val="12"/>
        </w:numPr>
        <w:spacing w:line="276" w:lineRule="auto"/>
        <w:jc w:val="both"/>
        <w:rPr>
          <w:b/>
          <w:bCs/>
        </w:rPr>
      </w:pPr>
      <w:r>
        <w:t>A term funding facility to deposit-taking institutions</w:t>
      </w:r>
    </w:p>
    <w:p w14:paraId="174F339D" w14:textId="2DE4CA3E" w:rsidR="002444A5" w:rsidRPr="002444A5" w:rsidRDefault="002444A5" w:rsidP="002444A5">
      <w:pPr>
        <w:pStyle w:val="ListParagraph"/>
        <w:numPr>
          <w:ilvl w:val="0"/>
          <w:numId w:val="12"/>
        </w:numPr>
        <w:spacing w:line="276" w:lineRule="auto"/>
        <w:jc w:val="both"/>
        <w:rPr>
          <w:b/>
          <w:bCs/>
        </w:rPr>
      </w:pPr>
      <w:r>
        <w:t>Forward guidance</w:t>
      </w:r>
    </w:p>
    <w:p w14:paraId="3D2F7DAC" w14:textId="559DF444" w:rsidR="002444A5" w:rsidRPr="00B73CDE" w:rsidRDefault="002444A5" w:rsidP="002444A5">
      <w:pPr>
        <w:pStyle w:val="ListParagraph"/>
        <w:numPr>
          <w:ilvl w:val="0"/>
          <w:numId w:val="12"/>
        </w:numPr>
        <w:spacing w:line="276" w:lineRule="auto"/>
        <w:jc w:val="both"/>
        <w:rPr>
          <w:b/>
          <w:bCs/>
        </w:rPr>
      </w:pPr>
      <w:r>
        <w:t>Changes to interest rates of exchange settlement accounts by authorised deposit-taking institutions (ADIs)</w:t>
      </w:r>
    </w:p>
    <w:p w14:paraId="27B0A94D" w14:textId="2492CCA0" w:rsidR="00B73CDE" w:rsidRDefault="00B73CDE" w:rsidP="00B73CDE">
      <w:pPr>
        <w:spacing w:line="276" w:lineRule="auto"/>
        <w:jc w:val="both"/>
        <w:rPr>
          <w:b/>
          <w:bCs/>
        </w:rPr>
      </w:pPr>
    </w:p>
    <w:p w14:paraId="2EC0C99A" w14:textId="2C4EAD90" w:rsidR="00B73CDE" w:rsidRPr="00B73CDE" w:rsidRDefault="00B73CDE" w:rsidP="00B73CDE">
      <w:pPr>
        <w:pStyle w:val="ListParagraph"/>
        <w:numPr>
          <w:ilvl w:val="0"/>
          <w:numId w:val="10"/>
        </w:numPr>
        <w:spacing w:line="276" w:lineRule="auto"/>
        <w:jc w:val="both"/>
        <w:rPr>
          <w:b/>
          <w:bCs/>
        </w:rPr>
      </w:pPr>
      <w:r>
        <w:t>The government sells bonds to finance its spending, especially when the budget is in deficit – they’re typically purchased by investors and institutions like superannuation funds seeking to hold a proportion of safe assets in their portfolio</w:t>
      </w:r>
    </w:p>
    <w:p w14:paraId="616548E0" w14:textId="3ECB994D" w:rsidR="00B73CDE" w:rsidRPr="00B73CDE" w:rsidRDefault="00B73CDE" w:rsidP="00B73CDE">
      <w:pPr>
        <w:pStyle w:val="ListParagraph"/>
        <w:numPr>
          <w:ilvl w:val="0"/>
          <w:numId w:val="10"/>
        </w:numPr>
        <w:spacing w:line="276" w:lineRule="auto"/>
        <w:jc w:val="both"/>
        <w:rPr>
          <w:b/>
          <w:bCs/>
        </w:rPr>
      </w:pPr>
      <w:r>
        <w:t>The primary bond market is where the government initially sells the bonds to raise finance, and the bonds can then be traded by the public (investment companies and institutions) in the secondary market</w:t>
      </w:r>
    </w:p>
    <w:p w14:paraId="23C4F046" w14:textId="43C3E70F" w:rsidR="00B73CDE" w:rsidRDefault="00B73CDE" w:rsidP="00B73CDE">
      <w:pPr>
        <w:spacing w:line="276" w:lineRule="auto"/>
        <w:jc w:val="both"/>
        <w:rPr>
          <w:b/>
          <w:bCs/>
        </w:rPr>
      </w:pPr>
    </w:p>
    <w:p w14:paraId="4D8409E8" w14:textId="5D7CF2DB" w:rsidR="005A5AA4" w:rsidRDefault="005A5AA4" w:rsidP="00B73CDE">
      <w:pPr>
        <w:spacing w:line="276" w:lineRule="auto"/>
        <w:jc w:val="both"/>
        <w:rPr>
          <w:b/>
          <w:bCs/>
        </w:rPr>
      </w:pPr>
    </w:p>
    <w:p w14:paraId="1D7D92C7" w14:textId="7574A040" w:rsidR="005A5AA4" w:rsidRDefault="005A5AA4" w:rsidP="00B73CDE">
      <w:pPr>
        <w:spacing w:line="276" w:lineRule="auto"/>
        <w:jc w:val="both"/>
        <w:rPr>
          <w:b/>
          <w:bCs/>
        </w:rPr>
      </w:pPr>
    </w:p>
    <w:p w14:paraId="1634ADCA" w14:textId="7DFBDFA4" w:rsidR="005A5AA4" w:rsidRDefault="005A5AA4" w:rsidP="00B73CDE">
      <w:pPr>
        <w:spacing w:line="276" w:lineRule="auto"/>
        <w:jc w:val="both"/>
        <w:rPr>
          <w:b/>
          <w:bCs/>
        </w:rPr>
      </w:pPr>
    </w:p>
    <w:p w14:paraId="42BF9ECC" w14:textId="4C3BDAA4" w:rsidR="005A5AA4" w:rsidRDefault="005A5AA4" w:rsidP="00B73CDE">
      <w:pPr>
        <w:spacing w:line="276" w:lineRule="auto"/>
        <w:jc w:val="both"/>
        <w:rPr>
          <w:b/>
          <w:bCs/>
        </w:rPr>
      </w:pPr>
    </w:p>
    <w:p w14:paraId="2F3F99F3" w14:textId="3601C6FC" w:rsidR="005A5AA4" w:rsidRDefault="005A5AA4" w:rsidP="00B73CDE">
      <w:pPr>
        <w:spacing w:line="276" w:lineRule="auto"/>
        <w:jc w:val="both"/>
        <w:rPr>
          <w:b/>
          <w:bCs/>
        </w:rPr>
      </w:pPr>
    </w:p>
    <w:p w14:paraId="7D3B84DD" w14:textId="6F6511E3" w:rsidR="005A5AA4" w:rsidRDefault="005A5AA4" w:rsidP="00B73CDE">
      <w:pPr>
        <w:spacing w:line="276" w:lineRule="auto"/>
        <w:jc w:val="both"/>
        <w:rPr>
          <w:b/>
          <w:bCs/>
        </w:rPr>
      </w:pPr>
    </w:p>
    <w:p w14:paraId="136C1832" w14:textId="34E8EAD7" w:rsidR="005A5AA4" w:rsidRDefault="005A5AA4" w:rsidP="00B73CDE">
      <w:pPr>
        <w:spacing w:line="276" w:lineRule="auto"/>
        <w:jc w:val="both"/>
        <w:rPr>
          <w:b/>
          <w:bCs/>
        </w:rPr>
      </w:pPr>
    </w:p>
    <w:p w14:paraId="6686082E" w14:textId="3EF4B0E4" w:rsidR="005A5AA4" w:rsidRDefault="005A5AA4" w:rsidP="00B73CDE">
      <w:pPr>
        <w:spacing w:line="276" w:lineRule="auto"/>
        <w:jc w:val="both"/>
        <w:rPr>
          <w:b/>
          <w:bCs/>
        </w:rPr>
      </w:pPr>
    </w:p>
    <w:p w14:paraId="4C32EF0C" w14:textId="59097F7E" w:rsidR="005A5AA4" w:rsidRDefault="005A5AA4" w:rsidP="00B73CDE">
      <w:pPr>
        <w:spacing w:line="276" w:lineRule="auto"/>
        <w:jc w:val="both"/>
        <w:rPr>
          <w:b/>
          <w:bCs/>
        </w:rPr>
      </w:pPr>
    </w:p>
    <w:p w14:paraId="5C6CE056" w14:textId="57E71BBB" w:rsidR="005A5AA4" w:rsidRDefault="005A5AA4" w:rsidP="00B73CDE">
      <w:pPr>
        <w:spacing w:line="276" w:lineRule="auto"/>
        <w:jc w:val="both"/>
        <w:rPr>
          <w:b/>
          <w:bCs/>
        </w:rPr>
      </w:pPr>
    </w:p>
    <w:p w14:paraId="581FC2A1" w14:textId="557A7154" w:rsidR="005A5AA4" w:rsidRDefault="005A5AA4" w:rsidP="00B73CDE">
      <w:pPr>
        <w:spacing w:line="276" w:lineRule="auto"/>
        <w:jc w:val="both"/>
        <w:rPr>
          <w:b/>
          <w:bCs/>
        </w:rPr>
      </w:pPr>
    </w:p>
    <w:p w14:paraId="555A915C" w14:textId="77777777" w:rsidR="005A5AA4" w:rsidRDefault="005A5AA4" w:rsidP="00B73CDE">
      <w:pPr>
        <w:spacing w:line="276" w:lineRule="auto"/>
        <w:jc w:val="both"/>
        <w:rPr>
          <w:b/>
          <w:bCs/>
        </w:rPr>
      </w:pPr>
    </w:p>
    <w:tbl>
      <w:tblPr>
        <w:tblStyle w:val="GridTable4-Accent2"/>
        <w:tblW w:w="0" w:type="auto"/>
        <w:tblLook w:val="04A0" w:firstRow="1" w:lastRow="0" w:firstColumn="1" w:lastColumn="0" w:noHBand="0" w:noVBand="1"/>
      </w:tblPr>
      <w:tblGrid>
        <w:gridCol w:w="10456"/>
      </w:tblGrid>
      <w:tr w:rsidR="00B73CDE" w14:paraId="47767DDD" w14:textId="77777777" w:rsidTr="00B73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492FBD1B" w14:textId="524CC646" w:rsidR="00B73CDE" w:rsidRPr="00B73CDE" w:rsidRDefault="00B73CDE" w:rsidP="00B73CDE">
            <w:pPr>
              <w:spacing w:line="276" w:lineRule="auto"/>
              <w:jc w:val="center"/>
            </w:pPr>
            <w:r>
              <w:lastRenderedPageBreak/>
              <w:t>Unconventional monetary policy</w:t>
            </w:r>
          </w:p>
        </w:tc>
      </w:tr>
      <w:tr w:rsidR="00B73CDE" w14:paraId="277873B4" w14:textId="77777777" w:rsidTr="00B73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27C764F3" w14:textId="106151BB" w:rsidR="00B73CDE" w:rsidRPr="00B73CDE" w:rsidRDefault="00B73CDE" w:rsidP="00B73CDE">
            <w:pPr>
              <w:spacing w:line="276" w:lineRule="auto"/>
              <w:jc w:val="center"/>
              <w:rPr>
                <w:color w:val="833C0B" w:themeColor="accent2" w:themeShade="80"/>
              </w:rPr>
            </w:pPr>
            <w:r w:rsidRPr="00B73CDE">
              <w:rPr>
                <w:color w:val="833C0B" w:themeColor="accent2" w:themeShade="80"/>
              </w:rPr>
              <w:t>Quantitative easing (QE)</w:t>
            </w:r>
          </w:p>
        </w:tc>
      </w:tr>
      <w:tr w:rsidR="00B73CDE" w14:paraId="16871B92" w14:textId="77777777" w:rsidTr="00B73CDE">
        <w:tc>
          <w:tcPr>
            <w:cnfStyle w:val="001000000000" w:firstRow="0" w:lastRow="0" w:firstColumn="1" w:lastColumn="0" w:oddVBand="0" w:evenVBand="0" w:oddHBand="0" w:evenHBand="0" w:firstRowFirstColumn="0" w:firstRowLastColumn="0" w:lastRowFirstColumn="0" w:lastRowLastColumn="0"/>
            <w:tcW w:w="10456" w:type="dxa"/>
          </w:tcPr>
          <w:p w14:paraId="52FB876C" w14:textId="75A5CF2E" w:rsidR="00B73CDE" w:rsidRDefault="00B73CDE" w:rsidP="00B73CDE">
            <w:pPr>
              <w:spacing w:line="276" w:lineRule="auto"/>
              <w:jc w:val="both"/>
              <w:rPr>
                <w:b w:val="0"/>
                <w:bCs w:val="0"/>
              </w:rPr>
            </w:pPr>
            <w:r>
              <w:rPr>
                <w:b w:val="0"/>
                <w:bCs w:val="0"/>
              </w:rPr>
              <w:t>Quantitative easing is when the RBA buys government bonds on the secondary market. This increases demand for bonds in the market, and thus their price. When the price of a band rises however, its effective yield falls, which is why QE drives down interest rates. In theory, this increases the money supply which effectively pumps cash into the economy. When the banks have more money, they can lend more readily to businesses and consumers, which in turns leads to greater spending, and ultimately more economic activity. QE has risks however; it can push up asset prices if the cash pumped into the economy increases the demand for housing or shares in public companies, and can reduce the incentive to save as it drives interest rates lower.</w:t>
            </w:r>
          </w:p>
        </w:tc>
      </w:tr>
      <w:tr w:rsidR="00B73CDE" w14:paraId="4FD32A73" w14:textId="77777777" w:rsidTr="00B73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1B420C00" w14:textId="59357FDA" w:rsidR="00B73CDE" w:rsidRPr="00B73CDE" w:rsidRDefault="00B73CDE" w:rsidP="00B73CDE">
            <w:pPr>
              <w:spacing w:line="276" w:lineRule="auto"/>
              <w:jc w:val="center"/>
              <w:rPr>
                <w:color w:val="833C0B" w:themeColor="accent2" w:themeShade="80"/>
              </w:rPr>
            </w:pPr>
            <w:r>
              <w:rPr>
                <w:color w:val="833C0B" w:themeColor="accent2" w:themeShade="80"/>
              </w:rPr>
              <w:t>Term Funding Facility (TFF)</w:t>
            </w:r>
          </w:p>
        </w:tc>
      </w:tr>
      <w:tr w:rsidR="00B73CDE" w14:paraId="2D7958E9" w14:textId="77777777" w:rsidTr="00B73CDE">
        <w:tc>
          <w:tcPr>
            <w:cnfStyle w:val="001000000000" w:firstRow="0" w:lastRow="0" w:firstColumn="1" w:lastColumn="0" w:oddVBand="0" w:evenVBand="0" w:oddHBand="0" w:evenHBand="0" w:firstRowFirstColumn="0" w:firstRowLastColumn="0" w:lastRowFirstColumn="0" w:lastRowLastColumn="0"/>
            <w:tcW w:w="10456" w:type="dxa"/>
          </w:tcPr>
          <w:p w14:paraId="08C29FCE" w14:textId="62B52EA4" w:rsidR="00B73CDE" w:rsidRPr="00B73CDE" w:rsidRDefault="00B73CDE" w:rsidP="00B73CDE">
            <w:pPr>
              <w:spacing w:line="276" w:lineRule="auto"/>
              <w:jc w:val="both"/>
              <w:rPr>
                <w:b w:val="0"/>
                <w:bCs w:val="0"/>
              </w:rPr>
            </w:pPr>
            <w:r>
              <w:rPr>
                <w:b w:val="0"/>
                <w:bCs w:val="0"/>
              </w:rPr>
              <w:t>The RBA announced a $90bn TFF, which provides three-year funding for approved deposit-taking institutions such as banks at a fixes interest rate of 25 basis points (0.25%). The objective is to provide financial institutions with greater confidence about their access to funding, and to lower their funding costs, which can be passed on as lower household and business borrowing costs.</w:t>
            </w:r>
          </w:p>
        </w:tc>
      </w:tr>
      <w:tr w:rsidR="00B73CDE" w14:paraId="0825F593" w14:textId="77777777" w:rsidTr="00B73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1EBB07C6" w14:textId="6DA0D16D" w:rsidR="00B73CDE" w:rsidRPr="00B73CDE" w:rsidRDefault="00B73CDE" w:rsidP="00B73CDE">
            <w:pPr>
              <w:spacing w:line="276" w:lineRule="auto"/>
              <w:jc w:val="center"/>
              <w:rPr>
                <w:color w:val="833C0B" w:themeColor="accent2" w:themeShade="80"/>
              </w:rPr>
            </w:pPr>
            <w:r>
              <w:rPr>
                <w:color w:val="833C0B" w:themeColor="accent2" w:themeShade="80"/>
              </w:rPr>
              <w:t>Forward guidance</w:t>
            </w:r>
          </w:p>
        </w:tc>
      </w:tr>
      <w:tr w:rsidR="00B73CDE" w14:paraId="136EB035" w14:textId="77777777" w:rsidTr="00B73CDE">
        <w:tc>
          <w:tcPr>
            <w:cnfStyle w:val="001000000000" w:firstRow="0" w:lastRow="0" w:firstColumn="1" w:lastColumn="0" w:oddVBand="0" w:evenVBand="0" w:oddHBand="0" w:evenHBand="0" w:firstRowFirstColumn="0" w:firstRowLastColumn="0" w:lastRowFirstColumn="0" w:lastRowLastColumn="0"/>
            <w:tcW w:w="10456" w:type="dxa"/>
          </w:tcPr>
          <w:p w14:paraId="075999D2" w14:textId="1590BE0F" w:rsidR="00B73CDE" w:rsidRPr="00B73CDE" w:rsidRDefault="00B73CDE" w:rsidP="00B73CDE">
            <w:pPr>
              <w:spacing w:line="276" w:lineRule="auto"/>
              <w:jc w:val="both"/>
              <w:rPr>
                <w:b w:val="0"/>
                <w:bCs w:val="0"/>
              </w:rPr>
            </w:pPr>
            <w:r>
              <w:rPr>
                <w:b w:val="0"/>
                <w:bCs w:val="0"/>
              </w:rPr>
              <w:t>The Reserve Bank issued notice that the short to medium term (approximately 3 years) future would be one which had low interest rates, and this would remain the case until inflation re</w:t>
            </w:r>
            <w:r w:rsidR="00185B01">
              <w:rPr>
                <w:b w:val="0"/>
                <w:bCs w:val="0"/>
              </w:rPr>
              <w:t>aches the 2-3% range. The focus now is on reducing unemployment levels.</w:t>
            </w:r>
          </w:p>
        </w:tc>
      </w:tr>
      <w:tr w:rsidR="00185B01" w14:paraId="1DD4C155" w14:textId="77777777" w:rsidTr="00B73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34F10836" w14:textId="18F0D01D" w:rsidR="00185B01" w:rsidRPr="00185B01" w:rsidRDefault="00185B01" w:rsidP="00185B01">
            <w:pPr>
              <w:spacing w:line="276" w:lineRule="auto"/>
              <w:jc w:val="center"/>
              <w:rPr>
                <w:color w:val="833C0B" w:themeColor="accent2" w:themeShade="80"/>
              </w:rPr>
            </w:pPr>
            <w:r w:rsidRPr="00185B01">
              <w:rPr>
                <w:color w:val="833C0B" w:themeColor="accent2" w:themeShade="80"/>
              </w:rPr>
              <w:t>Changes to interest rates on ESAs by ADIs</w:t>
            </w:r>
          </w:p>
        </w:tc>
      </w:tr>
      <w:tr w:rsidR="00185B01" w14:paraId="4434ED40" w14:textId="77777777" w:rsidTr="00B73CDE">
        <w:tc>
          <w:tcPr>
            <w:cnfStyle w:val="001000000000" w:firstRow="0" w:lastRow="0" w:firstColumn="1" w:lastColumn="0" w:oddVBand="0" w:evenVBand="0" w:oddHBand="0" w:evenHBand="0" w:firstRowFirstColumn="0" w:firstRowLastColumn="0" w:lastRowFirstColumn="0" w:lastRowLastColumn="0"/>
            <w:tcW w:w="10456" w:type="dxa"/>
          </w:tcPr>
          <w:p w14:paraId="0833BF0C" w14:textId="5D97F4BA" w:rsidR="00185B01" w:rsidRPr="00185B01" w:rsidRDefault="00185B01" w:rsidP="00185B01">
            <w:pPr>
              <w:spacing w:line="276" w:lineRule="auto"/>
              <w:jc w:val="both"/>
              <w:rPr>
                <w:b w:val="0"/>
                <w:bCs w:val="0"/>
              </w:rPr>
            </w:pPr>
            <w:r>
              <w:rPr>
                <w:b w:val="0"/>
                <w:bCs w:val="0"/>
              </w:rPr>
              <w:t>The new cash rate is 0.1%, and this has been put in place to minimise the costs to banks in performing normal business operations, so that they can lend at the most competitive rate to businesses to encourage investment and growth in employment.</w:t>
            </w:r>
          </w:p>
        </w:tc>
      </w:tr>
    </w:tbl>
    <w:p w14:paraId="15F1F419" w14:textId="77777777" w:rsidR="00B73CDE" w:rsidRPr="00B73CDE" w:rsidRDefault="00B73CDE" w:rsidP="00B73CDE">
      <w:pPr>
        <w:spacing w:line="276" w:lineRule="auto"/>
        <w:jc w:val="both"/>
        <w:rPr>
          <w:b/>
          <w:bCs/>
        </w:rPr>
      </w:pPr>
    </w:p>
    <w:sectPr w:rsidR="00B73CDE" w:rsidRPr="00B73CDE" w:rsidSect="00494CA7">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1EC9F" w14:textId="77777777" w:rsidR="00B578B4" w:rsidRDefault="00B578B4" w:rsidP="00494CA7">
      <w:r>
        <w:separator/>
      </w:r>
    </w:p>
  </w:endnote>
  <w:endnote w:type="continuationSeparator" w:id="0">
    <w:p w14:paraId="5817D5ED" w14:textId="77777777" w:rsidR="00B578B4" w:rsidRDefault="00B578B4" w:rsidP="00494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14C8B" w14:textId="77777777" w:rsidR="00B578B4" w:rsidRDefault="00B578B4" w:rsidP="00494CA7">
      <w:r>
        <w:separator/>
      </w:r>
    </w:p>
  </w:footnote>
  <w:footnote w:type="continuationSeparator" w:id="0">
    <w:p w14:paraId="2CFCF442" w14:textId="77777777" w:rsidR="00B578B4" w:rsidRDefault="00B578B4" w:rsidP="00494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B8E83" w14:textId="5A818D22" w:rsidR="00494CA7" w:rsidRDefault="00494CA7">
    <w:pPr>
      <w:pStyle w:val="Header"/>
      <w:rPr>
        <w:b/>
        <w:bCs/>
      </w:rPr>
    </w:pPr>
    <w:r w:rsidRPr="00494CA7">
      <w:rPr>
        <w:b/>
        <w:bCs/>
      </w:rPr>
      <w:ptab w:relativeTo="margin" w:alignment="center" w:leader="none"/>
    </w:r>
    <w:r>
      <w:rPr>
        <w:b/>
        <w:bCs/>
      </w:rPr>
      <w:t>ATAR Economics – Unit 4</w:t>
    </w:r>
  </w:p>
  <w:p w14:paraId="142D39C8" w14:textId="36D25675" w:rsidR="00494CA7" w:rsidRPr="00494CA7" w:rsidRDefault="00494CA7">
    <w:pPr>
      <w:pStyle w:val="Header"/>
      <w:rPr>
        <w:b/>
        <w:bCs/>
      </w:rPr>
    </w:pPr>
    <w:r w:rsidRPr="00494CA7">
      <w:rPr>
        <w:b/>
        <w:bC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CFA"/>
    <w:multiLevelType w:val="hybridMultilevel"/>
    <w:tmpl w:val="8FFAD07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1723F3"/>
    <w:multiLevelType w:val="hybridMultilevel"/>
    <w:tmpl w:val="CB6EDE8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01C2FE1"/>
    <w:multiLevelType w:val="hybridMultilevel"/>
    <w:tmpl w:val="0A9EC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EB464E"/>
    <w:multiLevelType w:val="hybridMultilevel"/>
    <w:tmpl w:val="6A0497D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F1893"/>
    <w:multiLevelType w:val="hybridMultilevel"/>
    <w:tmpl w:val="D840D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8E3889"/>
    <w:multiLevelType w:val="hybridMultilevel"/>
    <w:tmpl w:val="2E38633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AC31D69"/>
    <w:multiLevelType w:val="hybridMultilevel"/>
    <w:tmpl w:val="F2647F8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32E0B69"/>
    <w:multiLevelType w:val="hybridMultilevel"/>
    <w:tmpl w:val="D7A2220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AC23BE9"/>
    <w:multiLevelType w:val="hybridMultilevel"/>
    <w:tmpl w:val="983CAA9A"/>
    <w:lvl w:ilvl="0" w:tplc="68364B82">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3360575"/>
    <w:multiLevelType w:val="hybridMultilevel"/>
    <w:tmpl w:val="5860D59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B146B2"/>
    <w:multiLevelType w:val="hybridMultilevel"/>
    <w:tmpl w:val="28ACB0D6"/>
    <w:lvl w:ilvl="0" w:tplc="A87C3638">
      <w:start w:val="1"/>
      <w:numFmt w:val="decimal"/>
      <w:lvlText w:val="%1."/>
      <w:lvlJc w:val="left"/>
      <w:pPr>
        <w:ind w:left="2345" w:hanging="360"/>
      </w:pPr>
      <w:rPr>
        <w:b/>
        <w:bCs/>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11" w15:restartNumberingAfterBreak="0">
    <w:nsid w:val="7703016C"/>
    <w:multiLevelType w:val="hybridMultilevel"/>
    <w:tmpl w:val="854AD6E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4"/>
  </w:num>
  <w:num w:numId="4">
    <w:abstractNumId w:val="9"/>
  </w:num>
  <w:num w:numId="5">
    <w:abstractNumId w:val="1"/>
  </w:num>
  <w:num w:numId="6">
    <w:abstractNumId w:val="10"/>
  </w:num>
  <w:num w:numId="7">
    <w:abstractNumId w:val="0"/>
  </w:num>
  <w:num w:numId="8">
    <w:abstractNumId w:val="5"/>
  </w:num>
  <w:num w:numId="9">
    <w:abstractNumId w:val="7"/>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A7"/>
    <w:rsid w:val="00185B01"/>
    <w:rsid w:val="001E03F4"/>
    <w:rsid w:val="002444A5"/>
    <w:rsid w:val="0037451C"/>
    <w:rsid w:val="003C45A1"/>
    <w:rsid w:val="00472F90"/>
    <w:rsid w:val="00481FA3"/>
    <w:rsid w:val="00494CA7"/>
    <w:rsid w:val="004F2144"/>
    <w:rsid w:val="00525CFF"/>
    <w:rsid w:val="005A1A92"/>
    <w:rsid w:val="005A5AA4"/>
    <w:rsid w:val="00613681"/>
    <w:rsid w:val="00663BFB"/>
    <w:rsid w:val="007C17A8"/>
    <w:rsid w:val="00890697"/>
    <w:rsid w:val="009B7409"/>
    <w:rsid w:val="009D6B8A"/>
    <w:rsid w:val="00A41577"/>
    <w:rsid w:val="00A46D08"/>
    <w:rsid w:val="00A84188"/>
    <w:rsid w:val="00B554C7"/>
    <w:rsid w:val="00B578B4"/>
    <w:rsid w:val="00B73CDE"/>
    <w:rsid w:val="00B82A4C"/>
    <w:rsid w:val="00D91F0D"/>
    <w:rsid w:val="00F351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EBED"/>
  <w15:chartTrackingRefBased/>
  <w15:docId w15:val="{EF0FD0E5-D46E-9843-A755-B81067D0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94CA7"/>
    <w:rPr>
      <w:sz w:val="16"/>
      <w:szCs w:val="16"/>
    </w:rPr>
  </w:style>
  <w:style w:type="paragraph" w:styleId="CommentText">
    <w:name w:val="annotation text"/>
    <w:basedOn w:val="Normal"/>
    <w:link w:val="CommentTextChar"/>
    <w:uiPriority w:val="99"/>
    <w:semiHidden/>
    <w:unhideWhenUsed/>
    <w:rsid w:val="00494CA7"/>
    <w:rPr>
      <w:sz w:val="20"/>
      <w:szCs w:val="20"/>
    </w:rPr>
  </w:style>
  <w:style w:type="character" w:customStyle="1" w:styleId="CommentTextChar">
    <w:name w:val="Comment Text Char"/>
    <w:basedOn w:val="DefaultParagraphFont"/>
    <w:link w:val="CommentText"/>
    <w:uiPriority w:val="99"/>
    <w:semiHidden/>
    <w:rsid w:val="00494CA7"/>
    <w:rPr>
      <w:sz w:val="20"/>
      <w:szCs w:val="20"/>
    </w:rPr>
  </w:style>
  <w:style w:type="paragraph" w:styleId="CommentSubject">
    <w:name w:val="annotation subject"/>
    <w:basedOn w:val="CommentText"/>
    <w:next w:val="CommentText"/>
    <w:link w:val="CommentSubjectChar"/>
    <w:uiPriority w:val="99"/>
    <w:semiHidden/>
    <w:unhideWhenUsed/>
    <w:rsid w:val="00494CA7"/>
    <w:rPr>
      <w:b/>
      <w:bCs/>
    </w:rPr>
  </w:style>
  <w:style w:type="character" w:customStyle="1" w:styleId="CommentSubjectChar">
    <w:name w:val="Comment Subject Char"/>
    <w:basedOn w:val="CommentTextChar"/>
    <w:link w:val="CommentSubject"/>
    <w:uiPriority w:val="99"/>
    <w:semiHidden/>
    <w:rsid w:val="00494CA7"/>
    <w:rPr>
      <w:b/>
      <w:bCs/>
      <w:sz w:val="20"/>
      <w:szCs w:val="20"/>
    </w:rPr>
  </w:style>
  <w:style w:type="paragraph" w:styleId="Header">
    <w:name w:val="header"/>
    <w:basedOn w:val="Normal"/>
    <w:link w:val="HeaderChar"/>
    <w:uiPriority w:val="99"/>
    <w:unhideWhenUsed/>
    <w:rsid w:val="00494CA7"/>
    <w:pPr>
      <w:tabs>
        <w:tab w:val="center" w:pos="4513"/>
        <w:tab w:val="right" w:pos="9026"/>
      </w:tabs>
    </w:pPr>
  </w:style>
  <w:style w:type="character" w:customStyle="1" w:styleId="HeaderChar">
    <w:name w:val="Header Char"/>
    <w:basedOn w:val="DefaultParagraphFont"/>
    <w:link w:val="Header"/>
    <w:uiPriority w:val="99"/>
    <w:rsid w:val="00494CA7"/>
  </w:style>
  <w:style w:type="paragraph" w:styleId="Footer">
    <w:name w:val="footer"/>
    <w:basedOn w:val="Normal"/>
    <w:link w:val="FooterChar"/>
    <w:uiPriority w:val="99"/>
    <w:unhideWhenUsed/>
    <w:rsid w:val="00494CA7"/>
    <w:pPr>
      <w:tabs>
        <w:tab w:val="center" w:pos="4513"/>
        <w:tab w:val="right" w:pos="9026"/>
      </w:tabs>
    </w:pPr>
  </w:style>
  <w:style w:type="character" w:customStyle="1" w:styleId="FooterChar">
    <w:name w:val="Footer Char"/>
    <w:basedOn w:val="DefaultParagraphFont"/>
    <w:link w:val="Footer"/>
    <w:uiPriority w:val="99"/>
    <w:rsid w:val="00494CA7"/>
  </w:style>
  <w:style w:type="paragraph" w:styleId="ListParagraph">
    <w:name w:val="List Paragraph"/>
    <w:basedOn w:val="Normal"/>
    <w:uiPriority w:val="34"/>
    <w:qFormat/>
    <w:rsid w:val="00494CA7"/>
    <w:pPr>
      <w:ind w:left="720"/>
      <w:contextualSpacing/>
    </w:pPr>
  </w:style>
  <w:style w:type="table" w:styleId="TableGrid">
    <w:name w:val="Table Grid"/>
    <w:basedOn w:val="TableNormal"/>
    <w:uiPriority w:val="39"/>
    <w:rsid w:val="0089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906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906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2">
    <w:name w:val="Grid Table 4 Accent 2"/>
    <w:basedOn w:val="TableNormal"/>
    <w:uiPriority w:val="49"/>
    <w:rsid w:val="0089069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37D81E-6CD5-F049-B481-2DBC0F30BE08}" type="doc">
      <dgm:prSet loTypeId="urn:microsoft.com/office/officeart/2005/8/layout/StepDownProcess" loCatId="" qsTypeId="urn:microsoft.com/office/officeart/2005/8/quickstyle/simple1" qsCatId="simple" csTypeId="urn:microsoft.com/office/officeart/2005/8/colors/colorful4" csCatId="colorful" phldr="1"/>
      <dgm:spPr/>
      <dgm:t>
        <a:bodyPr/>
        <a:lstStyle/>
        <a:p>
          <a:endParaRPr lang="en-GB"/>
        </a:p>
      </dgm:t>
    </dgm:pt>
    <dgm:pt modelId="{F1A01932-D12D-E047-B3FF-033B04CFEEA4}">
      <dgm:prSet phldrT="[Text]"/>
      <dgm:spPr/>
      <dgm:t>
        <a:bodyPr/>
        <a:lstStyle/>
        <a:p>
          <a:r>
            <a:rPr lang="en-GB"/>
            <a:t>Savers</a:t>
          </a:r>
        </a:p>
      </dgm:t>
    </dgm:pt>
    <dgm:pt modelId="{86934D24-60F6-B04B-9257-A83B0567E0FB}" type="parTrans" cxnId="{0B39C100-BC1F-C347-91A6-F4A6C920FCDA}">
      <dgm:prSet/>
      <dgm:spPr/>
      <dgm:t>
        <a:bodyPr/>
        <a:lstStyle/>
        <a:p>
          <a:endParaRPr lang="en-GB"/>
        </a:p>
      </dgm:t>
    </dgm:pt>
    <dgm:pt modelId="{3E317F29-5D9B-494D-999F-E8FA222BB7E4}" type="sibTrans" cxnId="{0B39C100-BC1F-C347-91A6-F4A6C920FCDA}">
      <dgm:prSet/>
      <dgm:spPr/>
      <dgm:t>
        <a:bodyPr/>
        <a:lstStyle/>
        <a:p>
          <a:endParaRPr lang="en-GB"/>
        </a:p>
      </dgm:t>
    </dgm:pt>
    <dgm:pt modelId="{3D2160E3-DA37-CD4F-BEDB-A9C426BA7B0D}">
      <dgm:prSet phldrT="[Text]"/>
      <dgm:spPr/>
      <dgm:t>
        <a:bodyPr/>
        <a:lstStyle/>
        <a:p>
          <a:r>
            <a:rPr lang="en-GB"/>
            <a:t>Financial sector</a:t>
          </a:r>
        </a:p>
      </dgm:t>
    </dgm:pt>
    <dgm:pt modelId="{1E18888B-676C-F84D-81EF-C2174044FA0A}" type="parTrans" cxnId="{B5AC1896-AE47-1240-A24A-967C2FBA440D}">
      <dgm:prSet/>
      <dgm:spPr/>
      <dgm:t>
        <a:bodyPr/>
        <a:lstStyle/>
        <a:p>
          <a:endParaRPr lang="en-GB"/>
        </a:p>
      </dgm:t>
    </dgm:pt>
    <dgm:pt modelId="{29714CBB-42A9-2440-AD48-E0108F78472B}" type="sibTrans" cxnId="{B5AC1896-AE47-1240-A24A-967C2FBA440D}">
      <dgm:prSet/>
      <dgm:spPr/>
      <dgm:t>
        <a:bodyPr/>
        <a:lstStyle/>
        <a:p>
          <a:endParaRPr lang="en-GB"/>
        </a:p>
      </dgm:t>
    </dgm:pt>
    <dgm:pt modelId="{DDECBAAA-2C1F-F44D-8FC2-C0E2A6907C82}">
      <dgm:prSet phldrT="[Text]"/>
      <dgm:spPr/>
      <dgm:t>
        <a:bodyPr/>
        <a:lstStyle/>
        <a:p>
          <a:r>
            <a:rPr lang="en-GB"/>
            <a:t> Loan markets</a:t>
          </a:r>
        </a:p>
      </dgm:t>
    </dgm:pt>
    <dgm:pt modelId="{2654E8B0-D72D-8D41-A5AD-F11DFFB45825}" type="parTrans" cxnId="{26D0A8F8-3ECD-8845-A5B5-E1914BB9E77E}">
      <dgm:prSet/>
      <dgm:spPr/>
      <dgm:t>
        <a:bodyPr/>
        <a:lstStyle/>
        <a:p>
          <a:endParaRPr lang="en-GB"/>
        </a:p>
      </dgm:t>
    </dgm:pt>
    <dgm:pt modelId="{A60F0E31-7CA6-2F4E-A87F-77634C05CEF8}" type="sibTrans" cxnId="{26D0A8F8-3ECD-8845-A5B5-E1914BB9E77E}">
      <dgm:prSet/>
      <dgm:spPr/>
      <dgm:t>
        <a:bodyPr/>
        <a:lstStyle/>
        <a:p>
          <a:endParaRPr lang="en-GB"/>
        </a:p>
      </dgm:t>
    </dgm:pt>
    <dgm:pt modelId="{A6DCD295-43F1-2149-87F3-96AA916A0751}">
      <dgm:prSet phldrT="[Text]"/>
      <dgm:spPr/>
      <dgm:t>
        <a:bodyPr/>
        <a:lstStyle/>
        <a:p>
          <a:r>
            <a:rPr lang="en-GB"/>
            <a:t>Lenders</a:t>
          </a:r>
        </a:p>
      </dgm:t>
    </dgm:pt>
    <dgm:pt modelId="{364BECE1-0DBE-1E4E-9234-774CB17E0328}" type="parTrans" cxnId="{5E5C9BED-2504-5543-BD58-CA2F9182A263}">
      <dgm:prSet/>
      <dgm:spPr/>
      <dgm:t>
        <a:bodyPr/>
        <a:lstStyle/>
        <a:p>
          <a:endParaRPr lang="en-GB"/>
        </a:p>
      </dgm:t>
    </dgm:pt>
    <dgm:pt modelId="{F36D77BF-ADDC-4940-918A-E9A1843B9942}" type="sibTrans" cxnId="{5E5C9BED-2504-5543-BD58-CA2F9182A263}">
      <dgm:prSet/>
      <dgm:spPr/>
      <dgm:t>
        <a:bodyPr/>
        <a:lstStyle/>
        <a:p>
          <a:endParaRPr lang="en-GB"/>
        </a:p>
      </dgm:t>
    </dgm:pt>
    <dgm:pt modelId="{C2FBEBB5-0A2D-9045-86CF-82D0EFF01D03}">
      <dgm:prSet phldrT="[Text]"/>
      <dgm:spPr/>
      <dgm:t>
        <a:bodyPr/>
        <a:lstStyle/>
        <a:p>
          <a:r>
            <a:rPr lang="en-GB"/>
            <a:t> Bond markets</a:t>
          </a:r>
        </a:p>
      </dgm:t>
    </dgm:pt>
    <dgm:pt modelId="{86148BE2-7357-6E45-A38B-D3ABDD830360}" type="parTrans" cxnId="{9976194C-89F7-1642-B7AD-946F200C0244}">
      <dgm:prSet/>
      <dgm:spPr/>
      <dgm:t>
        <a:bodyPr/>
        <a:lstStyle/>
        <a:p>
          <a:endParaRPr lang="en-GB"/>
        </a:p>
      </dgm:t>
    </dgm:pt>
    <dgm:pt modelId="{AED0D36B-B7C2-0D4E-B2D3-B4956C414538}" type="sibTrans" cxnId="{9976194C-89F7-1642-B7AD-946F200C0244}">
      <dgm:prSet/>
      <dgm:spPr/>
      <dgm:t>
        <a:bodyPr/>
        <a:lstStyle/>
        <a:p>
          <a:endParaRPr lang="en-GB"/>
        </a:p>
      </dgm:t>
    </dgm:pt>
    <dgm:pt modelId="{2489EF8F-B239-2649-BF7D-FFE0B66AE9D8}">
      <dgm:prSet phldrT="[Text]"/>
      <dgm:spPr/>
      <dgm:t>
        <a:bodyPr/>
        <a:lstStyle/>
        <a:p>
          <a:r>
            <a:rPr lang="en-GB"/>
            <a:t> Share markets</a:t>
          </a:r>
        </a:p>
      </dgm:t>
    </dgm:pt>
    <dgm:pt modelId="{E1097449-9E55-D044-8786-6060E6EFE1A4}" type="parTrans" cxnId="{9428ED7A-9F20-CB4A-B647-C1A16F32C677}">
      <dgm:prSet/>
      <dgm:spPr/>
      <dgm:t>
        <a:bodyPr/>
        <a:lstStyle/>
        <a:p>
          <a:endParaRPr lang="en-GB"/>
        </a:p>
      </dgm:t>
    </dgm:pt>
    <dgm:pt modelId="{AE9A848A-58CD-A641-B105-3AECB1FBFC32}" type="sibTrans" cxnId="{9428ED7A-9F20-CB4A-B647-C1A16F32C677}">
      <dgm:prSet/>
      <dgm:spPr/>
      <dgm:t>
        <a:bodyPr/>
        <a:lstStyle/>
        <a:p>
          <a:endParaRPr lang="en-GB"/>
        </a:p>
      </dgm:t>
    </dgm:pt>
    <dgm:pt modelId="{4185D2AE-6AD1-0E4D-AF69-65D79F90D7C1}" type="pres">
      <dgm:prSet presAssocID="{4537D81E-6CD5-F049-B481-2DBC0F30BE08}" presName="rootnode" presStyleCnt="0">
        <dgm:presLayoutVars>
          <dgm:chMax/>
          <dgm:chPref/>
          <dgm:dir/>
          <dgm:animLvl val="lvl"/>
        </dgm:presLayoutVars>
      </dgm:prSet>
      <dgm:spPr/>
    </dgm:pt>
    <dgm:pt modelId="{27FD06A9-4657-584C-B47D-0FC3F5D60127}" type="pres">
      <dgm:prSet presAssocID="{F1A01932-D12D-E047-B3FF-033B04CFEEA4}" presName="composite" presStyleCnt="0"/>
      <dgm:spPr/>
    </dgm:pt>
    <dgm:pt modelId="{FD75DED3-3FE2-F644-9F6C-46FD4B3C9A59}" type="pres">
      <dgm:prSet presAssocID="{F1A01932-D12D-E047-B3FF-033B04CFEEA4}" presName="bentUpArrow1" presStyleLbl="alignImgPlace1" presStyleIdx="0" presStyleCnt="2"/>
      <dgm:spPr/>
    </dgm:pt>
    <dgm:pt modelId="{D430AEB3-B79F-D946-B7C6-E7553D6CF5CC}" type="pres">
      <dgm:prSet presAssocID="{F1A01932-D12D-E047-B3FF-033B04CFEEA4}" presName="ParentText" presStyleLbl="node1" presStyleIdx="0" presStyleCnt="3">
        <dgm:presLayoutVars>
          <dgm:chMax val="1"/>
          <dgm:chPref val="1"/>
          <dgm:bulletEnabled val="1"/>
        </dgm:presLayoutVars>
      </dgm:prSet>
      <dgm:spPr/>
    </dgm:pt>
    <dgm:pt modelId="{EA8C9D2C-D1C2-DD4D-A5F2-4276CCEE3408}" type="pres">
      <dgm:prSet presAssocID="{F1A01932-D12D-E047-B3FF-033B04CFEEA4}" presName="ChildText" presStyleLbl="revTx" presStyleIdx="0" presStyleCnt="2">
        <dgm:presLayoutVars>
          <dgm:chMax val="0"/>
          <dgm:chPref val="0"/>
          <dgm:bulletEnabled val="1"/>
        </dgm:presLayoutVars>
      </dgm:prSet>
      <dgm:spPr/>
    </dgm:pt>
    <dgm:pt modelId="{A6393C08-4368-A14E-B09F-1F9928F668A7}" type="pres">
      <dgm:prSet presAssocID="{3E317F29-5D9B-494D-999F-E8FA222BB7E4}" presName="sibTrans" presStyleCnt="0"/>
      <dgm:spPr/>
    </dgm:pt>
    <dgm:pt modelId="{0434E70B-7727-094C-B387-A2F5CF600056}" type="pres">
      <dgm:prSet presAssocID="{3D2160E3-DA37-CD4F-BEDB-A9C426BA7B0D}" presName="composite" presStyleCnt="0"/>
      <dgm:spPr/>
    </dgm:pt>
    <dgm:pt modelId="{B65489B0-6319-DF41-9A9E-11EEA6239298}" type="pres">
      <dgm:prSet presAssocID="{3D2160E3-DA37-CD4F-BEDB-A9C426BA7B0D}" presName="bentUpArrow1" presStyleLbl="alignImgPlace1" presStyleIdx="1" presStyleCnt="2"/>
      <dgm:spPr/>
    </dgm:pt>
    <dgm:pt modelId="{90BED5C6-9A6D-C746-94AE-1EE2E3DB9650}" type="pres">
      <dgm:prSet presAssocID="{3D2160E3-DA37-CD4F-BEDB-A9C426BA7B0D}" presName="ParentText" presStyleLbl="node1" presStyleIdx="1" presStyleCnt="3">
        <dgm:presLayoutVars>
          <dgm:chMax val="1"/>
          <dgm:chPref val="1"/>
          <dgm:bulletEnabled val="1"/>
        </dgm:presLayoutVars>
      </dgm:prSet>
      <dgm:spPr/>
    </dgm:pt>
    <dgm:pt modelId="{B6B2DDE1-32AC-2948-BD6A-B580A7E9422E}" type="pres">
      <dgm:prSet presAssocID="{3D2160E3-DA37-CD4F-BEDB-A9C426BA7B0D}" presName="ChildText" presStyleLbl="revTx" presStyleIdx="1" presStyleCnt="2" custScaleX="110774" custLinFactNeighborX="5711" custLinFactNeighborY="1049">
        <dgm:presLayoutVars>
          <dgm:chMax val="0"/>
          <dgm:chPref val="0"/>
          <dgm:bulletEnabled val="1"/>
        </dgm:presLayoutVars>
      </dgm:prSet>
      <dgm:spPr/>
    </dgm:pt>
    <dgm:pt modelId="{EF40099B-1481-6947-9769-04A878C94104}" type="pres">
      <dgm:prSet presAssocID="{29714CBB-42A9-2440-AD48-E0108F78472B}" presName="sibTrans" presStyleCnt="0"/>
      <dgm:spPr/>
    </dgm:pt>
    <dgm:pt modelId="{044BF7DF-6754-944A-A920-A9A5BFF40550}" type="pres">
      <dgm:prSet presAssocID="{A6DCD295-43F1-2149-87F3-96AA916A0751}" presName="composite" presStyleCnt="0"/>
      <dgm:spPr/>
    </dgm:pt>
    <dgm:pt modelId="{B552CDEB-BC5E-3241-8E4F-0035658E9A95}" type="pres">
      <dgm:prSet presAssocID="{A6DCD295-43F1-2149-87F3-96AA916A0751}" presName="ParentText" presStyleLbl="node1" presStyleIdx="2" presStyleCnt="3">
        <dgm:presLayoutVars>
          <dgm:chMax val="1"/>
          <dgm:chPref val="1"/>
          <dgm:bulletEnabled val="1"/>
        </dgm:presLayoutVars>
      </dgm:prSet>
      <dgm:spPr/>
    </dgm:pt>
  </dgm:ptLst>
  <dgm:cxnLst>
    <dgm:cxn modelId="{0B39C100-BC1F-C347-91A6-F4A6C920FCDA}" srcId="{4537D81E-6CD5-F049-B481-2DBC0F30BE08}" destId="{F1A01932-D12D-E047-B3FF-033B04CFEEA4}" srcOrd="0" destOrd="0" parTransId="{86934D24-60F6-B04B-9257-A83B0567E0FB}" sibTransId="{3E317F29-5D9B-494D-999F-E8FA222BB7E4}"/>
    <dgm:cxn modelId="{2219DE1B-C4A1-E64C-834A-0B310365347C}" type="presOf" srcId="{C2FBEBB5-0A2D-9045-86CF-82D0EFF01D03}" destId="{B6B2DDE1-32AC-2948-BD6A-B580A7E9422E}" srcOrd="0" destOrd="1" presId="urn:microsoft.com/office/officeart/2005/8/layout/StepDownProcess"/>
    <dgm:cxn modelId="{A970252A-1351-1C41-ABC5-F372D45407DD}" type="presOf" srcId="{4537D81E-6CD5-F049-B481-2DBC0F30BE08}" destId="{4185D2AE-6AD1-0E4D-AF69-65D79F90D7C1}" srcOrd="0" destOrd="0" presId="urn:microsoft.com/office/officeart/2005/8/layout/StepDownProcess"/>
    <dgm:cxn modelId="{9976194C-89F7-1642-B7AD-946F200C0244}" srcId="{3D2160E3-DA37-CD4F-BEDB-A9C426BA7B0D}" destId="{C2FBEBB5-0A2D-9045-86CF-82D0EFF01D03}" srcOrd="1" destOrd="0" parTransId="{86148BE2-7357-6E45-A38B-D3ABDD830360}" sibTransId="{AED0D36B-B7C2-0D4E-B2D3-B4956C414538}"/>
    <dgm:cxn modelId="{B5FC5363-B3B9-BB4F-BBED-7A9EE15C1F52}" type="presOf" srcId="{F1A01932-D12D-E047-B3FF-033B04CFEEA4}" destId="{D430AEB3-B79F-D946-B7C6-E7553D6CF5CC}" srcOrd="0" destOrd="0" presId="urn:microsoft.com/office/officeart/2005/8/layout/StepDownProcess"/>
    <dgm:cxn modelId="{D469B57A-8267-DB48-BF3F-2C0455F5A367}" type="presOf" srcId="{DDECBAAA-2C1F-F44D-8FC2-C0E2A6907C82}" destId="{B6B2DDE1-32AC-2948-BD6A-B580A7E9422E}" srcOrd="0" destOrd="0" presId="urn:microsoft.com/office/officeart/2005/8/layout/StepDownProcess"/>
    <dgm:cxn modelId="{9428ED7A-9F20-CB4A-B647-C1A16F32C677}" srcId="{3D2160E3-DA37-CD4F-BEDB-A9C426BA7B0D}" destId="{2489EF8F-B239-2649-BF7D-FFE0B66AE9D8}" srcOrd="2" destOrd="0" parTransId="{E1097449-9E55-D044-8786-6060E6EFE1A4}" sibTransId="{AE9A848A-58CD-A641-B105-3AECB1FBFC32}"/>
    <dgm:cxn modelId="{B5AC1896-AE47-1240-A24A-967C2FBA440D}" srcId="{4537D81E-6CD5-F049-B481-2DBC0F30BE08}" destId="{3D2160E3-DA37-CD4F-BEDB-A9C426BA7B0D}" srcOrd="1" destOrd="0" parTransId="{1E18888B-676C-F84D-81EF-C2174044FA0A}" sibTransId="{29714CBB-42A9-2440-AD48-E0108F78472B}"/>
    <dgm:cxn modelId="{60E2A8AF-F86D-A14F-B80F-3E34FF4784AD}" type="presOf" srcId="{2489EF8F-B239-2649-BF7D-FFE0B66AE9D8}" destId="{B6B2DDE1-32AC-2948-BD6A-B580A7E9422E}" srcOrd="0" destOrd="2" presId="urn:microsoft.com/office/officeart/2005/8/layout/StepDownProcess"/>
    <dgm:cxn modelId="{2D177DE0-E6E8-CB41-B84C-33C33A06601C}" type="presOf" srcId="{3D2160E3-DA37-CD4F-BEDB-A9C426BA7B0D}" destId="{90BED5C6-9A6D-C746-94AE-1EE2E3DB9650}" srcOrd="0" destOrd="0" presId="urn:microsoft.com/office/officeart/2005/8/layout/StepDownProcess"/>
    <dgm:cxn modelId="{5E5C9BED-2504-5543-BD58-CA2F9182A263}" srcId="{4537D81E-6CD5-F049-B481-2DBC0F30BE08}" destId="{A6DCD295-43F1-2149-87F3-96AA916A0751}" srcOrd="2" destOrd="0" parTransId="{364BECE1-0DBE-1E4E-9234-774CB17E0328}" sibTransId="{F36D77BF-ADDC-4940-918A-E9A1843B9942}"/>
    <dgm:cxn modelId="{26D0A8F8-3ECD-8845-A5B5-E1914BB9E77E}" srcId="{3D2160E3-DA37-CD4F-BEDB-A9C426BA7B0D}" destId="{DDECBAAA-2C1F-F44D-8FC2-C0E2A6907C82}" srcOrd="0" destOrd="0" parTransId="{2654E8B0-D72D-8D41-A5AD-F11DFFB45825}" sibTransId="{A60F0E31-7CA6-2F4E-A87F-77634C05CEF8}"/>
    <dgm:cxn modelId="{BD325FFC-AD12-5649-AB0F-F174C7520E87}" type="presOf" srcId="{A6DCD295-43F1-2149-87F3-96AA916A0751}" destId="{B552CDEB-BC5E-3241-8E4F-0035658E9A95}" srcOrd="0" destOrd="0" presId="urn:microsoft.com/office/officeart/2005/8/layout/StepDownProcess"/>
    <dgm:cxn modelId="{C356A64B-C970-744F-AA81-03542797C409}" type="presParOf" srcId="{4185D2AE-6AD1-0E4D-AF69-65D79F90D7C1}" destId="{27FD06A9-4657-584C-B47D-0FC3F5D60127}" srcOrd="0" destOrd="0" presId="urn:microsoft.com/office/officeart/2005/8/layout/StepDownProcess"/>
    <dgm:cxn modelId="{CE6020B7-F8B3-3F46-BD58-29C7906A44EF}" type="presParOf" srcId="{27FD06A9-4657-584C-B47D-0FC3F5D60127}" destId="{FD75DED3-3FE2-F644-9F6C-46FD4B3C9A59}" srcOrd="0" destOrd="0" presId="urn:microsoft.com/office/officeart/2005/8/layout/StepDownProcess"/>
    <dgm:cxn modelId="{EE8E5C3D-A080-7E43-8537-581414E35B0F}" type="presParOf" srcId="{27FD06A9-4657-584C-B47D-0FC3F5D60127}" destId="{D430AEB3-B79F-D946-B7C6-E7553D6CF5CC}" srcOrd="1" destOrd="0" presId="urn:microsoft.com/office/officeart/2005/8/layout/StepDownProcess"/>
    <dgm:cxn modelId="{53DF1505-CE6F-1B41-AF90-DEAF4F16F8DB}" type="presParOf" srcId="{27FD06A9-4657-584C-B47D-0FC3F5D60127}" destId="{EA8C9D2C-D1C2-DD4D-A5F2-4276CCEE3408}" srcOrd="2" destOrd="0" presId="urn:microsoft.com/office/officeart/2005/8/layout/StepDownProcess"/>
    <dgm:cxn modelId="{E8FE5E9B-4BDD-604E-8D7E-29747D6BBAE3}" type="presParOf" srcId="{4185D2AE-6AD1-0E4D-AF69-65D79F90D7C1}" destId="{A6393C08-4368-A14E-B09F-1F9928F668A7}" srcOrd="1" destOrd="0" presId="urn:microsoft.com/office/officeart/2005/8/layout/StepDownProcess"/>
    <dgm:cxn modelId="{8C3045B5-362B-044A-9CD7-C786FD654C2E}" type="presParOf" srcId="{4185D2AE-6AD1-0E4D-AF69-65D79F90D7C1}" destId="{0434E70B-7727-094C-B387-A2F5CF600056}" srcOrd="2" destOrd="0" presId="urn:microsoft.com/office/officeart/2005/8/layout/StepDownProcess"/>
    <dgm:cxn modelId="{58F46C1A-2F1D-C84B-97D7-A7E88EF6D400}" type="presParOf" srcId="{0434E70B-7727-094C-B387-A2F5CF600056}" destId="{B65489B0-6319-DF41-9A9E-11EEA6239298}" srcOrd="0" destOrd="0" presId="urn:microsoft.com/office/officeart/2005/8/layout/StepDownProcess"/>
    <dgm:cxn modelId="{5ABB1BE8-7012-F94E-A7B0-E22FB51FA656}" type="presParOf" srcId="{0434E70B-7727-094C-B387-A2F5CF600056}" destId="{90BED5C6-9A6D-C746-94AE-1EE2E3DB9650}" srcOrd="1" destOrd="0" presId="urn:microsoft.com/office/officeart/2005/8/layout/StepDownProcess"/>
    <dgm:cxn modelId="{99C169C8-0255-8648-9C6A-E9BC115C6557}" type="presParOf" srcId="{0434E70B-7727-094C-B387-A2F5CF600056}" destId="{B6B2DDE1-32AC-2948-BD6A-B580A7E9422E}" srcOrd="2" destOrd="0" presId="urn:microsoft.com/office/officeart/2005/8/layout/StepDownProcess"/>
    <dgm:cxn modelId="{1AFA4055-E26A-A14C-AE15-C107A1BE3171}" type="presParOf" srcId="{4185D2AE-6AD1-0E4D-AF69-65D79F90D7C1}" destId="{EF40099B-1481-6947-9769-04A878C94104}" srcOrd="3" destOrd="0" presId="urn:microsoft.com/office/officeart/2005/8/layout/StepDownProcess"/>
    <dgm:cxn modelId="{FB3ED9F1-A0C1-6943-88A6-6240295B0ACA}" type="presParOf" srcId="{4185D2AE-6AD1-0E4D-AF69-65D79F90D7C1}" destId="{044BF7DF-6754-944A-A920-A9A5BFF40550}" srcOrd="4" destOrd="0" presId="urn:microsoft.com/office/officeart/2005/8/layout/StepDownProcess"/>
    <dgm:cxn modelId="{0FDD28D1-8B32-2B49-87C2-8B3D07344CDE}" type="presParOf" srcId="{044BF7DF-6754-944A-A920-A9A5BFF40550}" destId="{B552CDEB-BC5E-3241-8E4F-0035658E9A95}"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75DED3-3FE2-F644-9F6C-46FD4B3C9A59}">
      <dsp:nvSpPr>
        <dsp:cNvPr id="0" name=""/>
        <dsp:cNvSpPr/>
      </dsp:nvSpPr>
      <dsp:spPr>
        <a:xfrm rot="5400000">
          <a:off x="245942" y="894285"/>
          <a:ext cx="817274" cy="930437"/>
        </a:xfrm>
        <a:prstGeom prst="bentUpArrow">
          <a:avLst>
            <a:gd name="adj1" fmla="val 32840"/>
            <a:gd name="adj2" fmla="val 25000"/>
            <a:gd name="adj3" fmla="val 35780"/>
          </a:avLst>
        </a:prstGeom>
        <a:solidFill>
          <a:schemeClr val="accent4">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430AEB3-B79F-D946-B7C6-E7553D6CF5CC}">
      <dsp:nvSpPr>
        <dsp:cNvPr id="0" name=""/>
        <dsp:cNvSpPr/>
      </dsp:nvSpPr>
      <dsp:spPr>
        <a:xfrm>
          <a:off x="29414" y="-11678"/>
          <a:ext cx="1375808" cy="963021"/>
        </a:xfrm>
        <a:prstGeom prst="roundRect">
          <a:avLst>
            <a:gd name="adj" fmla="val 1667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GB" sz="2400" kern="1200"/>
            <a:t>Savers</a:t>
          </a:r>
        </a:p>
      </dsp:txBody>
      <dsp:txXfrm>
        <a:off x="76433" y="35341"/>
        <a:ext cx="1281770" cy="868983"/>
      </dsp:txXfrm>
    </dsp:sp>
    <dsp:sp modelId="{EA8C9D2C-D1C2-DD4D-A5F2-4276CCEE3408}">
      <dsp:nvSpPr>
        <dsp:cNvPr id="0" name=""/>
        <dsp:cNvSpPr/>
      </dsp:nvSpPr>
      <dsp:spPr>
        <a:xfrm>
          <a:off x="1405222" y="80167"/>
          <a:ext cx="1000632" cy="778356"/>
        </a:xfrm>
        <a:prstGeom prst="rect">
          <a:avLst/>
        </a:prstGeom>
        <a:noFill/>
        <a:ln>
          <a:noFill/>
        </a:ln>
        <a:effectLst/>
      </dsp:spPr>
      <dsp:style>
        <a:lnRef idx="0">
          <a:scrgbClr r="0" g="0" b="0"/>
        </a:lnRef>
        <a:fillRef idx="0">
          <a:scrgbClr r="0" g="0" b="0"/>
        </a:fillRef>
        <a:effectRef idx="0">
          <a:scrgbClr r="0" g="0" b="0"/>
        </a:effectRef>
        <a:fontRef idx="minor"/>
      </dsp:style>
    </dsp:sp>
    <dsp:sp modelId="{B65489B0-6319-DF41-9A9E-11EEA6239298}">
      <dsp:nvSpPr>
        <dsp:cNvPr id="0" name=""/>
        <dsp:cNvSpPr/>
      </dsp:nvSpPr>
      <dsp:spPr>
        <a:xfrm rot="5400000">
          <a:off x="1386633" y="1976076"/>
          <a:ext cx="817274" cy="930437"/>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0BED5C6-9A6D-C746-94AE-1EE2E3DB9650}">
      <dsp:nvSpPr>
        <dsp:cNvPr id="0" name=""/>
        <dsp:cNvSpPr/>
      </dsp:nvSpPr>
      <dsp:spPr>
        <a:xfrm>
          <a:off x="1170105" y="1070111"/>
          <a:ext cx="1375808" cy="963021"/>
        </a:xfrm>
        <a:prstGeom prst="roundRect">
          <a:avLst>
            <a:gd name="adj" fmla="val 16670"/>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GB" sz="2400" kern="1200"/>
            <a:t>Financial sector</a:t>
          </a:r>
        </a:p>
      </dsp:txBody>
      <dsp:txXfrm>
        <a:off x="1217124" y="1117130"/>
        <a:ext cx="1281770" cy="868983"/>
      </dsp:txXfrm>
    </dsp:sp>
    <dsp:sp modelId="{B6B2DDE1-32AC-2948-BD6A-B580A7E9422E}">
      <dsp:nvSpPr>
        <dsp:cNvPr id="0" name=""/>
        <dsp:cNvSpPr/>
      </dsp:nvSpPr>
      <dsp:spPr>
        <a:xfrm>
          <a:off x="2549156" y="1170122"/>
          <a:ext cx="1108440" cy="7783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57150" lvl="1" indent="-57150" algn="l" defTabSz="488950">
            <a:lnSpc>
              <a:spcPct val="90000"/>
            </a:lnSpc>
            <a:spcBef>
              <a:spcPct val="0"/>
            </a:spcBef>
            <a:spcAft>
              <a:spcPct val="15000"/>
            </a:spcAft>
            <a:buChar char="•"/>
          </a:pPr>
          <a:r>
            <a:rPr lang="en-GB" sz="1100" kern="1200"/>
            <a:t> Loan markets</a:t>
          </a:r>
        </a:p>
        <a:p>
          <a:pPr marL="57150" lvl="1" indent="-57150" algn="l" defTabSz="488950">
            <a:lnSpc>
              <a:spcPct val="90000"/>
            </a:lnSpc>
            <a:spcBef>
              <a:spcPct val="0"/>
            </a:spcBef>
            <a:spcAft>
              <a:spcPct val="15000"/>
            </a:spcAft>
            <a:buChar char="•"/>
          </a:pPr>
          <a:r>
            <a:rPr lang="en-GB" sz="1100" kern="1200"/>
            <a:t> Bond markets</a:t>
          </a:r>
        </a:p>
        <a:p>
          <a:pPr marL="57150" lvl="1" indent="-57150" algn="l" defTabSz="488950">
            <a:lnSpc>
              <a:spcPct val="90000"/>
            </a:lnSpc>
            <a:spcBef>
              <a:spcPct val="0"/>
            </a:spcBef>
            <a:spcAft>
              <a:spcPct val="15000"/>
            </a:spcAft>
            <a:buChar char="•"/>
          </a:pPr>
          <a:r>
            <a:rPr lang="en-GB" sz="1100" kern="1200"/>
            <a:t> Share markets</a:t>
          </a:r>
        </a:p>
      </dsp:txBody>
      <dsp:txXfrm>
        <a:off x="2549156" y="1170122"/>
        <a:ext cx="1108440" cy="778356"/>
      </dsp:txXfrm>
    </dsp:sp>
    <dsp:sp modelId="{B552CDEB-BC5E-3241-8E4F-0035658E9A95}">
      <dsp:nvSpPr>
        <dsp:cNvPr id="0" name=""/>
        <dsp:cNvSpPr/>
      </dsp:nvSpPr>
      <dsp:spPr>
        <a:xfrm>
          <a:off x="2310797" y="2151902"/>
          <a:ext cx="1375808" cy="963021"/>
        </a:xfrm>
        <a:prstGeom prst="roundRect">
          <a:avLst>
            <a:gd name="adj" fmla="val 1667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GB" sz="2400" kern="1200"/>
            <a:t>Lenders</a:t>
          </a:r>
        </a:p>
      </dsp:txBody>
      <dsp:txXfrm>
        <a:off x="2357816" y="2198921"/>
        <a:ext cx="1281770" cy="86898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Whitten</dc:creator>
  <cp:keywords/>
  <dc:description/>
  <cp:lastModifiedBy>Ben Whitten</cp:lastModifiedBy>
  <cp:revision>13</cp:revision>
  <dcterms:created xsi:type="dcterms:W3CDTF">2021-08-10T06:40:00Z</dcterms:created>
  <dcterms:modified xsi:type="dcterms:W3CDTF">2021-08-23T08:12:00Z</dcterms:modified>
</cp:coreProperties>
</file>