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FF497" w14:textId="77777777" w:rsidR="00AC5360" w:rsidRDefault="00AC5360">
      <w:pPr>
        <w:rPr>
          <w:rFonts w:cs="Arial"/>
          <w:b/>
        </w:rPr>
      </w:pPr>
      <w:r>
        <w:rPr>
          <w:rFonts w:cs="Arial"/>
          <w:b/>
        </w:rPr>
        <w:t>YEAR 12 ASSESSMENT 3 – Extended answer marking key</w:t>
      </w:r>
    </w:p>
    <w:p w14:paraId="3AA74296" w14:textId="77777777" w:rsidR="00AC5360" w:rsidRDefault="00AC5360">
      <w:pPr>
        <w:rPr>
          <w:rFonts w:cs="Arial"/>
          <w:b/>
        </w:rPr>
      </w:pPr>
    </w:p>
    <w:p w14:paraId="3DB251EE" w14:textId="77777777" w:rsidR="004F6960" w:rsidRDefault="00F0223A">
      <w:pPr>
        <w:rPr>
          <w:rFonts w:cs="Arial"/>
          <w:b/>
        </w:rPr>
      </w:pPr>
      <w:r w:rsidRPr="00F0223A">
        <w:rPr>
          <w:rFonts w:cs="Arial"/>
          <w:b/>
        </w:rPr>
        <w:t>Question 1</w:t>
      </w:r>
    </w:p>
    <w:p w14:paraId="7CFDDE57" w14:textId="77777777" w:rsidR="00AC5360" w:rsidRDefault="00AC5360">
      <w:pPr>
        <w:rPr>
          <w:rFonts w:cs="Arial"/>
        </w:rPr>
      </w:pPr>
    </w:p>
    <w:p w14:paraId="3247A95D" w14:textId="77777777" w:rsidR="00AC5360" w:rsidRPr="00AC5360" w:rsidRDefault="00AC5360">
      <w:pPr>
        <w:rPr>
          <w:rFonts w:cs="Arial"/>
          <w:b/>
        </w:rPr>
      </w:pPr>
      <w:r w:rsidRPr="00AC5360">
        <w:rPr>
          <w:rFonts w:cs="Arial"/>
          <w:b/>
        </w:rPr>
        <w:t>Part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2133"/>
      </w:tblGrid>
      <w:tr w:rsidR="00AC5360" w:rsidRPr="00F0223A" w14:paraId="412DDB19" w14:textId="77777777" w:rsidTr="00AC5360">
        <w:tc>
          <w:tcPr>
            <w:tcW w:w="7933" w:type="dxa"/>
          </w:tcPr>
          <w:p w14:paraId="02393512" w14:textId="77777777" w:rsidR="00AC5360" w:rsidRPr="00513CFA" w:rsidRDefault="00AC5360" w:rsidP="00AC5360">
            <w:pPr>
              <w:tabs>
                <w:tab w:val="left" w:pos="2267"/>
              </w:tabs>
              <w:rPr>
                <w:rFonts w:cs="Arial"/>
                <w:b/>
              </w:rPr>
            </w:pPr>
            <w:r w:rsidRPr="00513CFA">
              <w:rPr>
                <w:rFonts w:cs="Arial"/>
                <w:b/>
              </w:rPr>
              <w:t>Description</w:t>
            </w:r>
            <w:r>
              <w:rPr>
                <w:rFonts w:cs="Arial"/>
                <w:b/>
              </w:rPr>
              <w:tab/>
            </w:r>
          </w:p>
        </w:tc>
        <w:tc>
          <w:tcPr>
            <w:tcW w:w="2133" w:type="dxa"/>
          </w:tcPr>
          <w:p w14:paraId="67B5B6AC" w14:textId="77777777" w:rsidR="00AC5360" w:rsidRPr="00513CFA" w:rsidRDefault="00AC5360" w:rsidP="00AC536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Marks allocated</w:t>
            </w:r>
          </w:p>
        </w:tc>
      </w:tr>
      <w:tr w:rsidR="00AC5360" w:rsidRPr="00F0223A" w14:paraId="7652391A" w14:textId="77777777" w:rsidTr="00AC5360">
        <w:tc>
          <w:tcPr>
            <w:tcW w:w="7933" w:type="dxa"/>
          </w:tcPr>
          <w:p w14:paraId="173B2D2B" w14:textId="77777777" w:rsidR="00AC5360" w:rsidRDefault="00AC5360" w:rsidP="00AC5360">
            <w:pPr>
              <w:rPr>
                <w:rFonts w:cs="Arial"/>
              </w:rPr>
            </w:pPr>
            <w:r>
              <w:rPr>
                <w:rFonts w:cs="Arial"/>
              </w:rPr>
              <w:t>Definition of TWI</w:t>
            </w:r>
          </w:p>
          <w:p w14:paraId="5440915A" w14:textId="77777777" w:rsidR="00AC5360" w:rsidRDefault="00AC5360" w:rsidP="00AC5360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>Index composed of top trading partners</w:t>
            </w:r>
          </w:p>
          <w:p w14:paraId="4C151584" w14:textId="77777777" w:rsidR="00AC5360" w:rsidRPr="00AC5360" w:rsidRDefault="00AC5360" w:rsidP="00AC5360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>Weighted according to value of trade</w:t>
            </w:r>
          </w:p>
        </w:tc>
        <w:tc>
          <w:tcPr>
            <w:tcW w:w="2133" w:type="dxa"/>
          </w:tcPr>
          <w:p w14:paraId="5FE75167" w14:textId="77777777" w:rsidR="00AC5360" w:rsidRDefault="00AC5360" w:rsidP="00AC5360">
            <w:pPr>
              <w:jc w:val="center"/>
              <w:rPr>
                <w:rFonts w:cs="Arial"/>
              </w:rPr>
            </w:pPr>
          </w:p>
          <w:p w14:paraId="482ABE33" w14:textId="77777777" w:rsidR="00AC5360" w:rsidRDefault="00AC5360" w:rsidP="00AC53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1 </w:t>
            </w:r>
          </w:p>
          <w:p w14:paraId="2ACF85F1" w14:textId="77777777" w:rsidR="00AC5360" w:rsidRPr="00F0223A" w:rsidRDefault="00AC5360" w:rsidP="00AC53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AC5360" w:rsidRPr="00F0223A" w14:paraId="04F645C6" w14:textId="77777777" w:rsidTr="00AC5360">
        <w:tc>
          <w:tcPr>
            <w:tcW w:w="7933" w:type="dxa"/>
          </w:tcPr>
          <w:p w14:paraId="4B659062" w14:textId="77777777" w:rsidR="00AC5360" w:rsidRDefault="00AC5360" w:rsidP="00AC5360">
            <w:pPr>
              <w:rPr>
                <w:rFonts w:cs="Arial"/>
              </w:rPr>
            </w:pPr>
            <w:r>
              <w:rPr>
                <w:rFonts w:cs="Arial"/>
              </w:rPr>
              <w:t>Explanation of 3 factors (2m per factor, but diagram required for full marks)</w:t>
            </w:r>
          </w:p>
          <w:p w14:paraId="1260D5D9" w14:textId="77777777" w:rsidR="00AC5360" w:rsidRDefault="00AC5360" w:rsidP="00AC5360">
            <w:pPr>
              <w:rPr>
                <w:rFonts w:cs="Arial"/>
              </w:rPr>
            </w:pPr>
            <w:r>
              <w:rPr>
                <w:rFonts w:cs="Arial"/>
              </w:rPr>
              <w:t>e.g.</w:t>
            </w:r>
          </w:p>
          <w:p w14:paraId="27F89BEF" w14:textId="77777777" w:rsidR="00AC5360" w:rsidRDefault="00AC5360" w:rsidP="00AC5360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Interest rate differential</w:t>
            </w:r>
          </w:p>
          <w:p w14:paraId="0782D8D9" w14:textId="77777777" w:rsidR="00AC5360" w:rsidRDefault="00AC5360" w:rsidP="00AC5360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Economic growth of trading partners</w:t>
            </w:r>
          </w:p>
          <w:p w14:paraId="41C5B913" w14:textId="77777777" w:rsidR="00AC5360" w:rsidRDefault="00AC5360" w:rsidP="00AC5360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Commodity prices/Terms of trade</w:t>
            </w:r>
          </w:p>
          <w:p w14:paraId="5959E93D" w14:textId="77777777" w:rsidR="00AC5360" w:rsidRPr="00AC5360" w:rsidRDefault="00AC5360" w:rsidP="00AC5360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Any other valid factor</w:t>
            </w:r>
          </w:p>
          <w:p w14:paraId="6955B31B" w14:textId="77777777" w:rsidR="00AC5360" w:rsidRDefault="00AC5360" w:rsidP="00AC5360">
            <w:pPr>
              <w:rPr>
                <w:rFonts w:cs="Arial"/>
              </w:rPr>
            </w:pPr>
          </w:p>
          <w:p w14:paraId="17C50CDF" w14:textId="77777777" w:rsidR="00AC5360" w:rsidRDefault="00AC5360" w:rsidP="00AC5360">
            <w:pPr>
              <w:rPr>
                <w:rFonts w:cs="Arial"/>
              </w:rPr>
            </w:pPr>
            <w:r>
              <w:rPr>
                <w:rFonts w:cs="Arial"/>
              </w:rPr>
              <w:t>Diagram is drawn</w:t>
            </w:r>
          </w:p>
          <w:p w14:paraId="7D8B765D" w14:textId="77777777" w:rsidR="00AC5360" w:rsidRPr="00F0223A" w:rsidRDefault="00AC5360" w:rsidP="00AC5360">
            <w:pPr>
              <w:rPr>
                <w:rFonts w:cs="Arial"/>
              </w:rPr>
            </w:pPr>
            <w:r>
              <w:rPr>
                <w:rFonts w:cs="Arial"/>
              </w:rPr>
              <w:t>Referencing diagram in model in discussion of every factor</w:t>
            </w:r>
          </w:p>
        </w:tc>
        <w:tc>
          <w:tcPr>
            <w:tcW w:w="2133" w:type="dxa"/>
          </w:tcPr>
          <w:p w14:paraId="6A48C631" w14:textId="77777777" w:rsidR="00AC5360" w:rsidRDefault="00AC5360" w:rsidP="00AC53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1 - 4</w:t>
            </w:r>
          </w:p>
          <w:p w14:paraId="04E8421C" w14:textId="77777777" w:rsidR="00AC5360" w:rsidRDefault="00AC5360" w:rsidP="00AC5360">
            <w:pPr>
              <w:jc w:val="center"/>
              <w:rPr>
                <w:rFonts w:cs="Arial"/>
              </w:rPr>
            </w:pPr>
          </w:p>
          <w:p w14:paraId="5D3CECC2" w14:textId="77777777" w:rsidR="00AC5360" w:rsidRDefault="00AC5360" w:rsidP="00AC5360">
            <w:pPr>
              <w:jc w:val="center"/>
              <w:rPr>
                <w:rFonts w:cs="Arial"/>
              </w:rPr>
            </w:pPr>
          </w:p>
          <w:p w14:paraId="0553BE59" w14:textId="77777777" w:rsidR="00AC5360" w:rsidRDefault="00AC5360" w:rsidP="00AC5360">
            <w:pPr>
              <w:jc w:val="center"/>
              <w:rPr>
                <w:rFonts w:cs="Arial"/>
              </w:rPr>
            </w:pPr>
          </w:p>
          <w:p w14:paraId="78BA1713" w14:textId="77777777" w:rsidR="00AC5360" w:rsidRDefault="00AC5360" w:rsidP="00AC5360">
            <w:pPr>
              <w:jc w:val="center"/>
              <w:rPr>
                <w:rFonts w:cs="Arial"/>
              </w:rPr>
            </w:pPr>
          </w:p>
          <w:p w14:paraId="16141D54" w14:textId="77777777" w:rsidR="00AC5360" w:rsidRDefault="00AC5360" w:rsidP="00AC5360">
            <w:pPr>
              <w:jc w:val="center"/>
              <w:rPr>
                <w:rFonts w:cs="Arial"/>
              </w:rPr>
            </w:pPr>
          </w:p>
          <w:p w14:paraId="1CB5E8DF" w14:textId="77777777" w:rsidR="00AC5360" w:rsidRDefault="00AC5360" w:rsidP="00AC5360">
            <w:pPr>
              <w:jc w:val="center"/>
              <w:rPr>
                <w:rFonts w:cs="Arial"/>
              </w:rPr>
            </w:pPr>
          </w:p>
          <w:p w14:paraId="09B38630" w14:textId="77777777" w:rsidR="00AC5360" w:rsidRDefault="00AC5360" w:rsidP="00AC53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472F8461" w14:textId="77777777" w:rsidR="00AC5360" w:rsidRPr="00F0223A" w:rsidRDefault="00AC5360" w:rsidP="00AC53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76DF69CF" w14:textId="77777777" w:rsidR="00AC5360" w:rsidRDefault="00AC5360">
      <w:pPr>
        <w:rPr>
          <w:rFonts w:cs="Arial"/>
        </w:rPr>
      </w:pPr>
    </w:p>
    <w:p w14:paraId="73EB22D5" w14:textId="77777777" w:rsidR="005F43B6" w:rsidRDefault="005F43B6">
      <w:pPr>
        <w:rPr>
          <w:rFonts w:cs="Arial"/>
        </w:rPr>
      </w:pPr>
    </w:p>
    <w:p w14:paraId="1EA4304E" w14:textId="77777777" w:rsidR="005F43B6" w:rsidRPr="00AC5360" w:rsidRDefault="005F43B6">
      <w:pPr>
        <w:rPr>
          <w:rFonts w:cs="Arial"/>
        </w:rPr>
      </w:pPr>
    </w:p>
    <w:p w14:paraId="1BDDDB9B" w14:textId="77777777" w:rsidR="00AC5360" w:rsidRDefault="00AC5360">
      <w:pPr>
        <w:rPr>
          <w:rFonts w:cs="Arial"/>
          <w:b/>
        </w:rPr>
      </w:pPr>
      <w:r>
        <w:rPr>
          <w:rFonts w:cs="Arial"/>
          <w:b/>
        </w:rPr>
        <w:t>Part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2133"/>
      </w:tblGrid>
      <w:tr w:rsidR="00AC5360" w:rsidRPr="00F0223A" w14:paraId="5A6D73C0" w14:textId="77777777" w:rsidTr="007218E6">
        <w:tc>
          <w:tcPr>
            <w:tcW w:w="7933" w:type="dxa"/>
          </w:tcPr>
          <w:p w14:paraId="293E96C9" w14:textId="77777777" w:rsidR="00AC5360" w:rsidRPr="00513CFA" w:rsidRDefault="00AC5360" w:rsidP="007218E6">
            <w:pPr>
              <w:tabs>
                <w:tab w:val="left" w:pos="2267"/>
              </w:tabs>
              <w:rPr>
                <w:rFonts w:cs="Arial"/>
                <w:b/>
              </w:rPr>
            </w:pPr>
            <w:r w:rsidRPr="00513CFA">
              <w:rPr>
                <w:rFonts w:cs="Arial"/>
                <w:b/>
              </w:rPr>
              <w:t>Description</w:t>
            </w:r>
            <w:r>
              <w:rPr>
                <w:rFonts w:cs="Arial"/>
                <w:b/>
              </w:rPr>
              <w:tab/>
            </w:r>
          </w:p>
        </w:tc>
        <w:tc>
          <w:tcPr>
            <w:tcW w:w="2133" w:type="dxa"/>
          </w:tcPr>
          <w:p w14:paraId="612B6FD0" w14:textId="77777777" w:rsidR="00AC5360" w:rsidRPr="00513CFA" w:rsidRDefault="00AC5360" w:rsidP="007218E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Marks allocated</w:t>
            </w:r>
          </w:p>
        </w:tc>
      </w:tr>
      <w:tr w:rsidR="00AC5360" w:rsidRPr="00F0223A" w14:paraId="5C64C5EF" w14:textId="77777777" w:rsidTr="007218E6">
        <w:tc>
          <w:tcPr>
            <w:tcW w:w="7933" w:type="dxa"/>
          </w:tcPr>
          <w:p w14:paraId="33FE69E3" w14:textId="77777777" w:rsidR="00AC5360" w:rsidRDefault="00180AFD" w:rsidP="00AC5360">
            <w:pPr>
              <w:rPr>
                <w:rFonts w:cs="Arial"/>
              </w:rPr>
            </w:pPr>
            <w:r>
              <w:rPr>
                <w:rFonts w:cs="Arial"/>
              </w:rPr>
              <w:t>Impact on sectors</w:t>
            </w:r>
          </w:p>
          <w:p w14:paraId="4230FAD6" w14:textId="77777777" w:rsidR="00180AFD" w:rsidRDefault="00180AFD" w:rsidP="00180AF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Services: Exports becomes more competitive, import-competing sector also grows as more people stay in Australia rather than travelling</w:t>
            </w:r>
          </w:p>
          <w:p w14:paraId="6C13C79F" w14:textId="77777777" w:rsidR="00180AFD" w:rsidRPr="00180AFD" w:rsidRDefault="00180AFD" w:rsidP="00180AF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Manufacturing: Export sector becomes more competitive, revenue increases</w:t>
            </w:r>
          </w:p>
          <w:p w14:paraId="4DDDFD78" w14:textId="77777777" w:rsidR="00180AFD" w:rsidRDefault="00180AFD" w:rsidP="00180AF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Mining: No real affect as demand and supply inelastic</w:t>
            </w:r>
          </w:p>
          <w:p w14:paraId="5851D536" w14:textId="77777777" w:rsidR="00180AFD" w:rsidRPr="00180AFD" w:rsidRDefault="00180AFD" w:rsidP="00180AF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Rural: Demand elastic but supply inelastic. Increased competitiveness due to depreciation of AUD leads to increase in demand. </w:t>
            </w:r>
            <w:proofErr w:type="gramStart"/>
            <w:r>
              <w:rPr>
                <w:rFonts w:cs="Arial"/>
              </w:rPr>
              <w:t>However</w:t>
            </w:r>
            <w:proofErr w:type="gramEnd"/>
            <w:r>
              <w:rPr>
                <w:rFonts w:cs="Arial"/>
              </w:rPr>
              <w:t xml:space="preserve"> as supply is inelastic, prices will go up, limited change in quantities, leading to increase in revenue</w:t>
            </w:r>
          </w:p>
        </w:tc>
        <w:tc>
          <w:tcPr>
            <w:tcW w:w="2133" w:type="dxa"/>
          </w:tcPr>
          <w:p w14:paraId="566D52AE" w14:textId="77777777" w:rsidR="00AC5360" w:rsidRDefault="00AC5360" w:rsidP="007218E6">
            <w:pPr>
              <w:jc w:val="center"/>
              <w:rPr>
                <w:rFonts w:cs="Arial"/>
              </w:rPr>
            </w:pPr>
          </w:p>
          <w:p w14:paraId="3B09C3CA" w14:textId="77777777" w:rsidR="00180AFD" w:rsidRDefault="00180AFD" w:rsidP="007218E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– 2</w:t>
            </w:r>
          </w:p>
          <w:p w14:paraId="00A8E96A" w14:textId="77777777" w:rsidR="00180AFD" w:rsidRDefault="00180AFD" w:rsidP="007218E6">
            <w:pPr>
              <w:jc w:val="center"/>
              <w:rPr>
                <w:rFonts w:cs="Arial"/>
              </w:rPr>
            </w:pPr>
          </w:p>
          <w:p w14:paraId="6B0F307E" w14:textId="77777777" w:rsidR="00180AFD" w:rsidRDefault="00180AFD" w:rsidP="007218E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1 – 2 </w:t>
            </w:r>
          </w:p>
          <w:p w14:paraId="40C43953" w14:textId="77777777" w:rsidR="00180AFD" w:rsidRDefault="00180AFD" w:rsidP="007218E6">
            <w:pPr>
              <w:jc w:val="center"/>
              <w:rPr>
                <w:rFonts w:cs="Arial"/>
              </w:rPr>
            </w:pPr>
          </w:p>
          <w:p w14:paraId="42D80B94" w14:textId="77777777" w:rsidR="00AC5360" w:rsidRDefault="00180AFD" w:rsidP="00180A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1</w:t>
            </w:r>
          </w:p>
          <w:p w14:paraId="75411237" w14:textId="77777777" w:rsidR="00180AFD" w:rsidRPr="00F0223A" w:rsidRDefault="00180AFD" w:rsidP="00180A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– 2</w:t>
            </w:r>
          </w:p>
        </w:tc>
      </w:tr>
      <w:tr w:rsidR="00AC5360" w:rsidRPr="00F0223A" w14:paraId="3B753634" w14:textId="77777777" w:rsidTr="007218E6">
        <w:tc>
          <w:tcPr>
            <w:tcW w:w="7933" w:type="dxa"/>
          </w:tcPr>
          <w:p w14:paraId="210A48B4" w14:textId="77777777" w:rsidR="00AC5360" w:rsidRDefault="00180AFD" w:rsidP="007218E6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Macroeconomy</w:t>
            </w:r>
            <w:proofErr w:type="spellEnd"/>
            <w:r w:rsidR="003438F7">
              <w:rPr>
                <w:rFonts w:cs="Arial"/>
              </w:rPr>
              <w:t xml:space="preserve">: </w:t>
            </w:r>
          </w:p>
          <w:p w14:paraId="2293E3EE" w14:textId="77777777" w:rsidR="00180AFD" w:rsidRDefault="00180AFD" w:rsidP="00180AFD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Inflation: Demand-pull due to increased </w:t>
            </w:r>
            <w:r w:rsidR="003438F7">
              <w:rPr>
                <w:rFonts w:cs="Arial"/>
              </w:rPr>
              <w:t>national income from increased export revenue and decreased import spending (decreased net exports).</w:t>
            </w:r>
            <w:r>
              <w:rPr>
                <w:rFonts w:cs="Arial"/>
              </w:rPr>
              <w:t xml:space="preserve"> Cost-push due to increased price of factors of production.</w:t>
            </w:r>
          </w:p>
          <w:p w14:paraId="1E9BE054" w14:textId="77777777" w:rsidR="00180AFD" w:rsidRDefault="00180AFD" w:rsidP="00180AFD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Unemployment</w:t>
            </w:r>
            <w:r w:rsidR="003438F7">
              <w:rPr>
                <w:rFonts w:cs="Arial"/>
              </w:rPr>
              <w:t xml:space="preserve">: Increased employment in services and manufacturing sector </w:t>
            </w:r>
            <w:r w:rsidR="003438F7" w:rsidRPr="003438F7">
              <w:rPr>
                <w:rFonts w:cs="Arial"/>
              </w:rPr>
              <w:sym w:font="Wingdings" w:char="F0E0"/>
            </w:r>
            <w:r w:rsidR="003438F7">
              <w:rPr>
                <w:rFonts w:cs="Arial"/>
              </w:rPr>
              <w:t xml:space="preserve"> Decreased unemployment rate</w:t>
            </w:r>
          </w:p>
          <w:p w14:paraId="5CF9B933" w14:textId="77777777" w:rsidR="00180AFD" w:rsidRPr="00180AFD" w:rsidRDefault="00180AFD" w:rsidP="00180AFD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Economic growth</w:t>
            </w:r>
            <w:r w:rsidR="003438F7">
              <w:rPr>
                <w:rFonts w:cs="Arial"/>
              </w:rPr>
              <w:t>: Increased economic growth due to increased production and output in services and manufacturing sectors</w:t>
            </w:r>
          </w:p>
        </w:tc>
        <w:tc>
          <w:tcPr>
            <w:tcW w:w="2133" w:type="dxa"/>
          </w:tcPr>
          <w:p w14:paraId="7342CCB0" w14:textId="77777777" w:rsidR="003438F7" w:rsidRDefault="003438F7" w:rsidP="00180AFD">
            <w:pPr>
              <w:jc w:val="center"/>
              <w:rPr>
                <w:rFonts w:cs="Arial"/>
              </w:rPr>
            </w:pPr>
          </w:p>
          <w:p w14:paraId="64B3831B" w14:textId="77777777" w:rsidR="00AC5360" w:rsidRDefault="00AC5360" w:rsidP="00180A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1 </w:t>
            </w:r>
            <w:r w:rsidR="003438F7">
              <w:rPr>
                <w:rFonts w:cs="Arial"/>
              </w:rPr>
              <w:t>–</w:t>
            </w:r>
            <w:r w:rsidR="00180AFD">
              <w:rPr>
                <w:rFonts w:cs="Arial"/>
              </w:rPr>
              <w:t xml:space="preserve"> </w:t>
            </w:r>
            <w:r w:rsidR="003438F7">
              <w:rPr>
                <w:rFonts w:cs="Arial"/>
              </w:rPr>
              <w:t>2</w:t>
            </w:r>
          </w:p>
          <w:p w14:paraId="55B996B9" w14:textId="77777777" w:rsidR="003438F7" w:rsidRDefault="003438F7" w:rsidP="00180AFD">
            <w:pPr>
              <w:jc w:val="center"/>
              <w:rPr>
                <w:rFonts w:cs="Arial"/>
              </w:rPr>
            </w:pPr>
          </w:p>
          <w:p w14:paraId="4BD810F9" w14:textId="77777777" w:rsidR="003438F7" w:rsidRDefault="003438F7" w:rsidP="00180AFD">
            <w:pPr>
              <w:jc w:val="center"/>
              <w:rPr>
                <w:rFonts w:cs="Arial"/>
              </w:rPr>
            </w:pPr>
          </w:p>
          <w:p w14:paraId="3B0FEB29" w14:textId="77777777" w:rsidR="003438F7" w:rsidRDefault="003438F7" w:rsidP="00180A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– 2</w:t>
            </w:r>
          </w:p>
          <w:p w14:paraId="6CBD6167" w14:textId="77777777" w:rsidR="003438F7" w:rsidRDefault="003438F7" w:rsidP="00180AFD">
            <w:pPr>
              <w:jc w:val="center"/>
              <w:rPr>
                <w:rFonts w:cs="Arial"/>
              </w:rPr>
            </w:pPr>
          </w:p>
          <w:p w14:paraId="384EA0A2" w14:textId="77777777" w:rsidR="003438F7" w:rsidRPr="00F0223A" w:rsidRDefault="003438F7" w:rsidP="00180A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– 2</w:t>
            </w:r>
          </w:p>
        </w:tc>
      </w:tr>
    </w:tbl>
    <w:p w14:paraId="1AAD2A15" w14:textId="77777777" w:rsidR="005F43B6" w:rsidRDefault="005F43B6">
      <w:pPr>
        <w:rPr>
          <w:rFonts w:cs="Arial"/>
        </w:rPr>
      </w:pPr>
    </w:p>
    <w:p w14:paraId="00341C28" w14:textId="77777777" w:rsidR="00AC5360" w:rsidRDefault="005F43B6">
      <w:pPr>
        <w:rPr>
          <w:rFonts w:cs="Arial"/>
          <w:b/>
        </w:rPr>
      </w:pPr>
      <w:r>
        <w:rPr>
          <w:rFonts w:cs="Arial"/>
        </w:rPr>
        <w:br w:type="column"/>
      </w:r>
      <w:r>
        <w:rPr>
          <w:rFonts w:cs="Arial"/>
          <w:b/>
        </w:rPr>
        <w:lastRenderedPageBreak/>
        <w:t>Question 2</w:t>
      </w:r>
    </w:p>
    <w:p w14:paraId="6A28EAAB" w14:textId="77777777" w:rsidR="005F43B6" w:rsidRDefault="005F43B6">
      <w:pPr>
        <w:rPr>
          <w:rFonts w:cs="Arial"/>
          <w:b/>
        </w:rPr>
      </w:pPr>
    </w:p>
    <w:p w14:paraId="3EBF8E8B" w14:textId="77777777" w:rsidR="005F43B6" w:rsidRDefault="005F43B6">
      <w:pPr>
        <w:rPr>
          <w:rFonts w:cs="Arial"/>
          <w:b/>
        </w:rPr>
      </w:pPr>
      <w:r>
        <w:rPr>
          <w:rFonts w:cs="Arial"/>
          <w:b/>
        </w:rPr>
        <w:t>Part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2133"/>
      </w:tblGrid>
      <w:tr w:rsidR="005F43B6" w:rsidRPr="00F0223A" w14:paraId="4341F4B3" w14:textId="77777777" w:rsidTr="007218E6">
        <w:tc>
          <w:tcPr>
            <w:tcW w:w="7933" w:type="dxa"/>
          </w:tcPr>
          <w:p w14:paraId="55CC4C5A" w14:textId="77777777" w:rsidR="005F43B6" w:rsidRPr="00513CFA" w:rsidRDefault="005F43B6" w:rsidP="007218E6">
            <w:pPr>
              <w:tabs>
                <w:tab w:val="left" w:pos="2267"/>
              </w:tabs>
              <w:rPr>
                <w:rFonts w:cs="Arial"/>
                <w:b/>
              </w:rPr>
            </w:pPr>
            <w:r w:rsidRPr="00513CFA">
              <w:rPr>
                <w:rFonts w:cs="Arial"/>
                <w:b/>
              </w:rPr>
              <w:t>Description</w:t>
            </w:r>
            <w:r>
              <w:rPr>
                <w:rFonts w:cs="Arial"/>
                <w:b/>
              </w:rPr>
              <w:tab/>
            </w:r>
          </w:p>
        </w:tc>
        <w:tc>
          <w:tcPr>
            <w:tcW w:w="2133" w:type="dxa"/>
          </w:tcPr>
          <w:p w14:paraId="1999FB14" w14:textId="77777777" w:rsidR="005F43B6" w:rsidRPr="00513CFA" w:rsidRDefault="005F43B6" w:rsidP="007218E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Marks allocated</w:t>
            </w:r>
          </w:p>
        </w:tc>
      </w:tr>
      <w:tr w:rsidR="005F43B6" w:rsidRPr="00F0223A" w14:paraId="58D8579C" w14:textId="77777777" w:rsidTr="007218E6">
        <w:tc>
          <w:tcPr>
            <w:tcW w:w="7933" w:type="dxa"/>
          </w:tcPr>
          <w:p w14:paraId="545546FA" w14:textId="77777777" w:rsidR="005F43B6" w:rsidRPr="005F43B6" w:rsidRDefault="005F43B6" w:rsidP="005F43B6">
            <w:pPr>
              <w:rPr>
                <w:rFonts w:cs="Arial"/>
              </w:rPr>
            </w:pPr>
            <w:r>
              <w:rPr>
                <w:rFonts w:cs="Arial"/>
              </w:rPr>
              <w:t xml:space="preserve">Definition of </w:t>
            </w:r>
            <w:r>
              <w:rPr>
                <w:rFonts w:cs="Arial"/>
              </w:rPr>
              <w:t>Exchange rate</w:t>
            </w:r>
          </w:p>
        </w:tc>
        <w:tc>
          <w:tcPr>
            <w:tcW w:w="2133" w:type="dxa"/>
          </w:tcPr>
          <w:p w14:paraId="6690B764" w14:textId="77777777" w:rsidR="005F43B6" w:rsidRPr="00F0223A" w:rsidRDefault="005F43B6" w:rsidP="005F4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5F43B6" w:rsidRPr="00F0223A" w14:paraId="17E45AF5" w14:textId="77777777" w:rsidTr="007218E6">
        <w:tc>
          <w:tcPr>
            <w:tcW w:w="7933" w:type="dxa"/>
          </w:tcPr>
          <w:p w14:paraId="7EA5E52B" w14:textId="77777777" w:rsidR="005F43B6" w:rsidRDefault="005F43B6" w:rsidP="005F43B6">
            <w:pPr>
              <w:rPr>
                <w:rFonts w:cs="Arial"/>
              </w:rPr>
            </w:pPr>
            <w:r>
              <w:rPr>
                <w:rFonts w:cs="Arial"/>
              </w:rPr>
              <w:t>Identify that the change is a depreciation</w:t>
            </w:r>
          </w:p>
        </w:tc>
        <w:tc>
          <w:tcPr>
            <w:tcW w:w="2133" w:type="dxa"/>
          </w:tcPr>
          <w:p w14:paraId="3D55993C" w14:textId="77777777" w:rsidR="005F43B6" w:rsidRDefault="005F43B6" w:rsidP="005F4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5F43B6" w:rsidRPr="00F0223A" w14:paraId="21EEB627" w14:textId="77777777" w:rsidTr="007218E6">
        <w:tc>
          <w:tcPr>
            <w:tcW w:w="7933" w:type="dxa"/>
          </w:tcPr>
          <w:p w14:paraId="2E821969" w14:textId="77777777" w:rsidR="005F43B6" w:rsidRDefault="005F43B6" w:rsidP="007218E6">
            <w:pPr>
              <w:rPr>
                <w:rFonts w:cs="Arial"/>
              </w:rPr>
            </w:pPr>
            <w:r>
              <w:rPr>
                <w:rFonts w:cs="Arial"/>
              </w:rPr>
              <w:t>Explanation of 3 factors (2m per factor, but diagram required for full marks)</w:t>
            </w:r>
          </w:p>
          <w:p w14:paraId="501591A8" w14:textId="77777777" w:rsidR="005F43B6" w:rsidRDefault="005F43B6" w:rsidP="007218E6">
            <w:pPr>
              <w:rPr>
                <w:rFonts w:cs="Arial"/>
              </w:rPr>
            </w:pPr>
            <w:r>
              <w:rPr>
                <w:rFonts w:cs="Arial"/>
              </w:rPr>
              <w:t>e.g.</w:t>
            </w:r>
          </w:p>
          <w:p w14:paraId="6681C2EE" w14:textId="77777777" w:rsidR="005F43B6" w:rsidRDefault="005F43B6" w:rsidP="007218E6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Interest rate differential</w:t>
            </w:r>
          </w:p>
          <w:p w14:paraId="1B2009B1" w14:textId="77777777" w:rsidR="005F43B6" w:rsidRDefault="005F43B6" w:rsidP="007218E6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Economic growth of trading partners</w:t>
            </w:r>
          </w:p>
          <w:p w14:paraId="37208DFD" w14:textId="77777777" w:rsidR="005F43B6" w:rsidRDefault="005F43B6" w:rsidP="007218E6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Commodity prices/Terms of trade</w:t>
            </w:r>
          </w:p>
          <w:p w14:paraId="76F3EFB5" w14:textId="77777777" w:rsidR="005F43B6" w:rsidRPr="00AC5360" w:rsidRDefault="005F43B6" w:rsidP="007218E6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Any other valid factor</w:t>
            </w:r>
          </w:p>
          <w:p w14:paraId="073FF9EE" w14:textId="77777777" w:rsidR="005F43B6" w:rsidRDefault="005F43B6" w:rsidP="007218E6">
            <w:pPr>
              <w:rPr>
                <w:rFonts w:cs="Arial"/>
              </w:rPr>
            </w:pPr>
          </w:p>
          <w:p w14:paraId="3C63C6A6" w14:textId="77777777" w:rsidR="005F43B6" w:rsidRDefault="005F43B6" w:rsidP="007218E6">
            <w:pPr>
              <w:rPr>
                <w:rFonts w:cs="Arial"/>
              </w:rPr>
            </w:pPr>
            <w:r>
              <w:rPr>
                <w:rFonts w:cs="Arial"/>
              </w:rPr>
              <w:t>Diagram is drawn</w:t>
            </w:r>
          </w:p>
          <w:p w14:paraId="5AC8A811" w14:textId="77777777" w:rsidR="005F43B6" w:rsidRPr="00F0223A" w:rsidRDefault="005F43B6" w:rsidP="007218E6">
            <w:pPr>
              <w:rPr>
                <w:rFonts w:cs="Arial"/>
              </w:rPr>
            </w:pPr>
            <w:r>
              <w:rPr>
                <w:rFonts w:cs="Arial"/>
              </w:rPr>
              <w:t>Referencing diagram in model in discussion of every factor</w:t>
            </w:r>
          </w:p>
        </w:tc>
        <w:tc>
          <w:tcPr>
            <w:tcW w:w="2133" w:type="dxa"/>
          </w:tcPr>
          <w:p w14:paraId="5EE4853E" w14:textId="77777777" w:rsidR="005F43B6" w:rsidRDefault="005F43B6" w:rsidP="007218E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1 - 4</w:t>
            </w:r>
          </w:p>
          <w:p w14:paraId="7FD87908" w14:textId="77777777" w:rsidR="005F43B6" w:rsidRDefault="005F43B6" w:rsidP="007218E6">
            <w:pPr>
              <w:jc w:val="center"/>
              <w:rPr>
                <w:rFonts w:cs="Arial"/>
              </w:rPr>
            </w:pPr>
          </w:p>
          <w:p w14:paraId="2EA81C1F" w14:textId="77777777" w:rsidR="005F43B6" w:rsidRDefault="005F43B6" w:rsidP="007218E6">
            <w:pPr>
              <w:jc w:val="center"/>
              <w:rPr>
                <w:rFonts w:cs="Arial"/>
              </w:rPr>
            </w:pPr>
          </w:p>
          <w:p w14:paraId="024BA09D" w14:textId="77777777" w:rsidR="005F43B6" w:rsidRDefault="005F43B6" w:rsidP="007218E6">
            <w:pPr>
              <w:jc w:val="center"/>
              <w:rPr>
                <w:rFonts w:cs="Arial"/>
              </w:rPr>
            </w:pPr>
          </w:p>
          <w:p w14:paraId="2A5D6839" w14:textId="77777777" w:rsidR="005F43B6" w:rsidRDefault="005F43B6" w:rsidP="007218E6">
            <w:pPr>
              <w:jc w:val="center"/>
              <w:rPr>
                <w:rFonts w:cs="Arial"/>
              </w:rPr>
            </w:pPr>
          </w:p>
          <w:p w14:paraId="5C742D99" w14:textId="77777777" w:rsidR="005F43B6" w:rsidRDefault="005F43B6" w:rsidP="007218E6">
            <w:pPr>
              <w:jc w:val="center"/>
              <w:rPr>
                <w:rFonts w:cs="Arial"/>
              </w:rPr>
            </w:pPr>
          </w:p>
          <w:p w14:paraId="70061DB9" w14:textId="77777777" w:rsidR="005F43B6" w:rsidRDefault="005F43B6" w:rsidP="007218E6">
            <w:pPr>
              <w:jc w:val="center"/>
              <w:rPr>
                <w:rFonts w:cs="Arial"/>
              </w:rPr>
            </w:pPr>
          </w:p>
          <w:p w14:paraId="35AF2590" w14:textId="77777777" w:rsidR="005F43B6" w:rsidRDefault="005F43B6" w:rsidP="007218E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1B40D9C2" w14:textId="77777777" w:rsidR="005F43B6" w:rsidRPr="00F0223A" w:rsidRDefault="005F43B6" w:rsidP="007218E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5DCEC55E" w14:textId="77777777" w:rsidR="005F43B6" w:rsidRPr="005F43B6" w:rsidRDefault="005F43B6">
      <w:pPr>
        <w:rPr>
          <w:rFonts w:cs="Arial"/>
          <w:b/>
        </w:rPr>
      </w:pPr>
    </w:p>
    <w:p w14:paraId="607680C3" w14:textId="77777777" w:rsidR="00AC5360" w:rsidRDefault="00AC5360">
      <w:pPr>
        <w:rPr>
          <w:rFonts w:cs="Arial"/>
          <w:b/>
        </w:rPr>
      </w:pPr>
    </w:p>
    <w:p w14:paraId="3D369BF8" w14:textId="77777777" w:rsidR="005F43B6" w:rsidRDefault="005F43B6">
      <w:pPr>
        <w:rPr>
          <w:rFonts w:cs="Arial"/>
          <w:b/>
        </w:rPr>
      </w:pPr>
      <w:r>
        <w:rPr>
          <w:rFonts w:cs="Arial"/>
          <w:b/>
        </w:rPr>
        <w:t>Part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2133"/>
      </w:tblGrid>
      <w:tr w:rsidR="005F43B6" w:rsidRPr="00F0223A" w14:paraId="5136E237" w14:textId="77777777" w:rsidTr="007218E6">
        <w:tc>
          <w:tcPr>
            <w:tcW w:w="7933" w:type="dxa"/>
          </w:tcPr>
          <w:p w14:paraId="730A5ED8" w14:textId="77777777" w:rsidR="005F43B6" w:rsidRPr="00513CFA" w:rsidRDefault="005F43B6" w:rsidP="007218E6">
            <w:pPr>
              <w:tabs>
                <w:tab w:val="left" w:pos="2267"/>
              </w:tabs>
              <w:rPr>
                <w:rFonts w:cs="Arial"/>
                <w:b/>
              </w:rPr>
            </w:pPr>
            <w:r w:rsidRPr="00513CFA">
              <w:rPr>
                <w:rFonts w:cs="Arial"/>
                <w:b/>
              </w:rPr>
              <w:t>Description</w:t>
            </w:r>
            <w:r>
              <w:rPr>
                <w:rFonts w:cs="Arial"/>
                <w:b/>
              </w:rPr>
              <w:tab/>
            </w:r>
          </w:p>
        </w:tc>
        <w:tc>
          <w:tcPr>
            <w:tcW w:w="2133" w:type="dxa"/>
          </w:tcPr>
          <w:p w14:paraId="6FE577EE" w14:textId="77777777" w:rsidR="005F43B6" w:rsidRPr="00513CFA" w:rsidRDefault="005F43B6" w:rsidP="007218E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Marks allocated</w:t>
            </w:r>
          </w:p>
        </w:tc>
      </w:tr>
      <w:tr w:rsidR="00DB2D5A" w:rsidRPr="00DB2D5A" w14:paraId="695A887B" w14:textId="77777777" w:rsidTr="007218E6">
        <w:tc>
          <w:tcPr>
            <w:tcW w:w="7933" w:type="dxa"/>
          </w:tcPr>
          <w:p w14:paraId="41914274" w14:textId="77777777" w:rsidR="00DB2D5A" w:rsidRPr="00DB2D5A" w:rsidRDefault="00DB2D5A" w:rsidP="007218E6">
            <w:pPr>
              <w:tabs>
                <w:tab w:val="left" w:pos="2267"/>
              </w:tabs>
              <w:rPr>
                <w:rFonts w:cs="Arial"/>
              </w:rPr>
            </w:pPr>
            <w:r>
              <w:rPr>
                <w:rFonts w:cs="Arial"/>
              </w:rPr>
              <w:t>Definition of Balance of Payments</w:t>
            </w:r>
          </w:p>
        </w:tc>
        <w:tc>
          <w:tcPr>
            <w:tcW w:w="2133" w:type="dxa"/>
          </w:tcPr>
          <w:p w14:paraId="7CAF3A3F" w14:textId="77777777" w:rsidR="00DB2D5A" w:rsidRPr="00DB2D5A" w:rsidRDefault="00DB2D5A" w:rsidP="007218E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DB2D5A" w:rsidRPr="00DB2D5A" w14:paraId="170DBB8B" w14:textId="77777777" w:rsidTr="007218E6">
        <w:tc>
          <w:tcPr>
            <w:tcW w:w="7933" w:type="dxa"/>
          </w:tcPr>
          <w:p w14:paraId="5132D1CA" w14:textId="77777777" w:rsidR="00DB2D5A" w:rsidRDefault="00DB2D5A" w:rsidP="007218E6">
            <w:pPr>
              <w:tabs>
                <w:tab w:val="left" w:pos="2267"/>
              </w:tabs>
              <w:rPr>
                <w:rFonts w:cs="Arial"/>
              </w:rPr>
            </w:pPr>
            <w:r>
              <w:rPr>
                <w:rFonts w:cs="Arial"/>
              </w:rPr>
              <w:t>Identifying that there are 2 accounts</w:t>
            </w:r>
          </w:p>
        </w:tc>
        <w:tc>
          <w:tcPr>
            <w:tcW w:w="2133" w:type="dxa"/>
          </w:tcPr>
          <w:p w14:paraId="25A71CEF" w14:textId="77777777" w:rsidR="00DB2D5A" w:rsidRDefault="00DB2D5A" w:rsidP="007218E6">
            <w:pPr>
              <w:jc w:val="center"/>
              <w:rPr>
                <w:rFonts w:cs="Arial"/>
              </w:rPr>
            </w:pPr>
            <w:bookmarkStart w:id="0" w:name="_GoBack"/>
            <w:bookmarkEnd w:id="0"/>
            <w:r>
              <w:rPr>
                <w:rFonts w:cs="Arial"/>
              </w:rPr>
              <w:t>1</w:t>
            </w:r>
          </w:p>
        </w:tc>
      </w:tr>
      <w:tr w:rsidR="005F43B6" w:rsidRPr="00F0223A" w14:paraId="302954CD" w14:textId="77777777" w:rsidTr="007218E6">
        <w:tc>
          <w:tcPr>
            <w:tcW w:w="7933" w:type="dxa"/>
          </w:tcPr>
          <w:p w14:paraId="04E07840" w14:textId="77777777" w:rsidR="005F43B6" w:rsidRDefault="005F43B6" w:rsidP="005F43B6">
            <w:pPr>
              <w:rPr>
                <w:rFonts w:cs="Arial"/>
              </w:rPr>
            </w:pPr>
            <w:r>
              <w:rPr>
                <w:rFonts w:cs="Arial"/>
              </w:rPr>
              <w:t>Impact on Current account:</w:t>
            </w:r>
          </w:p>
          <w:p w14:paraId="3271DDEE" w14:textId="77777777" w:rsidR="005F43B6" w:rsidRDefault="005F43B6" w:rsidP="005F43B6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Exports become cheaper, imports become more expensive </w:t>
            </w:r>
            <w:r w:rsidRPr="005F43B6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Increased export revenue, decreased import spending </w:t>
            </w:r>
            <w:r w:rsidRPr="005F43B6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Trade balance increases </w:t>
            </w:r>
            <w:r w:rsidRPr="005F43B6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Improvement in CAD</w:t>
            </w:r>
          </w:p>
          <w:p w14:paraId="555BD385" w14:textId="77777777" w:rsidR="005F43B6" w:rsidRDefault="005F43B6" w:rsidP="005F43B6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Debt servicing costs increase </w:t>
            </w:r>
            <w:r w:rsidRPr="005F43B6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Income outflows increase </w:t>
            </w:r>
            <w:r w:rsidRPr="005F43B6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Net Income</w:t>
            </w:r>
            <w:r w:rsidR="002F4C7E">
              <w:rPr>
                <w:rFonts w:cs="Arial"/>
              </w:rPr>
              <w:t xml:space="preserve"> deteriorates </w:t>
            </w:r>
            <w:r w:rsidR="002F4C7E" w:rsidRPr="002F4C7E">
              <w:rPr>
                <w:rFonts w:cs="Arial"/>
              </w:rPr>
              <w:sym w:font="Wingdings" w:char="F0E0"/>
            </w:r>
            <w:r w:rsidR="002F4C7E">
              <w:rPr>
                <w:rFonts w:cs="Arial"/>
              </w:rPr>
              <w:t xml:space="preserve"> Worsens the CAD</w:t>
            </w:r>
          </w:p>
          <w:p w14:paraId="3ECE69E9" w14:textId="77777777" w:rsidR="002F4C7E" w:rsidRPr="005F43B6" w:rsidRDefault="002F4C7E" w:rsidP="005F43B6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AUD value of foreign income increases </w:t>
            </w:r>
            <w:r w:rsidRPr="002F4C7E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Net income improves </w:t>
            </w:r>
            <w:r w:rsidRPr="002F4C7E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>Improves the CAD</w:t>
            </w:r>
          </w:p>
        </w:tc>
        <w:tc>
          <w:tcPr>
            <w:tcW w:w="2133" w:type="dxa"/>
          </w:tcPr>
          <w:p w14:paraId="0FC1EC42" w14:textId="77777777" w:rsidR="005F43B6" w:rsidRDefault="005F43B6" w:rsidP="007218E6">
            <w:pPr>
              <w:jc w:val="center"/>
              <w:rPr>
                <w:rFonts w:cs="Arial"/>
              </w:rPr>
            </w:pPr>
          </w:p>
          <w:p w14:paraId="1D9166F0" w14:textId="77777777" w:rsidR="005F43B6" w:rsidRDefault="005F43B6" w:rsidP="007218E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1 </w:t>
            </w:r>
            <w:r w:rsidR="002F4C7E">
              <w:rPr>
                <w:rFonts w:cs="Arial"/>
              </w:rPr>
              <w:t>–</w:t>
            </w:r>
            <w:r>
              <w:rPr>
                <w:rFonts w:cs="Arial"/>
              </w:rPr>
              <w:t xml:space="preserve"> 4</w:t>
            </w:r>
          </w:p>
          <w:p w14:paraId="6E26B92F" w14:textId="77777777" w:rsidR="002F4C7E" w:rsidRDefault="002F4C7E" w:rsidP="007218E6">
            <w:pPr>
              <w:jc w:val="center"/>
              <w:rPr>
                <w:rFonts w:cs="Arial"/>
              </w:rPr>
            </w:pPr>
          </w:p>
          <w:p w14:paraId="5E9B4286" w14:textId="77777777" w:rsidR="002F4C7E" w:rsidRDefault="002F4C7E" w:rsidP="007218E6">
            <w:pPr>
              <w:jc w:val="center"/>
              <w:rPr>
                <w:rFonts w:cs="Arial"/>
              </w:rPr>
            </w:pPr>
          </w:p>
          <w:p w14:paraId="0553F1AA" w14:textId="77777777" w:rsidR="002F4C7E" w:rsidRDefault="002F4C7E" w:rsidP="007218E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– 2</w:t>
            </w:r>
          </w:p>
          <w:p w14:paraId="006AB837" w14:textId="77777777" w:rsidR="002F4C7E" w:rsidRDefault="002F4C7E" w:rsidP="007218E6">
            <w:pPr>
              <w:jc w:val="center"/>
              <w:rPr>
                <w:rFonts w:cs="Arial"/>
              </w:rPr>
            </w:pPr>
          </w:p>
          <w:p w14:paraId="1929C4F7" w14:textId="77777777" w:rsidR="002F4C7E" w:rsidRDefault="002F4C7E" w:rsidP="007218E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– 2</w:t>
            </w:r>
          </w:p>
          <w:p w14:paraId="7275E6EF" w14:textId="77777777" w:rsidR="002F4C7E" w:rsidRPr="00F0223A" w:rsidRDefault="002F4C7E" w:rsidP="007218E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</w:tr>
      <w:tr w:rsidR="005F43B6" w:rsidRPr="00F0223A" w14:paraId="2A055919" w14:textId="77777777" w:rsidTr="007218E6">
        <w:tc>
          <w:tcPr>
            <w:tcW w:w="7933" w:type="dxa"/>
          </w:tcPr>
          <w:p w14:paraId="3CA702FB" w14:textId="77777777" w:rsidR="005F43B6" w:rsidRDefault="005F43B6" w:rsidP="007218E6">
            <w:pPr>
              <w:rPr>
                <w:rFonts w:cs="Arial"/>
              </w:rPr>
            </w:pPr>
            <w:r>
              <w:rPr>
                <w:rFonts w:cs="Arial"/>
              </w:rPr>
              <w:t>Impact on Financial account</w:t>
            </w:r>
          </w:p>
          <w:p w14:paraId="6E2A2E19" w14:textId="77777777" w:rsidR="002F4C7E" w:rsidRPr="00DB2D5A" w:rsidRDefault="002F4C7E" w:rsidP="00DB2D5A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Cost of investing in Australia decreases </w:t>
            </w:r>
            <w:r w:rsidRPr="002F4C7E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Increases financial inflow </w:t>
            </w:r>
            <w:r w:rsidRPr="002F4C7E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Financial account surplus increases </w:t>
            </w:r>
            <w:r w:rsidRPr="002F4C7E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CAD increases</w:t>
            </w:r>
          </w:p>
        </w:tc>
        <w:tc>
          <w:tcPr>
            <w:tcW w:w="2133" w:type="dxa"/>
          </w:tcPr>
          <w:p w14:paraId="633769E5" w14:textId="77777777" w:rsidR="005F43B6" w:rsidRDefault="005F43B6" w:rsidP="007218E6">
            <w:pPr>
              <w:jc w:val="center"/>
              <w:rPr>
                <w:rFonts w:cs="Arial"/>
              </w:rPr>
            </w:pPr>
          </w:p>
          <w:p w14:paraId="5FE656EC" w14:textId="77777777" w:rsidR="002F4C7E" w:rsidRDefault="002F4C7E" w:rsidP="007218E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– 2</w:t>
            </w:r>
          </w:p>
          <w:p w14:paraId="22A188AF" w14:textId="77777777" w:rsidR="002F4C7E" w:rsidRPr="00F0223A" w:rsidRDefault="002F4C7E" w:rsidP="007218E6">
            <w:pPr>
              <w:jc w:val="center"/>
              <w:rPr>
                <w:rFonts w:cs="Arial"/>
              </w:rPr>
            </w:pPr>
          </w:p>
        </w:tc>
      </w:tr>
    </w:tbl>
    <w:p w14:paraId="2A37DE6A" w14:textId="77777777" w:rsidR="005F43B6" w:rsidRPr="00F0223A" w:rsidRDefault="005F43B6">
      <w:pPr>
        <w:rPr>
          <w:rFonts w:cs="Arial"/>
          <w:b/>
        </w:rPr>
      </w:pPr>
    </w:p>
    <w:sectPr w:rsidR="005F43B6" w:rsidRPr="00F0223A" w:rsidSect="00AC5360"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22BED"/>
    <w:multiLevelType w:val="hybridMultilevel"/>
    <w:tmpl w:val="AD704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47C4E"/>
    <w:multiLevelType w:val="hybridMultilevel"/>
    <w:tmpl w:val="1DF45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64EF4"/>
    <w:multiLevelType w:val="hybridMultilevel"/>
    <w:tmpl w:val="4D96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031E0"/>
    <w:multiLevelType w:val="hybridMultilevel"/>
    <w:tmpl w:val="426A3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35464"/>
    <w:multiLevelType w:val="hybridMultilevel"/>
    <w:tmpl w:val="6BB80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6E7477"/>
    <w:multiLevelType w:val="hybridMultilevel"/>
    <w:tmpl w:val="8F1CB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3A"/>
    <w:rsid w:val="000F2F01"/>
    <w:rsid w:val="00180AFD"/>
    <w:rsid w:val="002800A5"/>
    <w:rsid w:val="002F4C7E"/>
    <w:rsid w:val="00327C3E"/>
    <w:rsid w:val="003438F7"/>
    <w:rsid w:val="00484CB0"/>
    <w:rsid w:val="00513CFA"/>
    <w:rsid w:val="005F43B6"/>
    <w:rsid w:val="0064337E"/>
    <w:rsid w:val="00AC5360"/>
    <w:rsid w:val="00DB2D5A"/>
    <w:rsid w:val="00F0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95A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2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392</Words>
  <Characters>2237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Jiang</dc:creator>
  <cp:keywords/>
  <dc:description/>
  <cp:lastModifiedBy>Yin Jiang</cp:lastModifiedBy>
  <cp:revision>1</cp:revision>
  <dcterms:created xsi:type="dcterms:W3CDTF">2019-03-28T08:21:00Z</dcterms:created>
  <dcterms:modified xsi:type="dcterms:W3CDTF">2019-03-28T09:03:00Z</dcterms:modified>
</cp:coreProperties>
</file>