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CBADF" w14:textId="17B38273" w:rsidR="007B164C" w:rsidRDefault="00E80363">
      <w:bookmarkStart w:id="0" w:name="_GoBack"/>
      <w:bookmarkEnd w:id="0"/>
      <w:r>
        <w:t>WACE Content Grid 2015–2018</w:t>
      </w:r>
      <w:r w:rsidR="00A34036">
        <w:t xml:space="preserve"> </w:t>
      </w:r>
      <w:r w:rsidR="00A34036" w:rsidRPr="00A34036">
        <w:rPr>
          <w:color w:val="FF0000"/>
        </w:rPr>
        <w:t>(+PLEAWA exam 2019)</w:t>
      </w:r>
    </w:p>
    <w:p w14:paraId="4EB9BB94" w14:textId="77777777" w:rsidR="00E80363" w:rsidRDefault="00E80363"/>
    <w:p w14:paraId="465DE9F1" w14:textId="77777777" w:rsidR="00E80363" w:rsidRPr="001068CB" w:rsidRDefault="00E80363" w:rsidP="00E80363">
      <w:pPr>
        <w:jc w:val="center"/>
        <w:rPr>
          <w:rFonts w:ascii="Calibri Light" w:hAnsi="Calibri Light" w:cs="Calibri Light"/>
          <w:sz w:val="56"/>
          <w:szCs w:val="56"/>
        </w:rPr>
      </w:pPr>
      <w:r>
        <w:rPr>
          <w:rFonts w:ascii="Calibri Light" w:hAnsi="Calibri Light" w:cs="Calibri Light"/>
          <w:b/>
          <w:sz w:val="56"/>
          <w:szCs w:val="56"/>
        </w:rPr>
        <w:t>Unit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02"/>
        <w:gridCol w:w="849"/>
        <w:gridCol w:w="849"/>
        <w:gridCol w:w="849"/>
        <w:gridCol w:w="851"/>
        <w:gridCol w:w="1129"/>
      </w:tblGrid>
      <w:tr w:rsidR="00A34036" w:rsidRPr="005E40A7" w14:paraId="4537F305" w14:textId="7A2D07BD" w:rsidTr="00A34036">
        <w:trPr>
          <w:tblHeader/>
        </w:trPr>
        <w:tc>
          <w:tcPr>
            <w:tcW w:w="2649" w:type="pct"/>
            <w:shd w:val="clear" w:color="auto" w:fill="BFBFBF" w:themeFill="background1" w:themeFillShade="BF"/>
            <w:vAlign w:val="center"/>
          </w:tcPr>
          <w:p w14:paraId="1BE49FD7" w14:textId="77777777" w:rsidR="00A34036" w:rsidRPr="00BB4ADE" w:rsidRDefault="00A34036" w:rsidP="007D2FC4">
            <w:pPr>
              <w:spacing w:before="60" w:after="60"/>
              <w:rPr>
                <w:rFonts w:cs="Calibri"/>
                <w:b/>
                <w:lang w:val="en-GB"/>
              </w:rPr>
            </w:pPr>
            <w:r>
              <w:rPr>
                <w:rFonts w:cs="Calibri"/>
                <w:b/>
                <w:lang w:val="en-GB"/>
              </w:rPr>
              <w:t>Syllabus</w:t>
            </w:r>
          </w:p>
        </w:tc>
        <w:tc>
          <w:tcPr>
            <w:tcW w:w="441" w:type="pct"/>
            <w:shd w:val="clear" w:color="auto" w:fill="BFBFBF" w:themeFill="background1" w:themeFillShade="BF"/>
            <w:vAlign w:val="center"/>
          </w:tcPr>
          <w:p w14:paraId="2CD4B40D" w14:textId="77777777" w:rsidR="00A34036" w:rsidRPr="00BB4ADE" w:rsidRDefault="00A34036" w:rsidP="007D2FC4">
            <w:pPr>
              <w:spacing w:before="60" w:after="60"/>
              <w:jc w:val="center"/>
              <w:rPr>
                <w:rFonts w:cs="Calibri"/>
                <w:b/>
                <w:lang w:val="en-GB"/>
              </w:rPr>
            </w:pPr>
            <w:r>
              <w:rPr>
                <w:rFonts w:cs="Calibri"/>
                <w:b/>
                <w:lang w:val="en-GB"/>
              </w:rPr>
              <w:t>20</w:t>
            </w:r>
            <w:r w:rsidRPr="00BB4ADE">
              <w:rPr>
                <w:rFonts w:cs="Calibri"/>
                <w:b/>
                <w:lang w:val="en-GB"/>
              </w:rPr>
              <w:t>15</w:t>
            </w:r>
          </w:p>
        </w:tc>
        <w:tc>
          <w:tcPr>
            <w:tcW w:w="441" w:type="pct"/>
            <w:shd w:val="clear" w:color="auto" w:fill="BFBFBF" w:themeFill="background1" w:themeFillShade="BF"/>
            <w:vAlign w:val="center"/>
          </w:tcPr>
          <w:p w14:paraId="770C325B" w14:textId="77777777" w:rsidR="00A34036" w:rsidRPr="00BB4ADE" w:rsidRDefault="00A34036" w:rsidP="007D2FC4">
            <w:pPr>
              <w:spacing w:before="60" w:after="60"/>
              <w:jc w:val="center"/>
              <w:rPr>
                <w:rFonts w:cs="Calibri"/>
                <w:b/>
                <w:lang w:val="en-GB"/>
              </w:rPr>
            </w:pPr>
            <w:r>
              <w:rPr>
                <w:rFonts w:cs="Calibri"/>
                <w:b/>
                <w:lang w:val="en-GB"/>
              </w:rPr>
              <w:t>20</w:t>
            </w:r>
            <w:r w:rsidRPr="00BB4ADE">
              <w:rPr>
                <w:rFonts w:cs="Calibri"/>
                <w:b/>
                <w:lang w:val="en-GB"/>
              </w:rPr>
              <w:t>16</w:t>
            </w:r>
          </w:p>
        </w:tc>
        <w:tc>
          <w:tcPr>
            <w:tcW w:w="441" w:type="pct"/>
            <w:shd w:val="clear" w:color="auto" w:fill="BFBFBF" w:themeFill="background1" w:themeFillShade="BF"/>
            <w:vAlign w:val="center"/>
          </w:tcPr>
          <w:p w14:paraId="29F4D2E2" w14:textId="77777777" w:rsidR="00A34036" w:rsidRPr="00BB4ADE" w:rsidRDefault="00A34036" w:rsidP="007D2FC4">
            <w:pPr>
              <w:contextualSpacing/>
              <w:jc w:val="center"/>
              <w:rPr>
                <w:rFonts w:cs="Calibri"/>
                <w:b/>
                <w:lang w:val="en-GB"/>
              </w:rPr>
            </w:pPr>
            <w:r>
              <w:rPr>
                <w:rFonts w:cs="Calibri"/>
                <w:b/>
                <w:lang w:val="en-GB"/>
              </w:rPr>
              <w:t>20</w:t>
            </w:r>
            <w:r w:rsidRPr="00BB4ADE">
              <w:rPr>
                <w:rFonts w:cs="Calibri"/>
                <w:b/>
                <w:lang w:val="en-GB"/>
              </w:rPr>
              <w:t>17</w:t>
            </w:r>
          </w:p>
        </w:tc>
        <w:tc>
          <w:tcPr>
            <w:tcW w:w="442" w:type="pct"/>
            <w:shd w:val="clear" w:color="auto" w:fill="BFBFBF" w:themeFill="background1" w:themeFillShade="BF"/>
            <w:vAlign w:val="center"/>
          </w:tcPr>
          <w:p w14:paraId="304AEB77" w14:textId="77777777" w:rsidR="00A34036" w:rsidRDefault="00A34036" w:rsidP="007D2FC4">
            <w:pPr>
              <w:contextualSpacing/>
              <w:jc w:val="center"/>
              <w:rPr>
                <w:rFonts w:cs="Calibri"/>
                <w:b/>
                <w:lang w:val="en-GB"/>
              </w:rPr>
            </w:pPr>
            <w:r>
              <w:rPr>
                <w:rFonts w:cs="Calibri"/>
                <w:b/>
                <w:lang w:val="en-GB"/>
              </w:rPr>
              <w:t>2018</w:t>
            </w:r>
          </w:p>
        </w:tc>
        <w:tc>
          <w:tcPr>
            <w:tcW w:w="586" w:type="pct"/>
            <w:shd w:val="clear" w:color="auto" w:fill="BFBFBF" w:themeFill="background1" w:themeFillShade="BF"/>
          </w:tcPr>
          <w:p w14:paraId="2C8ED625" w14:textId="553CE968" w:rsidR="00A34036" w:rsidRPr="00311514" w:rsidRDefault="00A34036" w:rsidP="00FF376D">
            <w:pPr>
              <w:contextualSpacing/>
              <w:jc w:val="center"/>
              <w:rPr>
                <w:rFonts w:cs="Calibri"/>
                <w:b/>
                <w:color w:val="FF0000"/>
                <w:lang w:val="en-GB"/>
              </w:rPr>
            </w:pPr>
            <w:r w:rsidRPr="00311514">
              <w:rPr>
                <w:rFonts w:cs="Calibri"/>
                <w:b/>
                <w:color w:val="FF0000"/>
                <w:lang w:val="en-GB"/>
              </w:rPr>
              <w:t>2019</w:t>
            </w:r>
          </w:p>
        </w:tc>
      </w:tr>
      <w:tr w:rsidR="00A34036" w:rsidRPr="005E40A7" w14:paraId="65C609A4" w14:textId="7EBA2646" w:rsidTr="00A34036">
        <w:tc>
          <w:tcPr>
            <w:tcW w:w="2649" w:type="pct"/>
          </w:tcPr>
          <w:p w14:paraId="0E72E8E7" w14:textId="77777777" w:rsidR="00A34036" w:rsidRPr="009B38D4" w:rsidRDefault="00A34036" w:rsidP="007D2FC4">
            <w:pPr>
              <w:pStyle w:val="Paragraph"/>
              <w:spacing w:before="0" w:after="0" w:line="240" w:lineRule="auto"/>
              <w:jc w:val="both"/>
              <w:rPr>
                <w:sz w:val="18"/>
                <w:szCs w:val="18"/>
              </w:rPr>
            </w:pPr>
            <w:r w:rsidRPr="009B38D4">
              <w:rPr>
                <w:sz w:val="18"/>
                <w:szCs w:val="18"/>
              </w:rPr>
              <w:t>Essential to the understanding of political and legal power is the knowledge of responsible government, representative government, separation of powers, division of powers and Westminster conventions.</w:t>
            </w:r>
          </w:p>
        </w:tc>
        <w:tc>
          <w:tcPr>
            <w:tcW w:w="441" w:type="pct"/>
            <w:vAlign w:val="center"/>
          </w:tcPr>
          <w:p w14:paraId="695D907A" w14:textId="77777777" w:rsidR="00A34036" w:rsidRPr="00BB4ADE" w:rsidRDefault="00A34036" w:rsidP="007D2FC4">
            <w:pPr>
              <w:jc w:val="center"/>
              <w:rPr>
                <w:rFonts w:cs="Calibri"/>
                <w:b/>
                <w:szCs w:val="18"/>
                <w:lang w:val="en-GB"/>
              </w:rPr>
            </w:pPr>
            <w:r w:rsidRPr="00BB4ADE">
              <w:rPr>
                <w:rFonts w:cs="Calibri"/>
                <w:b/>
                <w:szCs w:val="18"/>
                <w:lang w:val="en-GB"/>
              </w:rPr>
              <w:t>1</w:t>
            </w:r>
            <w:r>
              <w:rPr>
                <w:rFonts w:cs="Calibri"/>
                <w:b/>
                <w:szCs w:val="18"/>
                <w:lang w:val="en-GB"/>
              </w:rPr>
              <w:t xml:space="preserve"> </w:t>
            </w:r>
            <w:r w:rsidRPr="00BB4ADE">
              <w:rPr>
                <w:rFonts w:cs="Calibri"/>
                <w:b/>
                <w:szCs w:val="18"/>
                <w:lang w:val="en-GB"/>
              </w:rPr>
              <w:t>a</w:t>
            </w:r>
          </w:p>
          <w:p w14:paraId="457C78C1" w14:textId="77777777" w:rsidR="00A34036" w:rsidRPr="00BB4ADE" w:rsidRDefault="00A34036" w:rsidP="007D2FC4">
            <w:pPr>
              <w:jc w:val="center"/>
              <w:rPr>
                <w:rFonts w:cs="Calibri"/>
                <w:b/>
                <w:szCs w:val="18"/>
                <w:lang w:val="en-GB"/>
              </w:rPr>
            </w:pPr>
            <w:r w:rsidRPr="00BB4ADE">
              <w:rPr>
                <w:rFonts w:cs="Calibri"/>
                <w:b/>
                <w:szCs w:val="18"/>
                <w:lang w:val="en-GB"/>
              </w:rPr>
              <w:t>3</w:t>
            </w:r>
            <w:r>
              <w:rPr>
                <w:rFonts w:cs="Calibri"/>
                <w:b/>
                <w:szCs w:val="18"/>
                <w:lang w:val="en-GB"/>
              </w:rPr>
              <w:t xml:space="preserve"> </w:t>
            </w:r>
            <w:r w:rsidRPr="00BB4ADE">
              <w:rPr>
                <w:rFonts w:cs="Calibri"/>
                <w:b/>
                <w:szCs w:val="18"/>
                <w:lang w:val="en-GB"/>
              </w:rPr>
              <w:t>b</w:t>
            </w:r>
          </w:p>
        </w:tc>
        <w:tc>
          <w:tcPr>
            <w:tcW w:w="441" w:type="pct"/>
            <w:vAlign w:val="center"/>
          </w:tcPr>
          <w:p w14:paraId="5331552F" w14:textId="77777777" w:rsidR="00A34036" w:rsidRPr="00BB4ADE" w:rsidRDefault="00A34036" w:rsidP="007D2FC4">
            <w:pPr>
              <w:jc w:val="center"/>
              <w:rPr>
                <w:rFonts w:cs="Calibri"/>
                <w:b/>
                <w:szCs w:val="18"/>
                <w:lang w:val="en-GB"/>
              </w:rPr>
            </w:pPr>
            <w:r w:rsidRPr="00BB4ADE">
              <w:rPr>
                <w:rFonts w:cs="Calibri"/>
                <w:b/>
                <w:szCs w:val="18"/>
                <w:lang w:val="en-GB"/>
              </w:rPr>
              <w:t>6</w:t>
            </w:r>
            <w:r>
              <w:rPr>
                <w:rFonts w:cs="Calibri"/>
                <w:b/>
                <w:szCs w:val="18"/>
                <w:lang w:val="en-GB"/>
              </w:rPr>
              <w:t xml:space="preserve"> </w:t>
            </w:r>
            <w:r w:rsidRPr="00BB4ADE">
              <w:rPr>
                <w:rFonts w:cs="Calibri"/>
                <w:b/>
                <w:szCs w:val="18"/>
                <w:lang w:val="en-GB"/>
              </w:rPr>
              <w:t>b</w:t>
            </w:r>
            <w:r>
              <w:rPr>
                <w:rFonts w:cs="Calibri"/>
                <w:b/>
                <w:szCs w:val="18"/>
                <w:lang w:val="en-GB"/>
              </w:rPr>
              <w:t xml:space="preserve"> </w:t>
            </w:r>
            <w:r w:rsidRPr="00BB4ADE">
              <w:rPr>
                <w:rFonts w:cs="Calibri"/>
                <w:b/>
                <w:szCs w:val="18"/>
                <w:lang w:val="en-GB"/>
              </w:rPr>
              <w:t>d</w:t>
            </w:r>
          </w:p>
        </w:tc>
        <w:tc>
          <w:tcPr>
            <w:tcW w:w="441" w:type="pct"/>
            <w:shd w:val="clear" w:color="auto" w:fill="auto"/>
            <w:vAlign w:val="center"/>
          </w:tcPr>
          <w:p w14:paraId="269DDA72" w14:textId="77777777" w:rsidR="00A34036" w:rsidRPr="00BB4ADE" w:rsidRDefault="00A34036" w:rsidP="007D2FC4">
            <w:pPr>
              <w:adjustRightInd w:val="0"/>
              <w:contextualSpacing/>
              <w:jc w:val="center"/>
              <w:rPr>
                <w:rFonts w:cs="Calibri"/>
                <w:b/>
                <w:szCs w:val="18"/>
                <w:lang w:val="en-GB"/>
              </w:rPr>
            </w:pPr>
            <w:r w:rsidRPr="00BB4ADE">
              <w:rPr>
                <w:rFonts w:cs="Calibri"/>
                <w:b/>
                <w:szCs w:val="18"/>
                <w:lang w:val="en-GB"/>
              </w:rPr>
              <w:t>3</w:t>
            </w:r>
            <w:r>
              <w:rPr>
                <w:rFonts w:cs="Calibri"/>
                <w:b/>
                <w:szCs w:val="18"/>
                <w:lang w:val="en-GB"/>
              </w:rPr>
              <w:t xml:space="preserve"> </w:t>
            </w:r>
            <w:r w:rsidRPr="00BB4ADE">
              <w:rPr>
                <w:rFonts w:cs="Calibri"/>
                <w:b/>
                <w:szCs w:val="18"/>
                <w:lang w:val="en-GB"/>
              </w:rPr>
              <w:t>a</w:t>
            </w:r>
          </w:p>
        </w:tc>
        <w:tc>
          <w:tcPr>
            <w:tcW w:w="442" w:type="pct"/>
            <w:shd w:val="clear" w:color="auto" w:fill="D9D9D9" w:themeFill="background1" w:themeFillShade="D9"/>
            <w:vAlign w:val="center"/>
          </w:tcPr>
          <w:p w14:paraId="10D2103F" w14:textId="77777777" w:rsidR="00A34036" w:rsidRPr="00BB4ADE" w:rsidRDefault="00A34036" w:rsidP="007D2FC4">
            <w:pPr>
              <w:adjustRightInd w:val="0"/>
              <w:contextualSpacing/>
              <w:jc w:val="center"/>
              <w:rPr>
                <w:rFonts w:cs="Calibri"/>
                <w:b/>
                <w:szCs w:val="18"/>
                <w:lang w:val="en-GB"/>
              </w:rPr>
            </w:pPr>
          </w:p>
        </w:tc>
        <w:tc>
          <w:tcPr>
            <w:tcW w:w="586" w:type="pct"/>
            <w:shd w:val="clear" w:color="auto" w:fill="D9D9D9" w:themeFill="background1" w:themeFillShade="D9"/>
          </w:tcPr>
          <w:p w14:paraId="465B4DA8" w14:textId="77777777" w:rsidR="00A34036" w:rsidRPr="00311514" w:rsidRDefault="00A34036" w:rsidP="007D2FC4">
            <w:pPr>
              <w:adjustRightInd w:val="0"/>
              <w:contextualSpacing/>
              <w:jc w:val="center"/>
              <w:rPr>
                <w:rFonts w:cs="Calibri"/>
                <w:b/>
                <w:color w:val="FF0000"/>
                <w:szCs w:val="18"/>
                <w:lang w:val="en-GB"/>
              </w:rPr>
            </w:pPr>
          </w:p>
        </w:tc>
      </w:tr>
      <w:tr w:rsidR="00A34036" w:rsidRPr="005E40A7" w14:paraId="291A9991" w14:textId="37BEF42F" w:rsidTr="00A34036">
        <w:tc>
          <w:tcPr>
            <w:tcW w:w="2649" w:type="pct"/>
          </w:tcPr>
          <w:p w14:paraId="796CC0BA" w14:textId="77777777" w:rsidR="00A34036" w:rsidRPr="007D2FC4" w:rsidRDefault="00A34036" w:rsidP="00E80363">
            <w:pPr>
              <w:pStyle w:val="Heading2"/>
              <w:keepNext w:val="0"/>
              <w:numPr>
                <w:ilvl w:val="0"/>
                <w:numId w:val="5"/>
              </w:numPr>
              <w:spacing w:before="0"/>
              <w:jc w:val="both"/>
              <w:rPr>
                <w:rFonts w:asciiTheme="minorHAnsi" w:hAnsiTheme="minorHAnsi" w:cstheme="minorHAnsi"/>
                <w:color w:val="auto"/>
                <w:sz w:val="18"/>
                <w:szCs w:val="18"/>
                <w:lang w:val="en-GB"/>
              </w:rPr>
            </w:pPr>
            <w:r w:rsidRPr="007D2FC4">
              <w:rPr>
                <w:rFonts w:asciiTheme="minorHAnsi" w:hAnsiTheme="minorHAnsi" w:cstheme="minorHAnsi"/>
                <w:color w:val="auto"/>
                <w:sz w:val="18"/>
                <w:szCs w:val="18"/>
              </w:rPr>
              <w:t xml:space="preserve">legislative, executive and judicial powers with reference to the Commonwealth Constitution (Australia) </w:t>
            </w:r>
            <w:r w:rsidRPr="007D2FC4">
              <w:rPr>
                <w:rFonts w:asciiTheme="minorHAnsi" w:hAnsiTheme="minorHAnsi" w:cstheme="minorHAnsi"/>
                <w:b/>
                <w:color w:val="auto"/>
                <w:sz w:val="18"/>
                <w:szCs w:val="18"/>
              </w:rPr>
              <w:t>and</w:t>
            </w:r>
            <w:r w:rsidRPr="007D2FC4">
              <w:rPr>
                <w:rFonts w:asciiTheme="minorHAnsi" w:hAnsiTheme="minorHAnsi" w:cstheme="minorHAnsi"/>
                <w:color w:val="auto"/>
                <w:sz w:val="18"/>
                <w:szCs w:val="18"/>
              </w:rPr>
              <w:t xml:space="preserve"> with comparison to one non-Westminster political and legal system</w:t>
            </w:r>
          </w:p>
        </w:tc>
        <w:tc>
          <w:tcPr>
            <w:tcW w:w="441" w:type="pct"/>
            <w:vAlign w:val="center"/>
          </w:tcPr>
          <w:p w14:paraId="5C2A8BD7" w14:textId="77777777" w:rsidR="00A34036" w:rsidRPr="002B5F84" w:rsidRDefault="00A34036" w:rsidP="007D2FC4">
            <w:pPr>
              <w:spacing w:before="60" w:after="60"/>
              <w:jc w:val="center"/>
              <w:rPr>
                <w:rFonts w:cstheme="minorHAnsi"/>
                <w:b/>
                <w:szCs w:val="18"/>
                <w:lang w:val="en-GB"/>
              </w:rPr>
            </w:pPr>
            <w:r w:rsidRPr="002B5F84">
              <w:rPr>
                <w:rFonts w:cstheme="minorHAnsi"/>
                <w:b/>
                <w:szCs w:val="18"/>
                <w:lang w:val="en-GB"/>
              </w:rPr>
              <w:t>5 d</w:t>
            </w:r>
          </w:p>
        </w:tc>
        <w:tc>
          <w:tcPr>
            <w:tcW w:w="441" w:type="pct"/>
            <w:shd w:val="clear" w:color="auto" w:fill="D9D9D9" w:themeFill="background1" w:themeFillShade="D9"/>
            <w:vAlign w:val="center"/>
          </w:tcPr>
          <w:p w14:paraId="6743A313" w14:textId="77777777" w:rsidR="00A34036" w:rsidRPr="007D2FC4" w:rsidRDefault="00A34036" w:rsidP="007D2FC4">
            <w:pPr>
              <w:spacing w:before="60" w:after="60"/>
              <w:contextualSpacing/>
              <w:jc w:val="center"/>
              <w:rPr>
                <w:rFonts w:cstheme="minorHAnsi"/>
                <w:b/>
                <w:szCs w:val="18"/>
                <w:lang w:val="en-GB"/>
              </w:rPr>
            </w:pPr>
          </w:p>
        </w:tc>
        <w:tc>
          <w:tcPr>
            <w:tcW w:w="441" w:type="pct"/>
            <w:shd w:val="clear" w:color="auto" w:fill="auto"/>
            <w:vAlign w:val="center"/>
          </w:tcPr>
          <w:p w14:paraId="28D4064A" w14:textId="77777777" w:rsidR="00A34036" w:rsidRPr="007D2FC4" w:rsidRDefault="00A34036" w:rsidP="007D2FC4">
            <w:pPr>
              <w:contextualSpacing/>
              <w:jc w:val="center"/>
              <w:rPr>
                <w:rFonts w:cstheme="minorHAnsi"/>
                <w:b/>
                <w:szCs w:val="18"/>
                <w:lang w:val="en-GB"/>
              </w:rPr>
            </w:pPr>
            <w:r w:rsidRPr="007D2FC4">
              <w:rPr>
                <w:rFonts w:cstheme="minorHAnsi"/>
                <w:b/>
                <w:szCs w:val="18"/>
                <w:lang w:val="en-GB"/>
              </w:rPr>
              <w:t>1 a c</w:t>
            </w:r>
          </w:p>
          <w:p w14:paraId="69021E6C" w14:textId="77777777" w:rsidR="00A34036" w:rsidRPr="007D2FC4" w:rsidRDefault="00A34036" w:rsidP="007D2FC4">
            <w:pPr>
              <w:contextualSpacing/>
              <w:jc w:val="center"/>
              <w:rPr>
                <w:rFonts w:cstheme="minorHAnsi"/>
                <w:b/>
                <w:szCs w:val="18"/>
                <w:lang w:val="en-GB"/>
              </w:rPr>
            </w:pPr>
          </w:p>
        </w:tc>
        <w:tc>
          <w:tcPr>
            <w:tcW w:w="442" w:type="pct"/>
            <w:shd w:val="clear" w:color="auto" w:fill="D9D9D9" w:themeFill="background1" w:themeFillShade="D9"/>
            <w:vAlign w:val="center"/>
          </w:tcPr>
          <w:p w14:paraId="1155F166" w14:textId="77777777" w:rsidR="00A34036" w:rsidRPr="00397D0B" w:rsidRDefault="00A34036" w:rsidP="007D2FC4">
            <w:pPr>
              <w:contextualSpacing/>
              <w:jc w:val="center"/>
              <w:rPr>
                <w:rFonts w:cstheme="minorHAnsi"/>
                <w:b/>
                <w:szCs w:val="18"/>
                <w:lang w:val="en-GB"/>
              </w:rPr>
            </w:pPr>
          </w:p>
        </w:tc>
        <w:tc>
          <w:tcPr>
            <w:tcW w:w="586" w:type="pct"/>
            <w:shd w:val="clear" w:color="auto" w:fill="D9D9D9" w:themeFill="background1" w:themeFillShade="D9"/>
          </w:tcPr>
          <w:p w14:paraId="33AA73DC" w14:textId="77777777" w:rsidR="00A34036" w:rsidRPr="00311514" w:rsidRDefault="00A34036" w:rsidP="007D2FC4">
            <w:pPr>
              <w:contextualSpacing/>
              <w:jc w:val="center"/>
              <w:rPr>
                <w:rFonts w:cstheme="minorHAnsi"/>
                <w:b/>
                <w:color w:val="FF0000"/>
                <w:szCs w:val="18"/>
                <w:lang w:val="en-GB"/>
              </w:rPr>
            </w:pPr>
          </w:p>
        </w:tc>
      </w:tr>
      <w:tr w:rsidR="00A34036" w:rsidRPr="005E40A7" w14:paraId="3B49D27A" w14:textId="2D2B8F06" w:rsidTr="00A34036">
        <w:tc>
          <w:tcPr>
            <w:tcW w:w="2649" w:type="pct"/>
          </w:tcPr>
          <w:p w14:paraId="7C821C66" w14:textId="77777777" w:rsidR="00A34036" w:rsidRPr="007D2FC4" w:rsidRDefault="00A34036" w:rsidP="007D2FC4">
            <w:pPr>
              <w:pStyle w:val="ListItem"/>
              <w:spacing w:before="0" w:after="0" w:line="240" w:lineRule="auto"/>
              <w:jc w:val="both"/>
              <w:rPr>
                <w:rFonts w:asciiTheme="minorHAnsi" w:hAnsiTheme="minorHAnsi" w:cstheme="minorHAnsi"/>
                <w:sz w:val="18"/>
                <w:szCs w:val="18"/>
              </w:rPr>
            </w:pPr>
            <w:r w:rsidRPr="007D2FC4">
              <w:rPr>
                <w:rFonts w:asciiTheme="minorHAnsi" w:hAnsiTheme="minorHAnsi" w:cstheme="minorHAnsi"/>
                <w:sz w:val="18"/>
                <w:szCs w:val="18"/>
              </w:rPr>
              <w:t>functions of the Commonwealth Parliament in theory and in practice, including Sections 7, 24, 51, 53, and the decline of parliament thesis</w:t>
            </w:r>
          </w:p>
        </w:tc>
        <w:tc>
          <w:tcPr>
            <w:tcW w:w="441" w:type="pct"/>
            <w:vAlign w:val="center"/>
          </w:tcPr>
          <w:p w14:paraId="26887542" w14:textId="77777777" w:rsidR="00A34036" w:rsidRPr="002B5F84" w:rsidRDefault="00A34036" w:rsidP="007D2FC4">
            <w:pPr>
              <w:jc w:val="center"/>
              <w:rPr>
                <w:rFonts w:cstheme="minorHAnsi"/>
                <w:b/>
                <w:szCs w:val="18"/>
                <w:lang w:val="en-GB"/>
              </w:rPr>
            </w:pPr>
            <w:r w:rsidRPr="002B5F84">
              <w:rPr>
                <w:rFonts w:cstheme="minorHAnsi"/>
                <w:b/>
                <w:szCs w:val="18"/>
                <w:lang w:val="en-GB"/>
              </w:rPr>
              <w:t>8</w:t>
            </w:r>
          </w:p>
        </w:tc>
        <w:tc>
          <w:tcPr>
            <w:tcW w:w="441" w:type="pct"/>
            <w:vAlign w:val="center"/>
          </w:tcPr>
          <w:p w14:paraId="5C0736B9" w14:textId="77777777" w:rsidR="00A34036" w:rsidRPr="007D2FC4" w:rsidRDefault="00A34036" w:rsidP="007D2FC4">
            <w:pPr>
              <w:jc w:val="center"/>
              <w:rPr>
                <w:rFonts w:cstheme="minorHAnsi"/>
                <w:b/>
                <w:szCs w:val="18"/>
                <w:lang w:val="en-GB"/>
              </w:rPr>
            </w:pPr>
            <w:r w:rsidRPr="007D2FC4">
              <w:rPr>
                <w:rFonts w:cstheme="minorHAnsi"/>
                <w:b/>
                <w:szCs w:val="18"/>
                <w:lang w:val="en-GB"/>
              </w:rPr>
              <w:t>5 d</w:t>
            </w:r>
          </w:p>
        </w:tc>
        <w:tc>
          <w:tcPr>
            <w:tcW w:w="441" w:type="pct"/>
            <w:vAlign w:val="center"/>
          </w:tcPr>
          <w:p w14:paraId="1BCB3791" w14:textId="77777777" w:rsidR="00A34036" w:rsidRPr="007D2FC4" w:rsidRDefault="00A34036" w:rsidP="007D2FC4">
            <w:pPr>
              <w:contextualSpacing/>
              <w:jc w:val="center"/>
              <w:rPr>
                <w:rFonts w:cstheme="minorHAnsi"/>
                <w:b/>
                <w:szCs w:val="18"/>
                <w:lang w:val="en-GB"/>
              </w:rPr>
            </w:pPr>
            <w:r w:rsidRPr="007D2FC4">
              <w:rPr>
                <w:rFonts w:cstheme="minorHAnsi"/>
                <w:b/>
                <w:szCs w:val="18"/>
                <w:lang w:val="en-GB"/>
              </w:rPr>
              <w:t>1 b</w:t>
            </w:r>
          </w:p>
          <w:p w14:paraId="5E1F7FC7" w14:textId="77777777" w:rsidR="00A34036" w:rsidRPr="007D2FC4" w:rsidRDefault="00A34036" w:rsidP="007D2FC4">
            <w:pPr>
              <w:contextualSpacing/>
              <w:jc w:val="center"/>
              <w:rPr>
                <w:rFonts w:cstheme="minorHAnsi"/>
                <w:b/>
                <w:szCs w:val="18"/>
                <w:lang w:val="en-GB"/>
              </w:rPr>
            </w:pPr>
            <w:r w:rsidRPr="007D2FC4">
              <w:rPr>
                <w:rFonts w:cstheme="minorHAnsi"/>
                <w:b/>
                <w:szCs w:val="18"/>
                <w:lang w:val="en-GB"/>
              </w:rPr>
              <w:t>7</w:t>
            </w:r>
          </w:p>
        </w:tc>
        <w:tc>
          <w:tcPr>
            <w:tcW w:w="442" w:type="pct"/>
            <w:shd w:val="clear" w:color="auto" w:fill="D9D9D9" w:themeFill="background1" w:themeFillShade="D9"/>
            <w:vAlign w:val="center"/>
          </w:tcPr>
          <w:p w14:paraId="7975E7C8" w14:textId="77777777" w:rsidR="00A34036" w:rsidRPr="00397D0B" w:rsidRDefault="00A34036" w:rsidP="007D2FC4">
            <w:pPr>
              <w:contextualSpacing/>
              <w:jc w:val="center"/>
              <w:rPr>
                <w:rFonts w:cstheme="minorHAnsi"/>
                <w:b/>
                <w:szCs w:val="18"/>
                <w:lang w:val="en-GB"/>
              </w:rPr>
            </w:pPr>
          </w:p>
        </w:tc>
        <w:tc>
          <w:tcPr>
            <w:tcW w:w="586" w:type="pct"/>
            <w:shd w:val="clear" w:color="auto" w:fill="D9D9D9" w:themeFill="background1" w:themeFillShade="D9"/>
          </w:tcPr>
          <w:p w14:paraId="0746DDA3" w14:textId="77777777" w:rsidR="00A34036" w:rsidRDefault="00A34036" w:rsidP="007D2FC4">
            <w:pPr>
              <w:contextualSpacing/>
              <w:jc w:val="center"/>
              <w:rPr>
                <w:rFonts w:cstheme="minorHAnsi"/>
                <w:b/>
                <w:color w:val="FF0000"/>
                <w:szCs w:val="18"/>
                <w:lang w:val="en-GB"/>
              </w:rPr>
            </w:pPr>
          </w:p>
          <w:p w14:paraId="7B1A9352" w14:textId="44B177DA" w:rsidR="00787006" w:rsidRPr="00311514" w:rsidRDefault="00787006" w:rsidP="007D2FC4">
            <w:pPr>
              <w:contextualSpacing/>
              <w:jc w:val="center"/>
              <w:rPr>
                <w:rFonts w:cstheme="minorHAnsi"/>
                <w:b/>
                <w:color w:val="FF0000"/>
                <w:szCs w:val="18"/>
                <w:lang w:val="en-GB"/>
              </w:rPr>
            </w:pPr>
            <w:r>
              <w:rPr>
                <w:rFonts w:cstheme="minorHAnsi"/>
                <w:b/>
                <w:color w:val="FF0000"/>
                <w:szCs w:val="18"/>
                <w:lang w:val="en-GB"/>
              </w:rPr>
              <w:t>7</w:t>
            </w:r>
          </w:p>
        </w:tc>
      </w:tr>
      <w:tr w:rsidR="00A34036" w:rsidRPr="005E40A7" w14:paraId="6E1127CD" w14:textId="4592AF31" w:rsidTr="00A34036">
        <w:tc>
          <w:tcPr>
            <w:tcW w:w="2649" w:type="pct"/>
          </w:tcPr>
          <w:p w14:paraId="1A1C5EAD" w14:textId="77777777" w:rsidR="00A34036" w:rsidRPr="007D2FC4" w:rsidRDefault="00A34036" w:rsidP="00E80363">
            <w:pPr>
              <w:pStyle w:val="ListItem"/>
              <w:spacing w:before="0" w:after="0"/>
              <w:rPr>
                <w:sz w:val="18"/>
                <w:szCs w:val="18"/>
              </w:rPr>
            </w:pPr>
            <w:r w:rsidRPr="007D2FC4">
              <w:rPr>
                <w:sz w:val="18"/>
                <w:szCs w:val="18"/>
              </w:rPr>
              <w:t>roles and powers of the Governor-General, including Sections 61, 62, 63, 64, 68, 28, 57, 72, and ‘the 1975 crisis’</w:t>
            </w:r>
          </w:p>
        </w:tc>
        <w:tc>
          <w:tcPr>
            <w:tcW w:w="441" w:type="pct"/>
            <w:vAlign w:val="center"/>
          </w:tcPr>
          <w:p w14:paraId="4D68C9D8" w14:textId="77777777" w:rsidR="00A34036" w:rsidRPr="002B5F84" w:rsidRDefault="00A34036" w:rsidP="007D2FC4">
            <w:pPr>
              <w:jc w:val="center"/>
              <w:rPr>
                <w:rFonts w:cstheme="minorHAnsi"/>
                <w:b/>
                <w:szCs w:val="18"/>
                <w:lang w:val="en-GB"/>
              </w:rPr>
            </w:pPr>
            <w:r w:rsidRPr="002B5F84">
              <w:rPr>
                <w:rFonts w:cstheme="minorHAnsi"/>
                <w:b/>
                <w:szCs w:val="18"/>
                <w:lang w:val="en-GB"/>
              </w:rPr>
              <w:t>5 a b c</w:t>
            </w:r>
          </w:p>
        </w:tc>
        <w:tc>
          <w:tcPr>
            <w:tcW w:w="441" w:type="pct"/>
            <w:vAlign w:val="center"/>
          </w:tcPr>
          <w:p w14:paraId="481449BF" w14:textId="77777777" w:rsidR="00A34036" w:rsidRPr="007D2FC4" w:rsidRDefault="00A34036" w:rsidP="007D2FC4">
            <w:pPr>
              <w:contextualSpacing/>
              <w:jc w:val="center"/>
              <w:rPr>
                <w:rFonts w:cstheme="minorHAnsi"/>
                <w:b/>
                <w:szCs w:val="18"/>
                <w:lang w:val="en-GB"/>
              </w:rPr>
            </w:pPr>
            <w:r w:rsidRPr="002B5F84">
              <w:rPr>
                <w:rFonts w:cstheme="minorHAnsi"/>
                <w:b/>
                <w:szCs w:val="18"/>
                <w:lang w:val="en-GB"/>
              </w:rPr>
              <w:t>2 a b c</w:t>
            </w:r>
          </w:p>
        </w:tc>
        <w:tc>
          <w:tcPr>
            <w:tcW w:w="441" w:type="pct"/>
            <w:shd w:val="clear" w:color="auto" w:fill="D9D9D9" w:themeFill="background1" w:themeFillShade="D9"/>
            <w:vAlign w:val="center"/>
          </w:tcPr>
          <w:p w14:paraId="4D5DFBE7" w14:textId="77777777" w:rsidR="00A34036" w:rsidRPr="007D2FC4" w:rsidRDefault="00A34036" w:rsidP="007D2FC4">
            <w:pPr>
              <w:contextualSpacing/>
              <w:jc w:val="center"/>
              <w:rPr>
                <w:rFonts w:cstheme="minorHAnsi"/>
                <w:b/>
                <w:szCs w:val="18"/>
                <w:lang w:val="en-GB"/>
              </w:rPr>
            </w:pPr>
          </w:p>
        </w:tc>
        <w:tc>
          <w:tcPr>
            <w:tcW w:w="442" w:type="pct"/>
            <w:shd w:val="clear" w:color="auto" w:fill="D9D9D9" w:themeFill="background1" w:themeFillShade="D9"/>
            <w:vAlign w:val="center"/>
          </w:tcPr>
          <w:p w14:paraId="2995ACC1" w14:textId="77777777" w:rsidR="00A34036" w:rsidRPr="00397D0B" w:rsidRDefault="00A34036" w:rsidP="007D2FC4">
            <w:pPr>
              <w:contextualSpacing/>
              <w:jc w:val="center"/>
              <w:rPr>
                <w:rFonts w:cstheme="minorHAnsi"/>
                <w:b/>
                <w:szCs w:val="18"/>
                <w:lang w:val="en-GB"/>
              </w:rPr>
            </w:pPr>
          </w:p>
        </w:tc>
        <w:tc>
          <w:tcPr>
            <w:tcW w:w="586" w:type="pct"/>
            <w:shd w:val="clear" w:color="auto" w:fill="D9D9D9" w:themeFill="background1" w:themeFillShade="D9"/>
          </w:tcPr>
          <w:p w14:paraId="2757D520" w14:textId="65B2FA30" w:rsidR="00787006" w:rsidRPr="00311514" w:rsidRDefault="00787006" w:rsidP="00787006">
            <w:pPr>
              <w:contextualSpacing/>
              <w:rPr>
                <w:rFonts w:cstheme="minorHAnsi"/>
                <w:b/>
                <w:color w:val="FF0000"/>
                <w:szCs w:val="18"/>
                <w:lang w:val="en-GB"/>
              </w:rPr>
            </w:pPr>
            <w:r>
              <w:rPr>
                <w:rFonts w:cstheme="minorHAnsi"/>
                <w:b/>
                <w:color w:val="FF0000"/>
                <w:szCs w:val="18"/>
                <w:lang w:val="en-GB"/>
              </w:rPr>
              <w:t xml:space="preserve">     (10)</w:t>
            </w:r>
          </w:p>
        </w:tc>
      </w:tr>
      <w:tr w:rsidR="00A34036" w:rsidRPr="005E40A7" w14:paraId="36C226E8" w14:textId="6F97FCCC" w:rsidTr="00A34036">
        <w:tc>
          <w:tcPr>
            <w:tcW w:w="2649" w:type="pct"/>
          </w:tcPr>
          <w:p w14:paraId="2330CC73" w14:textId="77777777" w:rsidR="00A34036" w:rsidRPr="007D2FC4" w:rsidRDefault="00A34036" w:rsidP="00E80363">
            <w:pPr>
              <w:pStyle w:val="ListItem"/>
              <w:spacing w:before="0" w:after="0"/>
              <w:rPr>
                <w:sz w:val="18"/>
                <w:szCs w:val="18"/>
              </w:rPr>
            </w:pPr>
            <w:r w:rsidRPr="007D2FC4">
              <w:rPr>
                <w:sz w:val="18"/>
                <w:szCs w:val="18"/>
              </w:rPr>
              <w:t>roles and powers of the Prime Minister, Cabinet and the Ministry</w:t>
            </w:r>
          </w:p>
        </w:tc>
        <w:tc>
          <w:tcPr>
            <w:tcW w:w="441" w:type="pct"/>
            <w:shd w:val="clear" w:color="auto" w:fill="D9D9D9" w:themeFill="background1" w:themeFillShade="D9"/>
            <w:vAlign w:val="center"/>
          </w:tcPr>
          <w:p w14:paraId="22201DB0" w14:textId="77777777" w:rsidR="00A34036" w:rsidRPr="002B5F84" w:rsidRDefault="00A34036" w:rsidP="007D2FC4">
            <w:pPr>
              <w:jc w:val="center"/>
              <w:rPr>
                <w:rFonts w:cstheme="minorHAnsi"/>
                <w:b/>
                <w:szCs w:val="18"/>
                <w:highlight w:val="lightGray"/>
                <w:lang w:val="en-GB"/>
              </w:rPr>
            </w:pPr>
          </w:p>
        </w:tc>
        <w:tc>
          <w:tcPr>
            <w:tcW w:w="441" w:type="pct"/>
            <w:vAlign w:val="center"/>
          </w:tcPr>
          <w:p w14:paraId="451FAE79" w14:textId="77777777" w:rsidR="00A34036" w:rsidRPr="007D2FC4" w:rsidRDefault="00A34036" w:rsidP="007D2FC4">
            <w:pPr>
              <w:jc w:val="center"/>
              <w:rPr>
                <w:rFonts w:cstheme="minorHAnsi"/>
                <w:b/>
                <w:szCs w:val="18"/>
                <w:lang w:val="en-GB"/>
              </w:rPr>
            </w:pPr>
            <w:r w:rsidRPr="007D2FC4">
              <w:rPr>
                <w:rFonts w:cstheme="minorHAnsi"/>
                <w:b/>
                <w:szCs w:val="18"/>
                <w:lang w:val="en-GB"/>
              </w:rPr>
              <w:t>1 a b</w:t>
            </w:r>
          </w:p>
          <w:p w14:paraId="6B752103" w14:textId="77777777" w:rsidR="00A34036" w:rsidRPr="007D2FC4" w:rsidRDefault="00A34036" w:rsidP="007D2FC4">
            <w:pPr>
              <w:jc w:val="center"/>
              <w:rPr>
                <w:rFonts w:cstheme="minorHAnsi"/>
                <w:b/>
                <w:szCs w:val="18"/>
                <w:lang w:val="en-GB"/>
              </w:rPr>
            </w:pPr>
            <w:r w:rsidRPr="007D2FC4">
              <w:rPr>
                <w:rFonts w:cstheme="minorHAnsi"/>
                <w:b/>
                <w:szCs w:val="18"/>
                <w:lang w:val="en-GB"/>
              </w:rPr>
              <w:t>8</w:t>
            </w:r>
          </w:p>
        </w:tc>
        <w:tc>
          <w:tcPr>
            <w:tcW w:w="441" w:type="pct"/>
            <w:vAlign w:val="center"/>
          </w:tcPr>
          <w:p w14:paraId="07804DC1" w14:textId="77777777" w:rsidR="00A34036" w:rsidRPr="007D2FC4" w:rsidRDefault="00A34036" w:rsidP="007D2FC4">
            <w:pPr>
              <w:contextualSpacing/>
              <w:jc w:val="center"/>
              <w:rPr>
                <w:rFonts w:cstheme="minorHAnsi"/>
                <w:b/>
                <w:szCs w:val="18"/>
                <w:lang w:val="en-GB"/>
              </w:rPr>
            </w:pPr>
            <w:r w:rsidRPr="007D2FC4">
              <w:rPr>
                <w:rFonts w:cstheme="minorHAnsi"/>
                <w:b/>
                <w:szCs w:val="18"/>
                <w:lang w:val="en-GB"/>
              </w:rPr>
              <w:t>8</w:t>
            </w:r>
          </w:p>
        </w:tc>
        <w:tc>
          <w:tcPr>
            <w:tcW w:w="442" w:type="pct"/>
            <w:shd w:val="clear" w:color="auto" w:fill="D9D9D9" w:themeFill="background1" w:themeFillShade="D9"/>
            <w:vAlign w:val="center"/>
          </w:tcPr>
          <w:p w14:paraId="60339AAF" w14:textId="77777777" w:rsidR="00A34036" w:rsidRPr="00397D0B" w:rsidRDefault="00A34036" w:rsidP="007D2FC4">
            <w:pPr>
              <w:contextualSpacing/>
              <w:jc w:val="center"/>
              <w:rPr>
                <w:rFonts w:cstheme="minorHAnsi"/>
                <w:b/>
                <w:szCs w:val="18"/>
                <w:lang w:val="en-GB"/>
              </w:rPr>
            </w:pPr>
          </w:p>
        </w:tc>
        <w:tc>
          <w:tcPr>
            <w:tcW w:w="586" w:type="pct"/>
            <w:shd w:val="clear" w:color="auto" w:fill="D9D9D9" w:themeFill="background1" w:themeFillShade="D9"/>
          </w:tcPr>
          <w:p w14:paraId="34CA0596" w14:textId="6F65F7EE" w:rsidR="00A34036" w:rsidRPr="00311514" w:rsidRDefault="00311514" w:rsidP="007D2FC4">
            <w:pPr>
              <w:contextualSpacing/>
              <w:jc w:val="center"/>
              <w:rPr>
                <w:rFonts w:cstheme="minorHAnsi"/>
                <w:b/>
                <w:color w:val="FF0000"/>
                <w:szCs w:val="18"/>
                <w:lang w:val="en-GB"/>
              </w:rPr>
            </w:pPr>
            <w:r>
              <w:rPr>
                <w:rFonts w:cstheme="minorHAnsi"/>
                <w:b/>
                <w:color w:val="FF0000"/>
                <w:szCs w:val="18"/>
                <w:lang w:val="en-GB"/>
              </w:rPr>
              <w:t>2 a b c</w:t>
            </w:r>
          </w:p>
        </w:tc>
      </w:tr>
      <w:tr w:rsidR="00A34036" w:rsidRPr="005E40A7" w14:paraId="5A7934A3" w14:textId="45451F7D" w:rsidTr="00A34036">
        <w:tc>
          <w:tcPr>
            <w:tcW w:w="2649" w:type="pct"/>
          </w:tcPr>
          <w:p w14:paraId="515B6B5F" w14:textId="77777777" w:rsidR="00A34036" w:rsidRPr="007D2FC4" w:rsidRDefault="00A34036" w:rsidP="00E80363">
            <w:pPr>
              <w:pStyle w:val="ListItem"/>
              <w:spacing w:before="0" w:after="0"/>
              <w:rPr>
                <w:sz w:val="18"/>
                <w:szCs w:val="18"/>
              </w:rPr>
            </w:pPr>
            <w:r w:rsidRPr="007D2FC4">
              <w:rPr>
                <w:sz w:val="18"/>
                <w:szCs w:val="18"/>
              </w:rPr>
              <w:t>roles and powers of the opposition and the shadow ministry at the Commonwealth level</w:t>
            </w:r>
          </w:p>
        </w:tc>
        <w:tc>
          <w:tcPr>
            <w:tcW w:w="441" w:type="pct"/>
            <w:vAlign w:val="center"/>
          </w:tcPr>
          <w:p w14:paraId="3B32F43A" w14:textId="77777777" w:rsidR="00A34036" w:rsidRPr="002B5F84" w:rsidRDefault="00A34036" w:rsidP="007D2FC4">
            <w:pPr>
              <w:jc w:val="center"/>
              <w:rPr>
                <w:rFonts w:cstheme="minorHAnsi"/>
                <w:b/>
                <w:szCs w:val="18"/>
                <w:lang w:val="en-GB"/>
              </w:rPr>
            </w:pPr>
            <w:r w:rsidRPr="002B5F84">
              <w:rPr>
                <w:rFonts w:cstheme="minorHAnsi"/>
                <w:b/>
                <w:szCs w:val="18"/>
                <w:lang w:val="en-GB"/>
              </w:rPr>
              <w:t>2 b</w:t>
            </w:r>
          </w:p>
        </w:tc>
        <w:tc>
          <w:tcPr>
            <w:tcW w:w="441" w:type="pct"/>
            <w:vAlign w:val="center"/>
          </w:tcPr>
          <w:p w14:paraId="2CD0314F" w14:textId="77777777" w:rsidR="00A34036" w:rsidRPr="007D2FC4" w:rsidRDefault="00A34036" w:rsidP="007D2FC4">
            <w:pPr>
              <w:jc w:val="center"/>
              <w:rPr>
                <w:rFonts w:cstheme="minorHAnsi"/>
                <w:b/>
                <w:szCs w:val="18"/>
                <w:lang w:val="en-GB"/>
              </w:rPr>
            </w:pPr>
            <w:r w:rsidRPr="007D2FC4">
              <w:rPr>
                <w:rFonts w:cstheme="minorHAnsi"/>
                <w:b/>
                <w:szCs w:val="18"/>
                <w:lang w:val="en-GB"/>
              </w:rPr>
              <w:t>1 c</w:t>
            </w:r>
          </w:p>
        </w:tc>
        <w:tc>
          <w:tcPr>
            <w:tcW w:w="441" w:type="pct"/>
            <w:vAlign w:val="center"/>
          </w:tcPr>
          <w:p w14:paraId="4A006E2D" w14:textId="77777777" w:rsidR="00A34036" w:rsidRPr="007D2FC4" w:rsidRDefault="00A34036" w:rsidP="007D2FC4">
            <w:pPr>
              <w:contextualSpacing/>
              <w:jc w:val="center"/>
              <w:rPr>
                <w:rFonts w:cstheme="minorHAnsi"/>
                <w:b/>
                <w:szCs w:val="18"/>
                <w:lang w:val="en-GB"/>
              </w:rPr>
            </w:pPr>
            <w:r w:rsidRPr="007D2FC4">
              <w:rPr>
                <w:rFonts w:cstheme="minorHAnsi"/>
                <w:b/>
                <w:szCs w:val="18"/>
                <w:lang w:val="en-GB"/>
              </w:rPr>
              <w:t>8</w:t>
            </w:r>
          </w:p>
        </w:tc>
        <w:tc>
          <w:tcPr>
            <w:tcW w:w="442" w:type="pct"/>
            <w:shd w:val="clear" w:color="auto" w:fill="auto"/>
            <w:vAlign w:val="center"/>
          </w:tcPr>
          <w:p w14:paraId="0D8FA352" w14:textId="77777777" w:rsidR="00A34036" w:rsidRPr="00397D0B" w:rsidRDefault="00A34036" w:rsidP="007D2FC4">
            <w:pPr>
              <w:contextualSpacing/>
              <w:jc w:val="center"/>
              <w:rPr>
                <w:rFonts w:cstheme="minorHAnsi"/>
                <w:b/>
                <w:szCs w:val="18"/>
                <w:lang w:val="en-GB"/>
              </w:rPr>
            </w:pPr>
            <w:r>
              <w:rPr>
                <w:rFonts w:cstheme="minorHAnsi"/>
                <w:b/>
                <w:szCs w:val="18"/>
                <w:lang w:val="en-GB"/>
              </w:rPr>
              <w:t>2 a b c</w:t>
            </w:r>
          </w:p>
        </w:tc>
        <w:tc>
          <w:tcPr>
            <w:tcW w:w="586" w:type="pct"/>
          </w:tcPr>
          <w:p w14:paraId="07D5C9A4" w14:textId="77777777" w:rsidR="00A34036" w:rsidRPr="00311514" w:rsidRDefault="00A34036" w:rsidP="007D2FC4">
            <w:pPr>
              <w:contextualSpacing/>
              <w:jc w:val="center"/>
              <w:rPr>
                <w:rFonts w:cstheme="minorHAnsi"/>
                <w:b/>
                <w:color w:val="FF0000"/>
                <w:szCs w:val="18"/>
                <w:lang w:val="en-GB"/>
              </w:rPr>
            </w:pPr>
          </w:p>
        </w:tc>
      </w:tr>
      <w:tr w:rsidR="00A34036" w:rsidRPr="005E40A7" w14:paraId="4174C424" w14:textId="2FA55A24" w:rsidTr="00A34036">
        <w:tc>
          <w:tcPr>
            <w:tcW w:w="2649" w:type="pct"/>
          </w:tcPr>
          <w:p w14:paraId="76E545BA" w14:textId="77777777" w:rsidR="00A34036" w:rsidRPr="007D2FC4" w:rsidRDefault="00A34036" w:rsidP="00E80363">
            <w:pPr>
              <w:pStyle w:val="ListItem"/>
              <w:spacing w:before="0" w:after="0"/>
              <w:rPr>
                <w:sz w:val="18"/>
                <w:szCs w:val="18"/>
              </w:rPr>
            </w:pPr>
            <w:r w:rsidRPr="007D2FC4">
              <w:rPr>
                <w:sz w:val="18"/>
                <w:szCs w:val="18"/>
              </w:rPr>
              <w:t>political mandates in theory and in practice, including competing mandates</w:t>
            </w:r>
          </w:p>
        </w:tc>
        <w:tc>
          <w:tcPr>
            <w:tcW w:w="441" w:type="pct"/>
            <w:shd w:val="clear" w:color="auto" w:fill="D9D9D9" w:themeFill="background1" w:themeFillShade="D9"/>
            <w:vAlign w:val="center"/>
          </w:tcPr>
          <w:p w14:paraId="54B0DBB8" w14:textId="77777777" w:rsidR="00A34036" w:rsidRPr="002B5F84" w:rsidRDefault="00A34036" w:rsidP="007D2FC4">
            <w:pPr>
              <w:jc w:val="center"/>
              <w:rPr>
                <w:rFonts w:cstheme="minorHAnsi"/>
                <w:b/>
                <w:szCs w:val="18"/>
                <w:lang w:val="en-GB"/>
              </w:rPr>
            </w:pPr>
          </w:p>
        </w:tc>
        <w:tc>
          <w:tcPr>
            <w:tcW w:w="441" w:type="pct"/>
            <w:vAlign w:val="center"/>
          </w:tcPr>
          <w:p w14:paraId="1FE9F218" w14:textId="77777777" w:rsidR="00A34036" w:rsidRPr="007D2FC4" w:rsidRDefault="00A34036" w:rsidP="007D2FC4">
            <w:pPr>
              <w:jc w:val="center"/>
              <w:rPr>
                <w:rFonts w:cstheme="minorHAnsi"/>
                <w:b/>
                <w:szCs w:val="18"/>
                <w:lang w:val="en-GB"/>
              </w:rPr>
            </w:pPr>
            <w:r w:rsidRPr="007D2FC4">
              <w:rPr>
                <w:rFonts w:cstheme="minorHAnsi"/>
                <w:b/>
                <w:szCs w:val="18"/>
                <w:lang w:val="en-GB"/>
              </w:rPr>
              <w:t>5 a b c</w:t>
            </w:r>
          </w:p>
        </w:tc>
        <w:tc>
          <w:tcPr>
            <w:tcW w:w="441" w:type="pct"/>
            <w:shd w:val="clear" w:color="auto" w:fill="D9D9D9" w:themeFill="background1" w:themeFillShade="D9"/>
            <w:vAlign w:val="center"/>
          </w:tcPr>
          <w:p w14:paraId="6CF94ACC" w14:textId="77777777" w:rsidR="00A34036" w:rsidRPr="007D2FC4" w:rsidRDefault="00A34036" w:rsidP="007D2FC4">
            <w:pPr>
              <w:contextualSpacing/>
              <w:jc w:val="center"/>
              <w:rPr>
                <w:rFonts w:cstheme="minorHAnsi"/>
                <w:b/>
                <w:szCs w:val="18"/>
                <w:lang w:val="en-GB"/>
              </w:rPr>
            </w:pPr>
          </w:p>
        </w:tc>
        <w:tc>
          <w:tcPr>
            <w:tcW w:w="442" w:type="pct"/>
            <w:shd w:val="clear" w:color="auto" w:fill="auto"/>
            <w:vAlign w:val="center"/>
          </w:tcPr>
          <w:p w14:paraId="32B76A46" w14:textId="77777777" w:rsidR="00A34036" w:rsidRPr="00397D0B" w:rsidRDefault="00A34036" w:rsidP="007D2FC4">
            <w:pPr>
              <w:contextualSpacing/>
              <w:jc w:val="center"/>
              <w:rPr>
                <w:rFonts w:cstheme="minorHAnsi"/>
                <w:b/>
                <w:szCs w:val="18"/>
                <w:lang w:val="en-GB"/>
              </w:rPr>
            </w:pPr>
            <w:r>
              <w:rPr>
                <w:rFonts w:cstheme="minorHAnsi"/>
                <w:b/>
                <w:szCs w:val="18"/>
                <w:lang w:val="en-GB"/>
              </w:rPr>
              <w:t>1 a b c</w:t>
            </w:r>
          </w:p>
        </w:tc>
        <w:tc>
          <w:tcPr>
            <w:tcW w:w="586" w:type="pct"/>
          </w:tcPr>
          <w:p w14:paraId="757FEE71" w14:textId="77777777" w:rsidR="00A34036" w:rsidRPr="00311514" w:rsidRDefault="00A34036" w:rsidP="007D2FC4">
            <w:pPr>
              <w:contextualSpacing/>
              <w:jc w:val="center"/>
              <w:rPr>
                <w:rFonts w:cstheme="minorHAnsi"/>
                <w:b/>
                <w:color w:val="FF0000"/>
                <w:szCs w:val="18"/>
                <w:lang w:val="en-GB"/>
              </w:rPr>
            </w:pPr>
          </w:p>
        </w:tc>
      </w:tr>
      <w:tr w:rsidR="00A34036" w:rsidRPr="005E40A7" w14:paraId="3C91AB1D" w14:textId="47EB5D4F" w:rsidTr="00A34036">
        <w:tc>
          <w:tcPr>
            <w:tcW w:w="2649" w:type="pct"/>
            <w:tcBorders>
              <w:bottom w:val="single" w:sz="4" w:space="0" w:color="auto"/>
            </w:tcBorders>
          </w:tcPr>
          <w:p w14:paraId="37956235" w14:textId="77777777" w:rsidR="00A34036" w:rsidRPr="007D2FC4" w:rsidRDefault="00A34036" w:rsidP="007D2FC4">
            <w:pPr>
              <w:pStyle w:val="ListItem"/>
              <w:spacing w:before="0" w:after="0" w:line="240" w:lineRule="auto"/>
              <w:rPr>
                <w:rFonts w:asciiTheme="minorHAnsi" w:hAnsiTheme="minorHAnsi" w:cstheme="minorHAnsi"/>
                <w:sz w:val="18"/>
                <w:szCs w:val="18"/>
              </w:rPr>
            </w:pPr>
            <w:r w:rsidRPr="007D2FC4">
              <w:rPr>
                <w:rFonts w:asciiTheme="minorHAnsi" w:hAnsiTheme="minorHAnsi" w:cstheme="minorHAnsi"/>
                <w:sz w:val="18"/>
                <w:szCs w:val="18"/>
              </w:rPr>
              <w:t>lawmaking process in parliament and the courts, with reference to the influence of</w:t>
            </w:r>
          </w:p>
          <w:p w14:paraId="78E56FE1" w14:textId="77777777" w:rsidR="00A34036" w:rsidRPr="007D2FC4" w:rsidRDefault="00A34036" w:rsidP="00E80363">
            <w:pPr>
              <w:pStyle w:val="ListBullet"/>
              <w:numPr>
                <w:ilvl w:val="0"/>
                <w:numId w:val="3"/>
              </w:numPr>
              <w:spacing w:line="240" w:lineRule="auto"/>
              <w:ind w:left="709" w:hanging="283"/>
              <w:rPr>
                <w:rFonts w:asciiTheme="minorHAnsi" w:hAnsiTheme="minorHAnsi" w:cstheme="minorHAnsi"/>
                <w:sz w:val="18"/>
                <w:szCs w:val="18"/>
              </w:rPr>
            </w:pPr>
            <w:r w:rsidRPr="007D2FC4">
              <w:rPr>
                <w:rFonts w:asciiTheme="minorHAnsi" w:hAnsiTheme="minorHAnsi" w:cstheme="minorHAnsi"/>
                <w:sz w:val="18"/>
                <w:szCs w:val="18"/>
              </w:rPr>
              <w:t>individuals</w:t>
            </w:r>
          </w:p>
          <w:p w14:paraId="150208C5" w14:textId="77777777" w:rsidR="00A34036" w:rsidRPr="007D2FC4" w:rsidRDefault="00A34036" w:rsidP="00E80363">
            <w:pPr>
              <w:pStyle w:val="ListBullet"/>
              <w:numPr>
                <w:ilvl w:val="0"/>
                <w:numId w:val="3"/>
              </w:numPr>
              <w:tabs>
                <w:tab w:val="num" w:pos="709"/>
              </w:tabs>
              <w:spacing w:line="240" w:lineRule="auto"/>
              <w:ind w:left="709" w:hanging="283"/>
              <w:rPr>
                <w:rFonts w:asciiTheme="minorHAnsi" w:hAnsiTheme="minorHAnsi" w:cstheme="minorHAnsi"/>
                <w:sz w:val="18"/>
                <w:szCs w:val="18"/>
              </w:rPr>
            </w:pPr>
            <w:r w:rsidRPr="007D2FC4">
              <w:rPr>
                <w:rFonts w:asciiTheme="minorHAnsi" w:hAnsiTheme="minorHAnsi" w:cstheme="minorHAnsi"/>
                <w:sz w:val="18"/>
                <w:szCs w:val="18"/>
              </w:rPr>
              <w:t>political parties</w:t>
            </w:r>
          </w:p>
          <w:p w14:paraId="0A173520" w14:textId="77777777" w:rsidR="00A34036" w:rsidRPr="007D2FC4" w:rsidRDefault="00A34036" w:rsidP="00E80363">
            <w:pPr>
              <w:pStyle w:val="ListBullet"/>
              <w:numPr>
                <w:ilvl w:val="0"/>
                <w:numId w:val="3"/>
              </w:numPr>
              <w:tabs>
                <w:tab w:val="num" w:pos="709"/>
              </w:tabs>
              <w:spacing w:after="0" w:line="240" w:lineRule="auto"/>
              <w:ind w:left="709" w:hanging="283"/>
              <w:rPr>
                <w:rFonts w:asciiTheme="minorHAnsi" w:hAnsiTheme="minorHAnsi" w:cstheme="minorHAnsi"/>
                <w:sz w:val="18"/>
                <w:szCs w:val="18"/>
              </w:rPr>
            </w:pPr>
            <w:r w:rsidRPr="007D2FC4">
              <w:rPr>
                <w:rFonts w:asciiTheme="minorHAnsi" w:hAnsiTheme="minorHAnsi" w:cstheme="minorHAnsi"/>
                <w:sz w:val="18"/>
                <w:szCs w:val="18"/>
              </w:rPr>
              <w:t>pressure groups</w:t>
            </w:r>
          </w:p>
        </w:tc>
        <w:tc>
          <w:tcPr>
            <w:tcW w:w="441" w:type="pct"/>
            <w:tcBorders>
              <w:bottom w:val="single" w:sz="4" w:space="0" w:color="auto"/>
            </w:tcBorders>
            <w:vAlign w:val="center"/>
          </w:tcPr>
          <w:p w14:paraId="375DD202" w14:textId="77777777" w:rsidR="00A34036" w:rsidRPr="002B5F84" w:rsidRDefault="00A34036" w:rsidP="007D2FC4">
            <w:pPr>
              <w:jc w:val="center"/>
              <w:rPr>
                <w:rFonts w:cstheme="minorHAnsi"/>
                <w:b/>
                <w:szCs w:val="18"/>
                <w:lang w:val="en-GB"/>
              </w:rPr>
            </w:pPr>
            <w:r w:rsidRPr="002B5F84">
              <w:rPr>
                <w:rFonts w:cstheme="minorHAnsi"/>
                <w:b/>
                <w:szCs w:val="18"/>
                <w:lang w:val="en-GB"/>
              </w:rPr>
              <w:t>2 a c</w:t>
            </w:r>
          </w:p>
        </w:tc>
        <w:tc>
          <w:tcPr>
            <w:tcW w:w="441" w:type="pct"/>
            <w:tcBorders>
              <w:bottom w:val="single" w:sz="4" w:space="0" w:color="auto"/>
            </w:tcBorders>
            <w:shd w:val="clear" w:color="auto" w:fill="D9D9D9" w:themeFill="background1" w:themeFillShade="D9"/>
            <w:vAlign w:val="center"/>
          </w:tcPr>
          <w:p w14:paraId="254E7836" w14:textId="77777777" w:rsidR="00A34036" w:rsidRPr="007D2FC4" w:rsidRDefault="00A34036" w:rsidP="007D2FC4">
            <w:pPr>
              <w:jc w:val="center"/>
              <w:rPr>
                <w:rFonts w:cstheme="minorHAnsi"/>
                <w:b/>
                <w:szCs w:val="18"/>
                <w:lang w:val="en-GB"/>
              </w:rPr>
            </w:pPr>
          </w:p>
        </w:tc>
        <w:tc>
          <w:tcPr>
            <w:tcW w:w="441" w:type="pct"/>
            <w:tcBorders>
              <w:bottom w:val="single" w:sz="4" w:space="0" w:color="auto"/>
            </w:tcBorders>
            <w:shd w:val="clear" w:color="auto" w:fill="D9D9D9" w:themeFill="background1" w:themeFillShade="D9"/>
            <w:vAlign w:val="center"/>
          </w:tcPr>
          <w:p w14:paraId="4E666F28" w14:textId="77777777" w:rsidR="00A34036" w:rsidRPr="007D2FC4" w:rsidRDefault="00A34036" w:rsidP="007D2FC4">
            <w:pPr>
              <w:contextualSpacing/>
              <w:jc w:val="center"/>
              <w:rPr>
                <w:rFonts w:cstheme="minorHAnsi"/>
                <w:b/>
                <w:szCs w:val="18"/>
                <w:lang w:val="en-GB"/>
              </w:rPr>
            </w:pPr>
          </w:p>
        </w:tc>
        <w:tc>
          <w:tcPr>
            <w:tcW w:w="442" w:type="pct"/>
            <w:tcBorders>
              <w:bottom w:val="single" w:sz="4" w:space="0" w:color="auto"/>
            </w:tcBorders>
            <w:shd w:val="clear" w:color="auto" w:fill="auto"/>
            <w:vAlign w:val="center"/>
          </w:tcPr>
          <w:p w14:paraId="4AC32C92" w14:textId="77777777" w:rsidR="00A34036" w:rsidRPr="00397D0B" w:rsidRDefault="00A34036" w:rsidP="007D2FC4">
            <w:pPr>
              <w:contextualSpacing/>
              <w:jc w:val="center"/>
              <w:rPr>
                <w:rFonts w:cstheme="minorHAnsi"/>
                <w:b/>
                <w:szCs w:val="18"/>
                <w:lang w:val="en-GB"/>
              </w:rPr>
            </w:pPr>
            <w:r>
              <w:rPr>
                <w:rFonts w:cstheme="minorHAnsi"/>
                <w:b/>
                <w:szCs w:val="18"/>
                <w:lang w:val="en-GB"/>
              </w:rPr>
              <w:t>7</w:t>
            </w:r>
          </w:p>
        </w:tc>
        <w:tc>
          <w:tcPr>
            <w:tcW w:w="586" w:type="pct"/>
            <w:tcBorders>
              <w:bottom w:val="single" w:sz="4" w:space="0" w:color="auto"/>
            </w:tcBorders>
          </w:tcPr>
          <w:p w14:paraId="2B678E12" w14:textId="77777777" w:rsidR="00A34036" w:rsidRPr="00311514" w:rsidRDefault="00A34036" w:rsidP="007D2FC4">
            <w:pPr>
              <w:contextualSpacing/>
              <w:jc w:val="center"/>
              <w:rPr>
                <w:rFonts w:cstheme="minorHAnsi"/>
                <w:b/>
                <w:color w:val="FF0000"/>
                <w:szCs w:val="18"/>
                <w:lang w:val="en-GB"/>
              </w:rPr>
            </w:pPr>
          </w:p>
        </w:tc>
      </w:tr>
      <w:tr w:rsidR="00A34036" w:rsidRPr="005E40A7" w14:paraId="4DCFDBF8" w14:textId="3EC2115F" w:rsidTr="00A34036">
        <w:tc>
          <w:tcPr>
            <w:tcW w:w="2649" w:type="pct"/>
            <w:tcBorders>
              <w:top w:val="single" w:sz="4" w:space="0" w:color="auto"/>
            </w:tcBorders>
          </w:tcPr>
          <w:p w14:paraId="3B5E5BB7" w14:textId="77777777" w:rsidR="00A34036" w:rsidRPr="007D2FC4" w:rsidRDefault="00A34036" w:rsidP="00E80363">
            <w:pPr>
              <w:pStyle w:val="ListItem"/>
              <w:spacing w:before="0" w:after="0" w:line="240" w:lineRule="auto"/>
              <w:rPr>
                <w:sz w:val="18"/>
                <w:szCs w:val="18"/>
              </w:rPr>
            </w:pPr>
            <w:r w:rsidRPr="007D2FC4">
              <w:rPr>
                <w:sz w:val="18"/>
                <w:szCs w:val="18"/>
              </w:rPr>
              <w:t>roles and powers of the High Court of Australia, including Sections 71, 72, 73, 75 and 76 with reference to at least one common law decision and at least one constitutional decision</w:t>
            </w:r>
          </w:p>
        </w:tc>
        <w:tc>
          <w:tcPr>
            <w:tcW w:w="441" w:type="pct"/>
            <w:tcBorders>
              <w:top w:val="single" w:sz="4" w:space="0" w:color="auto"/>
            </w:tcBorders>
            <w:shd w:val="clear" w:color="auto" w:fill="D9D9D9" w:themeFill="background1" w:themeFillShade="D9"/>
            <w:vAlign w:val="center"/>
          </w:tcPr>
          <w:p w14:paraId="2DF14FB4" w14:textId="77777777" w:rsidR="00A34036" w:rsidRPr="002B5F84" w:rsidRDefault="00A34036" w:rsidP="007D2FC4">
            <w:pPr>
              <w:jc w:val="center"/>
              <w:rPr>
                <w:rFonts w:cstheme="minorHAnsi"/>
                <w:b/>
                <w:szCs w:val="18"/>
                <w:lang w:val="en-GB"/>
              </w:rPr>
            </w:pPr>
          </w:p>
        </w:tc>
        <w:tc>
          <w:tcPr>
            <w:tcW w:w="441" w:type="pct"/>
            <w:tcBorders>
              <w:top w:val="single" w:sz="4" w:space="0" w:color="auto"/>
            </w:tcBorders>
            <w:shd w:val="clear" w:color="auto" w:fill="D9D9D9" w:themeFill="background1" w:themeFillShade="D9"/>
            <w:vAlign w:val="center"/>
          </w:tcPr>
          <w:p w14:paraId="1D8B662A" w14:textId="77777777" w:rsidR="00A34036" w:rsidRPr="007D2FC4" w:rsidRDefault="00A34036" w:rsidP="007D2FC4">
            <w:pPr>
              <w:jc w:val="center"/>
              <w:rPr>
                <w:rFonts w:cstheme="minorHAnsi"/>
                <w:b/>
                <w:szCs w:val="18"/>
                <w:lang w:val="en-GB"/>
              </w:rPr>
            </w:pPr>
          </w:p>
        </w:tc>
        <w:tc>
          <w:tcPr>
            <w:tcW w:w="441" w:type="pct"/>
            <w:tcBorders>
              <w:top w:val="single" w:sz="4" w:space="0" w:color="auto"/>
            </w:tcBorders>
            <w:shd w:val="clear" w:color="auto" w:fill="D9D9D9" w:themeFill="background1" w:themeFillShade="D9"/>
            <w:vAlign w:val="center"/>
          </w:tcPr>
          <w:p w14:paraId="07DB0E76" w14:textId="77777777" w:rsidR="00A34036" w:rsidRPr="007D2FC4" w:rsidRDefault="00A34036" w:rsidP="007D2FC4">
            <w:pPr>
              <w:contextualSpacing/>
              <w:jc w:val="center"/>
              <w:rPr>
                <w:rFonts w:cstheme="minorHAnsi"/>
                <w:b/>
                <w:szCs w:val="18"/>
                <w:lang w:val="en-GB"/>
              </w:rPr>
            </w:pPr>
          </w:p>
        </w:tc>
        <w:tc>
          <w:tcPr>
            <w:tcW w:w="442" w:type="pct"/>
            <w:tcBorders>
              <w:top w:val="single" w:sz="4" w:space="0" w:color="auto"/>
            </w:tcBorders>
            <w:shd w:val="clear" w:color="auto" w:fill="auto"/>
            <w:vAlign w:val="center"/>
          </w:tcPr>
          <w:p w14:paraId="79C676FE" w14:textId="77777777" w:rsidR="00A34036" w:rsidRPr="00397D0B" w:rsidRDefault="00A34036" w:rsidP="007D2FC4">
            <w:pPr>
              <w:contextualSpacing/>
              <w:jc w:val="center"/>
              <w:rPr>
                <w:rFonts w:cstheme="minorHAnsi"/>
                <w:b/>
                <w:szCs w:val="18"/>
                <w:lang w:val="en-GB"/>
              </w:rPr>
            </w:pPr>
            <w:r>
              <w:rPr>
                <w:rFonts w:cstheme="minorHAnsi"/>
                <w:b/>
                <w:szCs w:val="18"/>
                <w:lang w:val="en-GB"/>
              </w:rPr>
              <w:t>5 a b c</w:t>
            </w:r>
          </w:p>
        </w:tc>
        <w:tc>
          <w:tcPr>
            <w:tcW w:w="586" w:type="pct"/>
            <w:tcBorders>
              <w:top w:val="single" w:sz="4" w:space="0" w:color="auto"/>
            </w:tcBorders>
          </w:tcPr>
          <w:p w14:paraId="36CE8BDC" w14:textId="77777777" w:rsidR="00787006" w:rsidRDefault="00787006" w:rsidP="007D2FC4">
            <w:pPr>
              <w:contextualSpacing/>
              <w:jc w:val="center"/>
              <w:rPr>
                <w:rFonts w:cstheme="minorHAnsi"/>
                <w:b/>
                <w:color w:val="FF0000"/>
                <w:szCs w:val="18"/>
                <w:lang w:val="en-GB"/>
              </w:rPr>
            </w:pPr>
          </w:p>
          <w:p w14:paraId="36213245" w14:textId="6E9DCD01" w:rsidR="00A34036" w:rsidRPr="00311514" w:rsidRDefault="00787006" w:rsidP="007D2FC4">
            <w:pPr>
              <w:contextualSpacing/>
              <w:jc w:val="center"/>
              <w:rPr>
                <w:rFonts w:cstheme="minorHAnsi"/>
                <w:b/>
                <w:color w:val="FF0000"/>
                <w:szCs w:val="18"/>
                <w:lang w:val="en-GB"/>
              </w:rPr>
            </w:pPr>
            <w:r>
              <w:rPr>
                <w:rFonts w:cstheme="minorHAnsi"/>
                <w:b/>
                <w:color w:val="FF0000"/>
                <w:szCs w:val="18"/>
                <w:lang w:val="en-GB"/>
              </w:rPr>
              <w:t>8</w:t>
            </w:r>
          </w:p>
        </w:tc>
      </w:tr>
      <w:tr w:rsidR="00A34036" w:rsidRPr="005E40A7" w14:paraId="67D57BB3" w14:textId="329242DB" w:rsidTr="00A34036">
        <w:trPr>
          <w:trHeight w:val="3231"/>
        </w:trPr>
        <w:tc>
          <w:tcPr>
            <w:tcW w:w="2649" w:type="pct"/>
          </w:tcPr>
          <w:p w14:paraId="3A368FF0" w14:textId="77777777" w:rsidR="00A34036" w:rsidRPr="007D2FC4" w:rsidRDefault="00A34036" w:rsidP="00E80363">
            <w:pPr>
              <w:pStyle w:val="Heading2"/>
              <w:keepNext w:val="0"/>
              <w:numPr>
                <w:ilvl w:val="0"/>
                <w:numId w:val="7"/>
              </w:numPr>
              <w:spacing w:before="0"/>
              <w:jc w:val="both"/>
              <w:rPr>
                <w:rFonts w:asciiTheme="minorHAnsi" w:hAnsiTheme="minorHAnsi" w:cstheme="minorHAnsi"/>
                <w:color w:val="auto"/>
                <w:sz w:val="18"/>
                <w:szCs w:val="18"/>
              </w:rPr>
            </w:pPr>
            <w:r w:rsidRPr="007D2FC4">
              <w:rPr>
                <w:rFonts w:asciiTheme="minorHAnsi" w:hAnsiTheme="minorHAnsi" w:cstheme="minorHAnsi"/>
                <w:color w:val="auto"/>
                <w:sz w:val="18"/>
                <w:szCs w:val="18"/>
              </w:rPr>
              <w:t>Federalism in Australia with reference to:</w:t>
            </w:r>
          </w:p>
          <w:p w14:paraId="5A3CB1AB" w14:textId="77777777" w:rsidR="00A34036" w:rsidRPr="007D2FC4" w:rsidRDefault="00A34036" w:rsidP="00E80363">
            <w:pPr>
              <w:pStyle w:val="ListBullet"/>
              <w:numPr>
                <w:ilvl w:val="0"/>
                <w:numId w:val="8"/>
              </w:numPr>
              <w:spacing w:after="0" w:line="240" w:lineRule="auto"/>
              <w:jc w:val="both"/>
              <w:rPr>
                <w:rFonts w:asciiTheme="minorHAnsi" w:hAnsiTheme="minorHAnsi" w:cstheme="minorHAnsi"/>
                <w:sz w:val="18"/>
                <w:szCs w:val="18"/>
              </w:rPr>
            </w:pPr>
            <w:r w:rsidRPr="007D2FC4">
              <w:rPr>
                <w:rFonts w:asciiTheme="minorHAnsi" w:hAnsiTheme="minorHAnsi" w:cstheme="minorHAnsi"/>
                <w:sz w:val="18"/>
                <w:szCs w:val="18"/>
              </w:rPr>
              <w:t>constitutional powers of State and Commonwealth parliaments, including exclusive, concurrent and residual powers, Sections 51, 52, 90, 107 and 109</w:t>
            </w:r>
          </w:p>
          <w:p w14:paraId="6578D1E6" w14:textId="77777777" w:rsidR="00A34036" w:rsidRPr="007D2FC4" w:rsidRDefault="00A34036" w:rsidP="00E80363">
            <w:pPr>
              <w:pStyle w:val="Heading3"/>
              <w:keepNext w:val="0"/>
              <w:numPr>
                <w:ilvl w:val="0"/>
                <w:numId w:val="8"/>
              </w:numPr>
              <w:spacing w:before="80"/>
              <w:jc w:val="both"/>
              <w:rPr>
                <w:rFonts w:asciiTheme="minorHAnsi" w:hAnsiTheme="minorHAnsi" w:cstheme="minorHAnsi"/>
                <w:color w:val="auto"/>
                <w:sz w:val="18"/>
                <w:szCs w:val="18"/>
              </w:rPr>
            </w:pPr>
            <w:r w:rsidRPr="007D2FC4">
              <w:rPr>
                <w:rFonts w:asciiTheme="minorHAnsi" w:hAnsiTheme="minorHAnsi" w:cstheme="minorHAnsi"/>
                <w:color w:val="auto"/>
                <w:sz w:val="18"/>
                <w:szCs w:val="18"/>
              </w:rPr>
              <w:t>financial powers of the Commonwealth Parliament, including taxation power, tied or special purpose grants, including Sections 51(ii), 87, 90, 92 and 96</w:t>
            </w:r>
          </w:p>
          <w:p w14:paraId="67194A28" w14:textId="77777777" w:rsidR="00A34036" w:rsidRPr="007D2FC4" w:rsidRDefault="00A34036" w:rsidP="00E80363">
            <w:pPr>
              <w:pStyle w:val="ListBullet"/>
              <w:numPr>
                <w:ilvl w:val="0"/>
                <w:numId w:val="8"/>
              </w:numPr>
              <w:spacing w:line="240" w:lineRule="auto"/>
              <w:jc w:val="both"/>
              <w:rPr>
                <w:rFonts w:asciiTheme="minorHAnsi" w:hAnsiTheme="minorHAnsi" w:cstheme="minorHAnsi"/>
                <w:sz w:val="18"/>
                <w:szCs w:val="18"/>
              </w:rPr>
            </w:pPr>
            <w:r w:rsidRPr="007D2FC4">
              <w:rPr>
                <w:rFonts w:asciiTheme="minorHAnsi" w:hAnsiTheme="minorHAnsi" w:cstheme="minorHAnsi"/>
                <w:sz w:val="18"/>
                <w:szCs w:val="18"/>
              </w:rPr>
              <w:t>change in the balance of power since federation, with reference to</w:t>
            </w:r>
          </w:p>
          <w:p w14:paraId="503EC60F" w14:textId="77777777" w:rsidR="00A34036" w:rsidRPr="007D2FC4" w:rsidRDefault="00A34036" w:rsidP="00E80363">
            <w:pPr>
              <w:pStyle w:val="ListBullet"/>
              <w:numPr>
                <w:ilvl w:val="0"/>
                <w:numId w:val="4"/>
              </w:numPr>
              <w:tabs>
                <w:tab w:val="num" w:pos="1134"/>
              </w:tabs>
              <w:spacing w:line="240" w:lineRule="auto"/>
              <w:ind w:left="993" w:hanging="284"/>
              <w:jc w:val="both"/>
              <w:rPr>
                <w:rFonts w:asciiTheme="minorHAnsi" w:hAnsiTheme="minorHAnsi" w:cstheme="minorHAnsi"/>
                <w:sz w:val="18"/>
                <w:szCs w:val="18"/>
              </w:rPr>
            </w:pPr>
            <w:r w:rsidRPr="007D2FC4">
              <w:rPr>
                <w:rFonts w:asciiTheme="minorHAnsi" w:hAnsiTheme="minorHAnsi" w:cstheme="minorHAnsi"/>
                <w:sz w:val="18"/>
                <w:szCs w:val="18"/>
              </w:rPr>
              <w:t xml:space="preserve">financial powers, including vertical fiscal imbalance and horizontal fiscal equalisation, the Grants Commission </w:t>
            </w:r>
          </w:p>
          <w:p w14:paraId="13410C03" w14:textId="77777777" w:rsidR="00A34036" w:rsidRPr="007D2FC4" w:rsidRDefault="00A34036" w:rsidP="00E80363">
            <w:pPr>
              <w:pStyle w:val="ListBullet"/>
              <w:numPr>
                <w:ilvl w:val="0"/>
                <w:numId w:val="4"/>
              </w:numPr>
              <w:tabs>
                <w:tab w:val="num" w:pos="1134"/>
              </w:tabs>
              <w:spacing w:line="240" w:lineRule="auto"/>
              <w:ind w:left="993" w:hanging="284"/>
              <w:jc w:val="both"/>
              <w:rPr>
                <w:rFonts w:asciiTheme="minorHAnsi" w:hAnsiTheme="minorHAnsi" w:cstheme="minorHAnsi"/>
                <w:sz w:val="18"/>
                <w:szCs w:val="18"/>
              </w:rPr>
            </w:pPr>
            <w:r w:rsidRPr="007D2FC4">
              <w:rPr>
                <w:rFonts w:asciiTheme="minorHAnsi" w:hAnsiTheme="minorHAnsi" w:cstheme="minorHAnsi"/>
                <w:sz w:val="18"/>
                <w:szCs w:val="18"/>
              </w:rPr>
              <w:t>referral of powers Section 51(xxxvii)</w:t>
            </w:r>
          </w:p>
          <w:p w14:paraId="41768B68" w14:textId="77777777" w:rsidR="00A34036" w:rsidRPr="007D2FC4" w:rsidRDefault="00A34036" w:rsidP="00E80363">
            <w:pPr>
              <w:pStyle w:val="ListBullet"/>
              <w:numPr>
                <w:ilvl w:val="0"/>
                <w:numId w:val="4"/>
              </w:numPr>
              <w:tabs>
                <w:tab w:val="num" w:pos="1134"/>
              </w:tabs>
              <w:spacing w:line="240" w:lineRule="auto"/>
              <w:ind w:left="993" w:hanging="284"/>
              <w:jc w:val="both"/>
              <w:rPr>
                <w:rFonts w:asciiTheme="minorHAnsi" w:hAnsiTheme="minorHAnsi" w:cstheme="minorHAnsi"/>
                <w:sz w:val="18"/>
                <w:szCs w:val="18"/>
              </w:rPr>
            </w:pPr>
            <w:r w:rsidRPr="007D2FC4">
              <w:rPr>
                <w:rFonts w:asciiTheme="minorHAnsi" w:hAnsiTheme="minorHAnsi" w:cstheme="minorHAnsi"/>
                <w:sz w:val="18"/>
                <w:szCs w:val="18"/>
              </w:rPr>
              <w:t>the Council of Australian Governments (COAG)</w:t>
            </w:r>
          </w:p>
          <w:p w14:paraId="7BCEF715" w14:textId="77777777" w:rsidR="00A34036" w:rsidRPr="007D2FC4" w:rsidRDefault="00A34036" w:rsidP="00E80363">
            <w:pPr>
              <w:pStyle w:val="ListBullet"/>
              <w:numPr>
                <w:ilvl w:val="0"/>
                <w:numId w:val="4"/>
              </w:numPr>
              <w:tabs>
                <w:tab w:val="num" w:pos="1134"/>
              </w:tabs>
              <w:spacing w:line="240" w:lineRule="auto"/>
              <w:ind w:left="993" w:hanging="284"/>
              <w:jc w:val="both"/>
              <w:rPr>
                <w:rFonts w:asciiTheme="minorHAnsi" w:hAnsiTheme="minorHAnsi" w:cstheme="minorHAnsi"/>
                <w:sz w:val="18"/>
                <w:szCs w:val="18"/>
              </w:rPr>
            </w:pPr>
            <w:r w:rsidRPr="007D2FC4">
              <w:rPr>
                <w:rFonts w:asciiTheme="minorHAnsi" w:hAnsiTheme="minorHAnsi" w:cstheme="minorHAnsi"/>
                <w:sz w:val="18"/>
                <w:szCs w:val="18"/>
              </w:rPr>
              <w:t xml:space="preserve">co-operative federalism as opposed to coercive federalism </w:t>
            </w:r>
          </w:p>
          <w:p w14:paraId="4DE9ECD2" w14:textId="77777777" w:rsidR="00A34036" w:rsidRPr="007D2FC4" w:rsidRDefault="00A34036" w:rsidP="00E80363">
            <w:pPr>
              <w:pStyle w:val="ListBullet"/>
              <w:numPr>
                <w:ilvl w:val="0"/>
                <w:numId w:val="4"/>
              </w:numPr>
              <w:tabs>
                <w:tab w:val="num" w:pos="1134"/>
              </w:tabs>
              <w:spacing w:after="0" w:line="240" w:lineRule="auto"/>
              <w:ind w:left="993" w:hanging="284"/>
              <w:jc w:val="both"/>
              <w:rPr>
                <w:rFonts w:asciiTheme="minorHAnsi" w:hAnsiTheme="minorHAnsi" w:cstheme="minorHAnsi"/>
                <w:sz w:val="18"/>
                <w:szCs w:val="18"/>
              </w:rPr>
            </w:pPr>
            <w:r w:rsidRPr="007D2FC4">
              <w:rPr>
                <w:rFonts w:asciiTheme="minorHAnsi" w:hAnsiTheme="minorHAnsi" w:cstheme="minorHAnsi"/>
                <w:sz w:val="18"/>
                <w:szCs w:val="18"/>
              </w:rPr>
              <w:t>High Court of Australia constitutional interpretation, including external affairs power Section 51(xxix), corporations power Section 51(xx), and taxation powers</w:t>
            </w:r>
          </w:p>
        </w:tc>
        <w:tc>
          <w:tcPr>
            <w:tcW w:w="441" w:type="pct"/>
            <w:shd w:val="clear" w:color="auto" w:fill="D9D9D9" w:themeFill="background1" w:themeFillShade="D9"/>
          </w:tcPr>
          <w:p w14:paraId="222F0870" w14:textId="77777777" w:rsidR="00A34036" w:rsidRPr="002B5F84" w:rsidRDefault="00A34036" w:rsidP="007D2FC4">
            <w:pPr>
              <w:jc w:val="center"/>
              <w:rPr>
                <w:rFonts w:cstheme="minorHAnsi"/>
                <w:b/>
                <w:szCs w:val="18"/>
                <w:lang w:val="en-GB"/>
              </w:rPr>
            </w:pPr>
          </w:p>
          <w:p w14:paraId="0163637E" w14:textId="77777777" w:rsidR="00A34036" w:rsidRPr="007D2FC4" w:rsidRDefault="00A34036" w:rsidP="007D2FC4">
            <w:pPr>
              <w:jc w:val="center"/>
              <w:rPr>
                <w:rFonts w:cstheme="minorHAnsi"/>
                <w:b/>
                <w:szCs w:val="18"/>
                <w:lang w:val="en-GB"/>
              </w:rPr>
            </w:pPr>
          </w:p>
          <w:p w14:paraId="5CEC9218" w14:textId="77777777" w:rsidR="00A34036" w:rsidRPr="007D2FC4" w:rsidRDefault="00A34036" w:rsidP="007D2FC4">
            <w:pPr>
              <w:jc w:val="center"/>
              <w:rPr>
                <w:rFonts w:cstheme="minorHAnsi"/>
                <w:b/>
                <w:szCs w:val="18"/>
                <w:lang w:val="en-GB"/>
              </w:rPr>
            </w:pPr>
          </w:p>
          <w:p w14:paraId="7AAD7AD5" w14:textId="77777777" w:rsidR="00A34036" w:rsidRPr="007D2FC4" w:rsidRDefault="00A34036" w:rsidP="007D2FC4">
            <w:pPr>
              <w:jc w:val="center"/>
              <w:rPr>
                <w:rFonts w:cstheme="minorHAnsi"/>
                <w:b/>
                <w:szCs w:val="18"/>
                <w:lang w:val="en-GB"/>
              </w:rPr>
            </w:pPr>
          </w:p>
          <w:p w14:paraId="6C4E3A0F" w14:textId="77777777" w:rsidR="00A34036" w:rsidRPr="007D2FC4" w:rsidRDefault="00A34036" w:rsidP="007D2FC4">
            <w:pPr>
              <w:jc w:val="center"/>
              <w:rPr>
                <w:rFonts w:cstheme="minorHAnsi"/>
                <w:b/>
                <w:szCs w:val="18"/>
                <w:lang w:val="en-GB"/>
              </w:rPr>
            </w:pPr>
          </w:p>
          <w:p w14:paraId="101634E2" w14:textId="77777777" w:rsidR="00A34036" w:rsidRPr="007D2FC4" w:rsidRDefault="00A34036" w:rsidP="007D2FC4">
            <w:pPr>
              <w:jc w:val="center"/>
              <w:rPr>
                <w:rFonts w:cstheme="minorHAnsi"/>
                <w:b/>
                <w:szCs w:val="18"/>
                <w:lang w:val="en-GB"/>
              </w:rPr>
            </w:pPr>
          </w:p>
          <w:p w14:paraId="3EF77714" w14:textId="77777777" w:rsidR="00A34036" w:rsidRPr="007D2FC4" w:rsidRDefault="00A34036" w:rsidP="007D2FC4">
            <w:pPr>
              <w:jc w:val="center"/>
              <w:rPr>
                <w:rFonts w:cstheme="minorHAnsi"/>
                <w:b/>
                <w:szCs w:val="18"/>
                <w:lang w:val="en-GB"/>
              </w:rPr>
            </w:pPr>
          </w:p>
          <w:p w14:paraId="369FFDDA" w14:textId="77777777" w:rsidR="00A34036" w:rsidRPr="007D2FC4" w:rsidRDefault="00A34036" w:rsidP="007D2FC4">
            <w:pPr>
              <w:rPr>
                <w:rFonts w:cstheme="minorHAnsi"/>
                <w:b/>
                <w:szCs w:val="18"/>
                <w:lang w:val="en-GB"/>
              </w:rPr>
            </w:pPr>
          </w:p>
          <w:p w14:paraId="32DA67E4" w14:textId="77777777" w:rsidR="00A34036" w:rsidRPr="007D2FC4" w:rsidRDefault="00A34036" w:rsidP="007D2FC4">
            <w:pPr>
              <w:jc w:val="center"/>
              <w:rPr>
                <w:rFonts w:cstheme="minorHAnsi"/>
                <w:szCs w:val="18"/>
                <w:lang w:val="en-GB"/>
              </w:rPr>
            </w:pPr>
            <w:r w:rsidRPr="007D2FC4">
              <w:rPr>
                <w:rFonts w:cstheme="minorHAnsi"/>
                <w:b/>
                <w:szCs w:val="18"/>
                <w:lang w:val="en-GB"/>
              </w:rPr>
              <w:t>1 b c</w:t>
            </w:r>
          </w:p>
        </w:tc>
        <w:tc>
          <w:tcPr>
            <w:tcW w:w="441" w:type="pct"/>
            <w:shd w:val="clear" w:color="auto" w:fill="D9D9D9" w:themeFill="background1" w:themeFillShade="D9"/>
          </w:tcPr>
          <w:p w14:paraId="7FD06B8B" w14:textId="77777777" w:rsidR="00A34036" w:rsidRPr="007D2FC4" w:rsidRDefault="00A34036" w:rsidP="007D2FC4">
            <w:pPr>
              <w:jc w:val="center"/>
              <w:rPr>
                <w:rFonts w:cstheme="minorHAnsi"/>
                <w:b/>
                <w:szCs w:val="18"/>
                <w:lang w:val="en-GB"/>
              </w:rPr>
            </w:pPr>
          </w:p>
          <w:p w14:paraId="79BAABE7" w14:textId="77777777" w:rsidR="00A34036" w:rsidRPr="007D2FC4" w:rsidRDefault="00A34036" w:rsidP="007D2FC4">
            <w:pPr>
              <w:jc w:val="center"/>
              <w:rPr>
                <w:rFonts w:cstheme="minorHAnsi"/>
                <w:b/>
                <w:szCs w:val="18"/>
                <w:lang w:val="en-GB"/>
              </w:rPr>
            </w:pPr>
          </w:p>
          <w:p w14:paraId="0961B93A" w14:textId="77777777" w:rsidR="00A34036" w:rsidRPr="007D2FC4" w:rsidRDefault="00A34036" w:rsidP="007D2FC4">
            <w:pPr>
              <w:jc w:val="center"/>
              <w:rPr>
                <w:rFonts w:cstheme="minorHAnsi"/>
                <w:b/>
                <w:szCs w:val="18"/>
                <w:lang w:val="en-GB"/>
              </w:rPr>
            </w:pPr>
          </w:p>
          <w:p w14:paraId="050BA6BD" w14:textId="77777777" w:rsidR="00A34036" w:rsidRPr="007D2FC4" w:rsidRDefault="00A34036" w:rsidP="007D2FC4">
            <w:pPr>
              <w:jc w:val="center"/>
              <w:rPr>
                <w:rFonts w:cstheme="minorHAnsi"/>
                <w:b/>
                <w:szCs w:val="18"/>
                <w:lang w:val="en-GB"/>
              </w:rPr>
            </w:pPr>
          </w:p>
          <w:p w14:paraId="2B084AC5" w14:textId="77777777" w:rsidR="00A34036" w:rsidRPr="007D2FC4" w:rsidRDefault="00A34036" w:rsidP="007D2FC4">
            <w:pPr>
              <w:jc w:val="center"/>
              <w:rPr>
                <w:rFonts w:cstheme="minorHAnsi"/>
                <w:b/>
                <w:szCs w:val="18"/>
                <w:lang w:val="en-GB"/>
              </w:rPr>
            </w:pPr>
          </w:p>
          <w:p w14:paraId="7829448D" w14:textId="77777777" w:rsidR="00A34036" w:rsidRPr="007D2FC4" w:rsidRDefault="00A34036" w:rsidP="007D2FC4">
            <w:pPr>
              <w:jc w:val="center"/>
              <w:rPr>
                <w:rFonts w:cstheme="minorHAnsi"/>
                <w:b/>
                <w:szCs w:val="18"/>
                <w:lang w:val="en-GB"/>
              </w:rPr>
            </w:pPr>
          </w:p>
          <w:p w14:paraId="6237BF05" w14:textId="77777777" w:rsidR="00A34036" w:rsidRPr="007D2FC4" w:rsidRDefault="00A34036" w:rsidP="007D2FC4">
            <w:pPr>
              <w:jc w:val="center"/>
              <w:rPr>
                <w:rFonts w:cstheme="minorHAnsi"/>
                <w:b/>
                <w:szCs w:val="18"/>
                <w:lang w:val="en-GB"/>
              </w:rPr>
            </w:pPr>
          </w:p>
          <w:p w14:paraId="0FA80EF1" w14:textId="77777777" w:rsidR="00A34036" w:rsidRPr="007D2FC4" w:rsidRDefault="00A34036" w:rsidP="007D2FC4">
            <w:pPr>
              <w:jc w:val="center"/>
              <w:rPr>
                <w:rFonts w:cstheme="minorHAnsi"/>
                <w:b/>
                <w:szCs w:val="18"/>
                <w:lang w:val="en-GB"/>
              </w:rPr>
            </w:pPr>
          </w:p>
          <w:p w14:paraId="3D51EB26" w14:textId="77777777" w:rsidR="00A34036" w:rsidRPr="007D2FC4" w:rsidRDefault="00A34036" w:rsidP="007D2FC4">
            <w:pPr>
              <w:jc w:val="center"/>
              <w:rPr>
                <w:rFonts w:cstheme="minorHAnsi"/>
                <w:szCs w:val="18"/>
                <w:lang w:val="en-GB"/>
              </w:rPr>
            </w:pPr>
            <w:r w:rsidRPr="007D2FC4">
              <w:rPr>
                <w:rFonts w:cstheme="minorHAnsi"/>
                <w:b/>
                <w:szCs w:val="18"/>
                <w:lang w:val="en-GB"/>
              </w:rPr>
              <w:t>7</w:t>
            </w:r>
          </w:p>
        </w:tc>
        <w:tc>
          <w:tcPr>
            <w:tcW w:w="441" w:type="pct"/>
          </w:tcPr>
          <w:p w14:paraId="0AB6E21B" w14:textId="77777777" w:rsidR="00A34036" w:rsidRPr="007D2FC4" w:rsidRDefault="00A34036" w:rsidP="007D2FC4">
            <w:pPr>
              <w:contextualSpacing/>
              <w:jc w:val="center"/>
              <w:rPr>
                <w:rFonts w:cstheme="minorHAnsi"/>
                <w:b/>
                <w:szCs w:val="18"/>
                <w:lang w:val="en-GB"/>
              </w:rPr>
            </w:pPr>
          </w:p>
          <w:p w14:paraId="250CDC5C" w14:textId="77777777" w:rsidR="00A34036" w:rsidRPr="007D2FC4" w:rsidRDefault="00A34036" w:rsidP="007D2FC4">
            <w:pPr>
              <w:contextualSpacing/>
              <w:jc w:val="center"/>
              <w:rPr>
                <w:rFonts w:cstheme="minorHAnsi"/>
                <w:b/>
                <w:szCs w:val="18"/>
                <w:lang w:val="en-GB"/>
              </w:rPr>
            </w:pPr>
            <w:r w:rsidRPr="007D2FC4">
              <w:rPr>
                <w:rFonts w:cstheme="minorHAnsi"/>
                <w:b/>
                <w:szCs w:val="18"/>
                <w:lang w:val="en-GB"/>
              </w:rPr>
              <w:t>2 a</w:t>
            </w:r>
          </w:p>
          <w:p w14:paraId="796E71E3" w14:textId="77777777" w:rsidR="00A34036" w:rsidRPr="007D2FC4" w:rsidRDefault="00A34036" w:rsidP="007D2FC4">
            <w:pPr>
              <w:contextualSpacing/>
              <w:jc w:val="center"/>
              <w:rPr>
                <w:rFonts w:cstheme="minorHAnsi"/>
                <w:b/>
                <w:szCs w:val="18"/>
                <w:lang w:val="en-GB"/>
              </w:rPr>
            </w:pPr>
          </w:p>
          <w:p w14:paraId="1D1401B6" w14:textId="77777777" w:rsidR="00A34036" w:rsidRPr="007D2FC4" w:rsidRDefault="00A34036" w:rsidP="007D2FC4">
            <w:pPr>
              <w:contextualSpacing/>
              <w:jc w:val="center"/>
              <w:rPr>
                <w:rFonts w:cstheme="minorHAnsi"/>
                <w:b/>
                <w:szCs w:val="18"/>
                <w:lang w:val="en-GB"/>
              </w:rPr>
            </w:pPr>
          </w:p>
          <w:p w14:paraId="23925A7E" w14:textId="77777777" w:rsidR="00A34036" w:rsidRPr="007D2FC4" w:rsidRDefault="00A34036" w:rsidP="007D2FC4">
            <w:pPr>
              <w:contextualSpacing/>
              <w:jc w:val="center"/>
              <w:rPr>
                <w:rFonts w:cstheme="minorHAnsi"/>
                <w:b/>
                <w:szCs w:val="18"/>
                <w:lang w:val="en-GB"/>
              </w:rPr>
            </w:pPr>
          </w:p>
          <w:p w14:paraId="40A6502A" w14:textId="77777777" w:rsidR="00A34036" w:rsidRPr="007D2FC4" w:rsidRDefault="00A34036" w:rsidP="007D2FC4">
            <w:pPr>
              <w:contextualSpacing/>
              <w:jc w:val="center"/>
              <w:rPr>
                <w:rFonts w:cstheme="minorHAnsi"/>
                <w:b/>
                <w:szCs w:val="18"/>
                <w:lang w:val="en-GB"/>
              </w:rPr>
            </w:pPr>
          </w:p>
          <w:p w14:paraId="475E4488" w14:textId="77777777" w:rsidR="00A34036" w:rsidRPr="007D2FC4" w:rsidRDefault="00A34036" w:rsidP="007D2FC4">
            <w:pPr>
              <w:contextualSpacing/>
              <w:jc w:val="center"/>
              <w:rPr>
                <w:rFonts w:cstheme="minorHAnsi"/>
                <w:b/>
                <w:szCs w:val="18"/>
                <w:lang w:val="en-GB"/>
              </w:rPr>
            </w:pPr>
          </w:p>
          <w:p w14:paraId="0677F71E" w14:textId="77777777" w:rsidR="00A34036" w:rsidRPr="007D2FC4" w:rsidRDefault="00A34036" w:rsidP="007D2FC4">
            <w:pPr>
              <w:contextualSpacing/>
              <w:rPr>
                <w:rFonts w:cstheme="minorHAnsi"/>
                <w:b/>
                <w:szCs w:val="18"/>
                <w:lang w:val="en-GB"/>
              </w:rPr>
            </w:pPr>
          </w:p>
          <w:p w14:paraId="434FE7FB" w14:textId="77777777" w:rsidR="00A34036" w:rsidRPr="007D2FC4" w:rsidRDefault="00A34036" w:rsidP="007D2FC4">
            <w:pPr>
              <w:contextualSpacing/>
              <w:jc w:val="center"/>
              <w:rPr>
                <w:rFonts w:cstheme="minorHAnsi"/>
                <w:szCs w:val="18"/>
                <w:lang w:val="en-GB"/>
              </w:rPr>
            </w:pPr>
            <w:r w:rsidRPr="007D2FC4">
              <w:rPr>
                <w:rFonts w:cstheme="minorHAnsi"/>
                <w:b/>
                <w:szCs w:val="18"/>
                <w:lang w:val="en-GB"/>
              </w:rPr>
              <w:t>5 a b c d</w:t>
            </w:r>
          </w:p>
        </w:tc>
        <w:tc>
          <w:tcPr>
            <w:tcW w:w="442" w:type="pct"/>
            <w:shd w:val="clear" w:color="auto" w:fill="auto"/>
            <w:vAlign w:val="center"/>
          </w:tcPr>
          <w:p w14:paraId="6B8356DB" w14:textId="77777777" w:rsidR="00A34036" w:rsidRDefault="00A34036" w:rsidP="007D2FC4">
            <w:pPr>
              <w:contextualSpacing/>
              <w:jc w:val="center"/>
              <w:rPr>
                <w:rFonts w:cstheme="minorHAnsi"/>
                <w:b/>
                <w:szCs w:val="18"/>
                <w:lang w:val="en-GB"/>
              </w:rPr>
            </w:pPr>
          </w:p>
          <w:p w14:paraId="28A8051F" w14:textId="77777777" w:rsidR="00A34036" w:rsidRDefault="00A34036" w:rsidP="007D2FC4">
            <w:pPr>
              <w:contextualSpacing/>
              <w:jc w:val="center"/>
              <w:rPr>
                <w:rFonts w:cstheme="minorHAnsi"/>
                <w:b/>
                <w:szCs w:val="18"/>
                <w:lang w:val="en-GB"/>
              </w:rPr>
            </w:pPr>
          </w:p>
          <w:p w14:paraId="50D94FF3" w14:textId="77777777" w:rsidR="00A34036" w:rsidRDefault="00A34036" w:rsidP="007D2FC4">
            <w:pPr>
              <w:contextualSpacing/>
              <w:jc w:val="center"/>
              <w:rPr>
                <w:rFonts w:cstheme="minorHAnsi"/>
                <w:b/>
                <w:szCs w:val="18"/>
                <w:lang w:val="en-GB"/>
              </w:rPr>
            </w:pPr>
          </w:p>
          <w:p w14:paraId="3BDD0760" w14:textId="77777777" w:rsidR="00A34036" w:rsidRDefault="00A34036" w:rsidP="007D2FC4">
            <w:pPr>
              <w:contextualSpacing/>
              <w:jc w:val="center"/>
              <w:rPr>
                <w:rFonts w:cstheme="minorHAnsi"/>
                <w:b/>
                <w:szCs w:val="18"/>
                <w:lang w:val="en-GB"/>
              </w:rPr>
            </w:pPr>
          </w:p>
          <w:p w14:paraId="2970CF82" w14:textId="77777777" w:rsidR="00A34036" w:rsidRPr="00397D0B" w:rsidRDefault="00A34036" w:rsidP="007D2FC4">
            <w:pPr>
              <w:contextualSpacing/>
              <w:jc w:val="center"/>
              <w:rPr>
                <w:rFonts w:cstheme="minorHAnsi"/>
                <w:b/>
                <w:szCs w:val="18"/>
                <w:lang w:val="en-GB"/>
              </w:rPr>
            </w:pPr>
            <w:r>
              <w:rPr>
                <w:rFonts w:cstheme="minorHAnsi"/>
                <w:b/>
                <w:szCs w:val="18"/>
                <w:lang w:val="en-GB"/>
              </w:rPr>
              <w:t>8</w:t>
            </w:r>
          </w:p>
        </w:tc>
        <w:tc>
          <w:tcPr>
            <w:tcW w:w="586" w:type="pct"/>
          </w:tcPr>
          <w:p w14:paraId="301B9178" w14:textId="070C8651" w:rsidR="00A34036" w:rsidRPr="00311514" w:rsidRDefault="00311514" w:rsidP="007D2FC4">
            <w:pPr>
              <w:contextualSpacing/>
              <w:jc w:val="center"/>
              <w:rPr>
                <w:rFonts w:cstheme="minorHAnsi"/>
                <w:b/>
                <w:color w:val="FF0000"/>
                <w:szCs w:val="18"/>
                <w:lang w:val="en-GB"/>
              </w:rPr>
            </w:pPr>
            <w:r w:rsidRPr="00311514">
              <w:rPr>
                <w:rFonts w:cstheme="minorHAnsi"/>
                <w:b/>
                <w:color w:val="FF0000"/>
                <w:szCs w:val="18"/>
                <w:lang w:val="en-GB"/>
              </w:rPr>
              <w:t>1a b c</w:t>
            </w:r>
          </w:p>
        </w:tc>
      </w:tr>
      <w:tr w:rsidR="00A34036" w:rsidRPr="005E40A7" w14:paraId="0B772A0B" w14:textId="2CA86E21" w:rsidTr="00A34036">
        <w:tc>
          <w:tcPr>
            <w:tcW w:w="2649" w:type="pct"/>
            <w:tcBorders>
              <w:bottom w:val="single" w:sz="4" w:space="0" w:color="auto"/>
            </w:tcBorders>
            <w:vAlign w:val="center"/>
          </w:tcPr>
          <w:p w14:paraId="03F77B31" w14:textId="77777777" w:rsidR="00A34036" w:rsidRPr="007D2FC4" w:rsidRDefault="00A34036" w:rsidP="007D2FC4">
            <w:pPr>
              <w:pStyle w:val="ListItem"/>
              <w:spacing w:before="0" w:after="0" w:line="240" w:lineRule="auto"/>
              <w:rPr>
                <w:rFonts w:asciiTheme="minorHAnsi" w:hAnsiTheme="minorHAnsi" w:cstheme="minorHAnsi"/>
                <w:sz w:val="18"/>
                <w:szCs w:val="18"/>
              </w:rPr>
            </w:pPr>
            <w:r w:rsidRPr="007D2FC4">
              <w:rPr>
                <w:rFonts w:asciiTheme="minorHAnsi" w:hAnsiTheme="minorHAnsi" w:cstheme="minorHAnsi"/>
                <w:sz w:val="18"/>
                <w:szCs w:val="18"/>
              </w:rPr>
              <w:t>formal and informal methods of constitutional change and their impact</w:t>
            </w:r>
          </w:p>
          <w:p w14:paraId="483DAF43" w14:textId="77777777" w:rsidR="00A34036" w:rsidRPr="007D2FC4" w:rsidRDefault="00A34036" w:rsidP="00E80363">
            <w:pPr>
              <w:pStyle w:val="ListBullet"/>
              <w:numPr>
                <w:ilvl w:val="0"/>
                <w:numId w:val="3"/>
              </w:numPr>
              <w:tabs>
                <w:tab w:val="num" w:pos="1276"/>
              </w:tabs>
              <w:spacing w:line="240" w:lineRule="auto"/>
              <w:ind w:left="709" w:hanging="250"/>
              <w:rPr>
                <w:rFonts w:asciiTheme="minorHAnsi" w:hAnsiTheme="minorHAnsi" w:cstheme="minorHAnsi"/>
                <w:sz w:val="18"/>
                <w:szCs w:val="18"/>
              </w:rPr>
            </w:pPr>
            <w:r w:rsidRPr="007D2FC4">
              <w:rPr>
                <w:rFonts w:asciiTheme="minorHAnsi" w:hAnsiTheme="minorHAnsi" w:cstheme="minorHAnsi"/>
                <w:sz w:val="18"/>
                <w:szCs w:val="18"/>
              </w:rPr>
              <w:t>referendums, including Section 128</w:t>
            </w:r>
          </w:p>
          <w:p w14:paraId="01797A7B" w14:textId="77777777" w:rsidR="00A34036" w:rsidRPr="007D2FC4" w:rsidRDefault="00A34036" w:rsidP="00E80363">
            <w:pPr>
              <w:pStyle w:val="ListBullet"/>
              <w:numPr>
                <w:ilvl w:val="0"/>
                <w:numId w:val="3"/>
              </w:numPr>
              <w:tabs>
                <w:tab w:val="num" w:pos="1276"/>
              </w:tabs>
              <w:spacing w:line="240" w:lineRule="auto"/>
              <w:ind w:left="709" w:hanging="250"/>
              <w:rPr>
                <w:rFonts w:asciiTheme="minorHAnsi" w:hAnsiTheme="minorHAnsi" w:cstheme="minorHAnsi"/>
                <w:sz w:val="18"/>
                <w:szCs w:val="18"/>
              </w:rPr>
            </w:pPr>
            <w:r w:rsidRPr="007D2FC4">
              <w:rPr>
                <w:rFonts w:asciiTheme="minorHAnsi" w:hAnsiTheme="minorHAnsi" w:cstheme="minorHAnsi"/>
                <w:sz w:val="18"/>
                <w:szCs w:val="18"/>
              </w:rPr>
              <w:t>High Court of Australia decisions</w:t>
            </w:r>
          </w:p>
          <w:p w14:paraId="2C5C6BB2" w14:textId="77777777" w:rsidR="00A34036" w:rsidRPr="007D2FC4" w:rsidRDefault="00A34036" w:rsidP="00E80363">
            <w:pPr>
              <w:pStyle w:val="ListBullet"/>
              <w:numPr>
                <w:ilvl w:val="0"/>
                <w:numId w:val="3"/>
              </w:numPr>
              <w:tabs>
                <w:tab w:val="num" w:pos="1276"/>
              </w:tabs>
              <w:spacing w:line="240" w:lineRule="auto"/>
              <w:ind w:left="709" w:hanging="250"/>
              <w:rPr>
                <w:rFonts w:asciiTheme="minorHAnsi" w:hAnsiTheme="minorHAnsi" w:cstheme="minorHAnsi"/>
                <w:sz w:val="18"/>
                <w:szCs w:val="18"/>
              </w:rPr>
            </w:pPr>
            <w:r w:rsidRPr="007D2FC4">
              <w:rPr>
                <w:rFonts w:asciiTheme="minorHAnsi" w:hAnsiTheme="minorHAnsi" w:cstheme="minorHAnsi"/>
                <w:sz w:val="18"/>
                <w:szCs w:val="18"/>
              </w:rPr>
              <w:t xml:space="preserve">referral of powers </w:t>
            </w:r>
          </w:p>
          <w:p w14:paraId="709C492E" w14:textId="77777777" w:rsidR="00A34036" w:rsidRPr="007D2FC4" w:rsidRDefault="00A34036" w:rsidP="00E80363">
            <w:pPr>
              <w:pStyle w:val="ListBullet"/>
              <w:numPr>
                <w:ilvl w:val="0"/>
                <w:numId w:val="3"/>
              </w:numPr>
              <w:tabs>
                <w:tab w:val="num" w:pos="1276"/>
              </w:tabs>
              <w:spacing w:after="0" w:line="240" w:lineRule="auto"/>
              <w:ind w:left="709" w:hanging="250"/>
              <w:rPr>
                <w:rFonts w:asciiTheme="minorHAnsi" w:hAnsiTheme="minorHAnsi" w:cstheme="minorHAnsi"/>
                <w:sz w:val="18"/>
                <w:szCs w:val="18"/>
              </w:rPr>
            </w:pPr>
            <w:r w:rsidRPr="007D2FC4">
              <w:rPr>
                <w:rFonts w:asciiTheme="minorHAnsi" w:hAnsiTheme="minorHAnsi" w:cstheme="minorHAnsi"/>
                <w:sz w:val="18"/>
                <w:szCs w:val="18"/>
              </w:rPr>
              <w:t>unchallenged legislation</w:t>
            </w:r>
          </w:p>
        </w:tc>
        <w:tc>
          <w:tcPr>
            <w:tcW w:w="441" w:type="pct"/>
            <w:tcBorders>
              <w:bottom w:val="single" w:sz="4" w:space="0" w:color="auto"/>
            </w:tcBorders>
            <w:vAlign w:val="center"/>
          </w:tcPr>
          <w:p w14:paraId="36B053EC" w14:textId="77777777" w:rsidR="00A34036" w:rsidRPr="002B5F84" w:rsidRDefault="00A34036" w:rsidP="007D2FC4">
            <w:pPr>
              <w:jc w:val="center"/>
              <w:rPr>
                <w:rFonts w:cstheme="minorHAnsi"/>
                <w:b/>
                <w:szCs w:val="18"/>
                <w:lang w:val="en-GB"/>
              </w:rPr>
            </w:pPr>
            <w:r w:rsidRPr="002B5F84">
              <w:rPr>
                <w:rFonts w:cstheme="minorHAnsi"/>
                <w:b/>
                <w:szCs w:val="18"/>
                <w:lang w:val="en-GB"/>
              </w:rPr>
              <w:t>7</w:t>
            </w:r>
          </w:p>
        </w:tc>
        <w:tc>
          <w:tcPr>
            <w:tcW w:w="441" w:type="pct"/>
            <w:tcBorders>
              <w:bottom w:val="single" w:sz="4" w:space="0" w:color="auto"/>
            </w:tcBorders>
            <w:shd w:val="clear" w:color="auto" w:fill="D9D9D9" w:themeFill="background1" w:themeFillShade="D9"/>
            <w:vAlign w:val="center"/>
          </w:tcPr>
          <w:p w14:paraId="25905DAD" w14:textId="77777777" w:rsidR="00A34036" w:rsidRPr="007D2FC4" w:rsidRDefault="00A34036" w:rsidP="007D2FC4">
            <w:pPr>
              <w:jc w:val="center"/>
              <w:rPr>
                <w:rFonts w:cstheme="minorHAnsi"/>
                <w:b/>
                <w:szCs w:val="18"/>
                <w:lang w:val="en-GB"/>
              </w:rPr>
            </w:pPr>
          </w:p>
        </w:tc>
        <w:tc>
          <w:tcPr>
            <w:tcW w:w="441" w:type="pct"/>
            <w:tcBorders>
              <w:bottom w:val="single" w:sz="4" w:space="0" w:color="auto"/>
            </w:tcBorders>
            <w:vAlign w:val="center"/>
          </w:tcPr>
          <w:p w14:paraId="2E6680A1" w14:textId="77777777" w:rsidR="00A34036" w:rsidRPr="007D2FC4" w:rsidRDefault="00A34036" w:rsidP="007D2FC4">
            <w:pPr>
              <w:contextualSpacing/>
              <w:jc w:val="center"/>
              <w:rPr>
                <w:rFonts w:cstheme="minorHAnsi"/>
                <w:b/>
                <w:szCs w:val="18"/>
                <w:lang w:val="en-GB"/>
              </w:rPr>
            </w:pPr>
            <w:r w:rsidRPr="007D2FC4">
              <w:rPr>
                <w:rFonts w:cstheme="minorHAnsi"/>
                <w:b/>
                <w:szCs w:val="18"/>
                <w:lang w:val="en-GB"/>
              </w:rPr>
              <w:t>2 b</w:t>
            </w:r>
          </w:p>
        </w:tc>
        <w:tc>
          <w:tcPr>
            <w:tcW w:w="442" w:type="pct"/>
            <w:tcBorders>
              <w:bottom w:val="single" w:sz="4" w:space="0" w:color="auto"/>
            </w:tcBorders>
            <w:shd w:val="clear" w:color="auto" w:fill="D9D9D9" w:themeFill="background1" w:themeFillShade="D9"/>
            <w:vAlign w:val="center"/>
          </w:tcPr>
          <w:p w14:paraId="2D615E9B" w14:textId="77777777" w:rsidR="00A34036" w:rsidRPr="00397D0B" w:rsidRDefault="00A34036" w:rsidP="007D2FC4">
            <w:pPr>
              <w:contextualSpacing/>
              <w:jc w:val="center"/>
              <w:rPr>
                <w:rFonts w:cstheme="minorHAnsi"/>
                <w:b/>
                <w:szCs w:val="18"/>
                <w:lang w:val="en-GB"/>
              </w:rPr>
            </w:pPr>
          </w:p>
        </w:tc>
        <w:tc>
          <w:tcPr>
            <w:tcW w:w="586" w:type="pct"/>
            <w:tcBorders>
              <w:bottom w:val="single" w:sz="4" w:space="0" w:color="auto"/>
            </w:tcBorders>
            <w:shd w:val="clear" w:color="auto" w:fill="D9D9D9" w:themeFill="background1" w:themeFillShade="D9"/>
          </w:tcPr>
          <w:p w14:paraId="5495B10B" w14:textId="6D6E9A52" w:rsidR="00A34036" w:rsidRPr="00311514" w:rsidRDefault="00311514" w:rsidP="007D2FC4">
            <w:pPr>
              <w:contextualSpacing/>
              <w:jc w:val="center"/>
              <w:rPr>
                <w:rFonts w:cstheme="minorHAnsi"/>
                <w:b/>
                <w:color w:val="FF0000"/>
                <w:szCs w:val="18"/>
                <w:lang w:val="en-GB"/>
              </w:rPr>
            </w:pPr>
            <w:r>
              <w:rPr>
                <w:rFonts w:cstheme="minorHAnsi"/>
                <w:b/>
                <w:color w:val="FF0000"/>
                <w:szCs w:val="18"/>
                <w:lang w:val="en-GB"/>
              </w:rPr>
              <w:t>5 a c d</w:t>
            </w:r>
          </w:p>
        </w:tc>
      </w:tr>
      <w:tr w:rsidR="00A34036" w:rsidRPr="005E40A7" w14:paraId="4F9FD527" w14:textId="0DB5D0A9" w:rsidTr="00A34036">
        <w:trPr>
          <w:trHeight w:val="477"/>
        </w:trPr>
        <w:tc>
          <w:tcPr>
            <w:tcW w:w="2649" w:type="pct"/>
            <w:tcBorders>
              <w:right w:val="nil"/>
            </w:tcBorders>
            <w:vAlign w:val="center"/>
          </w:tcPr>
          <w:p w14:paraId="75949147" w14:textId="77777777" w:rsidR="00A34036" w:rsidRPr="00BB4ADE" w:rsidRDefault="00A34036" w:rsidP="007D2FC4">
            <w:pPr>
              <w:rPr>
                <w:rFonts w:cs="Calibri"/>
                <w:szCs w:val="18"/>
                <w:lang w:val="en-GB"/>
              </w:rPr>
            </w:pPr>
            <w:r>
              <w:rPr>
                <w:rFonts w:cs="Calibri"/>
                <w:b/>
                <w:szCs w:val="18"/>
                <w:lang w:val="en-GB"/>
              </w:rPr>
              <w:lastRenderedPageBreak/>
              <w:t>Political and Legal Issues</w:t>
            </w:r>
          </w:p>
        </w:tc>
        <w:tc>
          <w:tcPr>
            <w:tcW w:w="441" w:type="pct"/>
            <w:tcBorders>
              <w:left w:val="nil"/>
              <w:right w:val="nil"/>
            </w:tcBorders>
            <w:vAlign w:val="center"/>
          </w:tcPr>
          <w:p w14:paraId="5F965437" w14:textId="77777777" w:rsidR="00A34036" w:rsidRPr="00BB4ADE" w:rsidRDefault="00A34036" w:rsidP="007D2FC4">
            <w:pPr>
              <w:jc w:val="center"/>
              <w:rPr>
                <w:rFonts w:cs="Calibri"/>
                <w:szCs w:val="18"/>
                <w:lang w:val="en-GB"/>
              </w:rPr>
            </w:pPr>
          </w:p>
        </w:tc>
        <w:tc>
          <w:tcPr>
            <w:tcW w:w="441" w:type="pct"/>
            <w:tcBorders>
              <w:left w:val="nil"/>
              <w:right w:val="nil"/>
            </w:tcBorders>
            <w:vAlign w:val="center"/>
          </w:tcPr>
          <w:p w14:paraId="2529B2E6" w14:textId="77777777" w:rsidR="00A34036" w:rsidRPr="00BB4ADE" w:rsidRDefault="00A34036" w:rsidP="007D2FC4">
            <w:pPr>
              <w:jc w:val="center"/>
              <w:rPr>
                <w:rFonts w:cs="Calibri"/>
                <w:szCs w:val="18"/>
                <w:lang w:val="en-GB"/>
              </w:rPr>
            </w:pPr>
          </w:p>
        </w:tc>
        <w:tc>
          <w:tcPr>
            <w:tcW w:w="441" w:type="pct"/>
            <w:tcBorders>
              <w:left w:val="nil"/>
              <w:right w:val="nil"/>
            </w:tcBorders>
            <w:vAlign w:val="center"/>
          </w:tcPr>
          <w:p w14:paraId="4BC0F121" w14:textId="77777777" w:rsidR="00A34036" w:rsidRPr="00BB4ADE" w:rsidRDefault="00A34036" w:rsidP="007D2FC4">
            <w:pPr>
              <w:contextualSpacing/>
              <w:jc w:val="center"/>
              <w:rPr>
                <w:rFonts w:cs="Calibri"/>
                <w:szCs w:val="18"/>
                <w:lang w:val="en-GB"/>
              </w:rPr>
            </w:pPr>
          </w:p>
        </w:tc>
        <w:tc>
          <w:tcPr>
            <w:tcW w:w="442" w:type="pct"/>
            <w:tcBorders>
              <w:left w:val="nil"/>
              <w:right w:val="single" w:sz="4" w:space="0" w:color="auto"/>
            </w:tcBorders>
            <w:shd w:val="clear" w:color="auto" w:fill="auto"/>
            <w:vAlign w:val="center"/>
          </w:tcPr>
          <w:p w14:paraId="43EF5515" w14:textId="77777777" w:rsidR="00A34036" w:rsidRPr="00BB4ADE" w:rsidRDefault="00A34036" w:rsidP="007D2FC4">
            <w:pPr>
              <w:contextualSpacing/>
              <w:jc w:val="center"/>
              <w:rPr>
                <w:rFonts w:cs="Calibri"/>
                <w:szCs w:val="18"/>
                <w:lang w:val="en-GB"/>
              </w:rPr>
            </w:pPr>
          </w:p>
        </w:tc>
        <w:tc>
          <w:tcPr>
            <w:tcW w:w="586" w:type="pct"/>
            <w:tcBorders>
              <w:left w:val="nil"/>
              <w:right w:val="single" w:sz="4" w:space="0" w:color="auto"/>
            </w:tcBorders>
          </w:tcPr>
          <w:p w14:paraId="131298D2" w14:textId="77777777" w:rsidR="00A34036" w:rsidRPr="00311514" w:rsidRDefault="00A34036" w:rsidP="007D2FC4">
            <w:pPr>
              <w:contextualSpacing/>
              <w:jc w:val="center"/>
              <w:rPr>
                <w:rFonts w:cs="Calibri"/>
                <w:color w:val="FF0000"/>
                <w:szCs w:val="18"/>
                <w:lang w:val="en-GB"/>
              </w:rPr>
            </w:pPr>
          </w:p>
        </w:tc>
      </w:tr>
      <w:tr w:rsidR="00A34036" w:rsidRPr="005E40A7" w14:paraId="0CFB735B" w14:textId="4B7D7752" w:rsidTr="00A34036">
        <w:tc>
          <w:tcPr>
            <w:tcW w:w="2649" w:type="pct"/>
          </w:tcPr>
          <w:p w14:paraId="41C120CB" w14:textId="77777777" w:rsidR="00A34036" w:rsidRPr="00DA3A74" w:rsidRDefault="00A34036" w:rsidP="007D2FC4">
            <w:pPr>
              <w:pStyle w:val="ListItem"/>
              <w:spacing w:before="0" w:after="0" w:line="240" w:lineRule="auto"/>
              <w:jc w:val="both"/>
              <w:rPr>
                <w:sz w:val="18"/>
                <w:szCs w:val="18"/>
              </w:rPr>
            </w:pPr>
            <w:r w:rsidRPr="00DA3A74">
              <w:rPr>
                <w:sz w:val="18"/>
                <w:szCs w:val="18"/>
              </w:rPr>
              <w:t>at least one reform proposal to change the Commonwealth Constitution (Australia), such as</w:t>
            </w:r>
          </w:p>
          <w:p w14:paraId="2913ED9B" w14:textId="77777777" w:rsidR="00A34036" w:rsidRPr="00DA3A74" w:rsidRDefault="00A34036" w:rsidP="00E80363">
            <w:pPr>
              <w:pStyle w:val="ListBullet"/>
              <w:numPr>
                <w:ilvl w:val="0"/>
                <w:numId w:val="3"/>
              </w:numPr>
              <w:tabs>
                <w:tab w:val="num" w:pos="851"/>
              </w:tabs>
              <w:spacing w:line="240" w:lineRule="auto"/>
              <w:ind w:left="851" w:hanging="425"/>
              <w:jc w:val="both"/>
              <w:rPr>
                <w:sz w:val="18"/>
                <w:szCs w:val="18"/>
              </w:rPr>
            </w:pPr>
            <w:r w:rsidRPr="00DA3A74">
              <w:rPr>
                <w:sz w:val="18"/>
                <w:szCs w:val="18"/>
              </w:rPr>
              <w:t>the move to become a republic</w:t>
            </w:r>
          </w:p>
          <w:p w14:paraId="7C8F0F53" w14:textId="77777777" w:rsidR="00A34036" w:rsidRDefault="00A34036" w:rsidP="00E80363">
            <w:pPr>
              <w:pStyle w:val="ListBullet"/>
              <w:numPr>
                <w:ilvl w:val="0"/>
                <w:numId w:val="3"/>
              </w:numPr>
              <w:tabs>
                <w:tab w:val="num" w:pos="851"/>
              </w:tabs>
              <w:spacing w:line="240" w:lineRule="auto"/>
              <w:ind w:left="851" w:hanging="425"/>
              <w:jc w:val="both"/>
              <w:rPr>
                <w:sz w:val="18"/>
                <w:szCs w:val="18"/>
              </w:rPr>
            </w:pPr>
            <w:r w:rsidRPr="00DA3A74">
              <w:rPr>
                <w:sz w:val="18"/>
                <w:szCs w:val="18"/>
              </w:rPr>
              <w:t>reference to Indigenous Australians in the Commonwealth Constitution (Australia)</w:t>
            </w:r>
          </w:p>
          <w:p w14:paraId="174BCFF3" w14:textId="77777777" w:rsidR="00A34036" w:rsidRPr="00DA3A74" w:rsidRDefault="00A34036" w:rsidP="00E80363">
            <w:pPr>
              <w:pStyle w:val="ListBullet"/>
              <w:numPr>
                <w:ilvl w:val="0"/>
                <w:numId w:val="3"/>
              </w:numPr>
              <w:tabs>
                <w:tab w:val="num" w:pos="851"/>
              </w:tabs>
              <w:spacing w:after="0" w:line="240" w:lineRule="auto"/>
              <w:ind w:left="851" w:hanging="425"/>
              <w:jc w:val="both"/>
              <w:rPr>
                <w:sz w:val="18"/>
                <w:szCs w:val="18"/>
              </w:rPr>
            </w:pPr>
            <w:r w:rsidRPr="00DA3A74">
              <w:rPr>
                <w:sz w:val="18"/>
                <w:szCs w:val="18"/>
              </w:rPr>
              <w:t>recognition of local government in the Commonwealth Constitution (Australia)</w:t>
            </w:r>
          </w:p>
        </w:tc>
        <w:tc>
          <w:tcPr>
            <w:tcW w:w="441" w:type="pct"/>
            <w:vAlign w:val="center"/>
          </w:tcPr>
          <w:p w14:paraId="52756D3A" w14:textId="77777777" w:rsidR="00A34036" w:rsidRPr="00BB4ADE" w:rsidRDefault="00A34036" w:rsidP="007D2FC4">
            <w:pPr>
              <w:jc w:val="center"/>
              <w:rPr>
                <w:rFonts w:cs="Calibri"/>
                <w:b/>
                <w:szCs w:val="18"/>
                <w:lang w:val="en-GB"/>
              </w:rPr>
            </w:pPr>
            <w:r w:rsidRPr="00BB4ADE">
              <w:rPr>
                <w:rFonts w:cs="Calibri"/>
                <w:b/>
                <w:szCs w:val="18"/>
                <w:lang w:val="en-GB"/>
              </w:rPr>
              <w:t>7</w:t>
            </w:r>
          </w:p>
        </w:tc>
        <w:tc>
          <w:tcPr>
            <w:tcW w:w="441" w:type="pct"/>
            <w:shd w:val="clear" w:color="auto" w:fill="D9D9D9" w:themeFill="background1" w:themeFillShade="D9"/>
            <w:vAlign w:val="center"/>
          </w:tcPr>
          <w:p w14:paraId="7DEC1CA3" w14:textId="77777777" w:rsidR="00A34036" w:rsidRPr="00BB4ADE" w:rsidRDefault="00A34036" w:rsidP="007D2FC4">
            <w:pPr>
              <w:jc w:val="center"/>
              <w:rPr>
                <w:rFonts w:cs="Calibri"/>
                <w:b/>
                <w:szCs w:val="18"/>
                <w:lang w:val="en-GB"/>
              </w:rPr>
            </w:pPr>
          </w:p>
        </w:tc>
        <w:tc>
          <w:tcPr>
            <w:tcW w:w="441" w:type="pct"/>
            <w:vAlign w:val="center"/>
          </w:tcPr>
          <w:p w14:paraId="66139FDC" w14:textId="77777777" w:rsidR="00A34036" w:rsidRPr="00BB4ADE" w:rsidRDefault="00A34036" w:rsidP="007D2FC4">
            <w:pPr>
              <w:contextualSpacing/>
              <w:jc w:val="center"/>
              <w:rPr>
                <w:rFonts w:cs="Calibri"/>
                <w:b/>
                <w:szCs w:val="18"/>
                <w:lang w:val="en-GB"/>
              </w:rPr>
            </w:pPr>
            <w:r w:rsidRPr="00BB4ADE">
              <w:rPr>
                <w:rFonts w:cs="Calibri"/>
                <w:b/>
                <w:szCs w:val="18"/>
                <w:lang w:val="en-GB"/>
              </w:rPr>
              <w:t>2</w:t>
            </w:r>
            <w:r>
              <w:rPr>
                <w:rFonts w:cs="Calibri"/>
                <w:b/>
                <w:szCs w:val="18"/>
                <w:lang w:val="en-GB"/>
              </w:rPr>
              <w:t xml:space="preserve"> </w:t>
            </w:r>
            <w:r w:rsidRPr="00BB4ADE">
              <w:rPr>
                <w:rFonts w:cs="Calibri"/>
                <w:b/>
                <w:szCs w:val="18"/>
                <w:lang w:val="en-GB"/>
              </w:rPr>
              <w:t>c</w:t>
            </w:r>
          </w:p>
        </w:tc>
        <w:tc>
          <w:tcPr>
            <w:tcW w:w="442" w:type="pct"/>
            <w:shd w:val="clear" w:color="auto" w:fill="D9D9D9" w:themeFill="background1" w:themeFillShade="D9"/>
            <w:vAlign w:val="center"/>
          </w:tcPr>
          <w:p w14:paraId="19E8A480" w14:textId="77777777" w:rsidR="00A34036" w:rsidRPr="00BB4ADE" w:rsidRDefault="00A34036" w:rsidP="007D2FC4">
            <w:pPr>
              <w:contextualSpacing/>
              <w:jc w:val="center"/>
              <w:rPr>
                <w:rFonts w:cs="Calibri"/>
                <w:b/>
                <w:szCs w:val="18"/>
                <w:lang w:val="en-GB"/>
              </w:rPr>
            </w:pPr>
          </w:p>
        </w:tc>
        <w:tc>
          <w:tcPr>
            <w:tcW w:w="586" w:type="pct"/>
            <w:shd w:val="clear" w:color="auto" w:fill="D9D9D9" w:themeFill="background1" w:themeFillShade="D9"/>
          </w:tcPr>
          <w:p w14:paraId="2757661F" w14:textId="609E0AE2" w:rsidR="00A34036" w:rsidRPr="00311514" w:rsidRDefault="00311514" w:rsidP="007D2FC4">
            <w:pPr>
              <w:contextualSpacing/>
              <w:jc w:val="center"/>
              <w:rPr>
                <w:rFonts w:cs="Calibri"/>
                <w:b/>
                <w:color w:val="FF0000"/>
                <w:szCs w:val="18"/>
                <w:lang w:val="en-GB"/>
              </w:rPr>
            </w:pPr>
            <w:r>
              <w:rPr>
                <w:rFonts w:cs="Calibri"/>
                <w:b/>
                <w:color w:val="FF0000"/>
                <w:szCs w:val="18"/>
                <w:lang w:val="en-GB"/>
              </w:rPr>
              <w:t xml:space="preserve">5 b </w:t>
            </w:r>
          </w:p>
        </w:tc>
      </w:tr>
      <w:tr w:rsidR="00A34036" w:rsidRPr="005E40A7" w14:paraId="7101A466" w14:textId="5EF58B3A" w:rsidTr="00A34036">
        <w:tc>
          <w:tcPr>
            <w:tcW w:w="2649" w:type="pct"/>
          </w:tcPr>
          <w:p w14:paraId="25852E05" w14:textId="77777777" w:rsidR="00A34036" w:rsidRPr="00DA3A74" w:rsidRDefault="00A34036" w:rsidP="007D2FC4">
            <w:pPr>
              <w:pStyle w:val="ListItem"/>
              <w:spacing w:before="0" w:after="0" w:line="240" w:lineRule="auto"/>
              <w:rPr>
                <w:sz w:val="18"/>
                <w:szCs w:val="18"/>
              </w:rPr>
            </w:pPr>
            <w:r w:rsidRPr="00DA3A74">
              <w:rPr>
                <w:sz w:val="18"/>
                <w:szCs w:val="18"/>
              </w:rPr>
              <w:t xml:space="preserve">at least one contemporary issue (the last three years) relating to </w:t>
            </w:r>
            <w:r>
              <w:rPr>
                <w:sz w:val="18"/>
                <w:szCs w:val="18"/>
              </w:rPr>
              <w:t>political power</w:t>
            </w:r>
            <w:r w:rsidRPr="00DA3A74">
              <w:rPr>
                <w:sz w:val="18"/>
                <w:szCs w:val="18"/>
              </w:rPr>
              <w:t>.</w:t>
            </w:r>
          </w:p>
        </w:tc>
        <w:tc>
          <w:tcPr>
            <w:tcW w:w="441" w:type="pct"/>
            <w:shd w:val="clear" w:color="auto" w:fill="D9D9D9" w:themeFill="background1" w:themeFillShade="D9"/>
            <w:vAlign w:val="center"/>
          </w:tcPr>
          <w:p w14:paraId="014345FE" w14:textId="77777777" w:rsidR="00A34036" w:rsidRPr="00BB4ADE" w:rsidRDefault="00A34036" w:rsidP="007D2FC4">
            <w:pPr>
              <w:jc w:val="center"/>
              <w:rPr>
                <w:rFonts w:cs="Calibri"/>
                <w:b/>
                <w:szCs w:val="18"/>
                <w:lang w:val="en-GB"/>
              </w:rPr>
            </w:pPr>
          </w:p>
        </w:tc>
        <w:tc>
          <w:tcPr>
            <w:tcW w:w="441" w:type="pct"/>
            <w:shd w:val="clear" w:color="auto" w:fill="D9D9D9" w:themeFill="background1" w:themeFillShade="D9"/>
            <w:vAlign w:val="center"/>
          </w:tcPr>
          <w:p w14:paraId="0CE0E264" w14:textId="77777777" w:rsidR="00A34036" w:rsidRPr="00BB4ADE" w:rsidRDefault="00A34036" w:rsidP="007D2FC4">
            <w:pPr>
              <w:jc w:val="center"/>
              <w:rPr>
                <w:rFonts w:cs="Calibri"/>
                <w:b/>
                <w:szCs w:val="18"/>
                <w:lang w:val="en-GB"/>
              </w:rPr>
            </w:pPr>
          </w:p>
        </w:tc>
        <w:tc>
          <w:tcPr>
            <w:tcW w:w="441" w:type="pct"/>
            <w:shd w:val="clear" w:color="auto" w:fill="D9D9D9" w:themeFill="background1" w:themeFillShade="D9"/>
            <w:vAlign w:val="center"/>
          </w:tcPr>
          <w:p w14:paraId="2A59C3E3" w14:textId="77777777" w:rsidR="00A34036" w:rsidRPr="00BB4ADE" w:rsidRDefault="00A34036" w:rsidP="007D2FC4">
            <w:pPr>
              <w:contextualSpacing/>
              <w:jc w:val="center"/>
              <w:rPr>
                <w:rFonts w:cs="Calibri"/>
                <w:b/>
                <w:szCs w:val="18"/>
                <w:lang w:val="en-GB"/>
              </w:rPr>
            </w:pPr>
          </w:p>
        </w:tc>
        <w:tc>
          <w:tcPr>
            <w:tcW w:w="442" w:type="pct"/>
            <w:shd w:val="clear" w:color="auto" w:fill="auto"/>
            <w:vAlign w:val="center"/>
          </w:tcPr>
          <w:p w14:paraId="50BCAB3A" w14:textId="77777777" w:rsidR="00A34036" w:rsidRPr="00BB4ADE" w:rsidRDefault="00A34036" w:rsidP="007D2FC4">
            <w:pPr>
              <w:contextualSpacing/>
              <w:jc w:val="center"/>
              <w:rPr>
                <w:rFonts w:cs="Calibri"/>
                <w:b/>
                <w:szCs w:val="18"/>
                <w:lang w:val="en-GB"/>
              </w:rPr>
            </w:pPr>
          </w:p>
        </w:tc>
        <w:tc>
          <w:tcPr>
            <w:tcW w:w="586" w:type="pct"/>
          </w:tcPr>
          <w:p w14:paraId="0CEB135B" w14:textId="77777777" w:rsidR="00A34036" w:rsidRPr="00311514" w:rsidRDefault="00A34036" w:rsidP="007D2FC4">
            <w:pPr>
              <w:contextualSpacing/>
              <w:jc w:val="center"/>
              <w:rPr>
                <w:rFonts w:cs="Calibri"/>
                <w:b/>
                <w:color w:val="FF0000"/>
                <w:szCs w:val="18"/>
                <w:lang w:val="en-GB"/>
              </w:rPr>
            </w:pPr>
          </w:p>
        </w:tc>
      </w:tr>
      <w:tr w:rsidR="00A34036" w:rsidRPr="005E40A7" w14:paraId="703D25B6" w14:textId="31523106" w:rsidTr="00A34036">
        <w:tc>
          <w:tcPr>
            <w:tcW w:w="2649" w:type="pct"/>
          </w:tcPr>
          <w:p w14:paraId="670CDAC8" w14:textId="77777777" w:rsidR="00A34036" w:rsidRPr="003B0A99" w:rsidRDefault="00A34036" w:rsidP="007D2FC4">
            <w:pPr>
              <w:pStyle w:val="ListItem"/>
              <w:spacing w:before="0" w:after="0"/>
              <w:rPr>
                <w:sz w:val="18"/>
                <w:szCs w:val="18"/>
              </w:rPr>
            </w:pPr>
            <w:r w:rsidRPr="003B0A99">
              <w:rPr>
                <w:sz w:val="18"/>
                <w:szCs w:val="18"/>
              </w:rPr>
              <w:t>at least one contemporary issue (the last three years) relating to legal power.</w:t>
            </w:r>
          </w:p>
        </w:tc>
        <w:tc>
          <w:tcPr>
            <w:tcW w:w="441" w:type="pct"/>
            <w:shd w:val="clear" w:color="auto" w:fill="D9D9D9" w:themeFill="background1" w:themeFillShade="D9"/>
            <w:vAlign w:val="center"/>
          </w:tcPr>
          <w:p w14:paraId="73322310" w14:textId="77777777" w:rsidR="00A34036" w:rsidRPr="00BB4ADE" w:rsidRDefault="00A34036" w:rsidP="007D2FC4">
            <w:pPr>
              <w:jc w:val="center"/>
              <w:rPr>
                <w:rFonts w:cs="Calibri"/>
                <w:b/>
                <w:szCs w:val="18"/>
                <w:lang w:val="en-GB"/>
              </w:rPr>
            </w:pPr>
          </w:p>
        </w:tc>
        <w:tc>
          <w:tcPr>
            <w:tcW w:w="441" w:type="pct"/>
            <w:shd w:val="clear" w:color="auto" w:fill="D9D9D9" w:themeFill="background1" w:themeFillShade="D9"/>
            <w:vAlign w:val="center"/>
          </w:tcPr>
          <w:p w14:paraId="6578190B" w14:textId="77777777" w:rsidR="00A34036" w:rsidRPr="00BB4ADE" w:rsidRDefault="00A34036" w:rsidP="007D2FC4">
            <w:pPr>
              <w:jc w:val="center"/>
              <w:rPr>
                <w:rFonts w:cs="Calibri"/>
                <w:b/>
                <w:szCs w:val="18"/>
                <w:lang w:val="en-GB"/>
              </w:rPr>
            </w:pPr>
          </w:p>
        </w:tc>
        <w:tc>
          <w:tcPr>
            <w:tcW w:w="441" w:type="pct"/>
            <w:shd w:val="clear" w:color="auto" w:fill="D9D9D9" w:themeFill="background1" w:themeFillShade="D9"/>
            <w:vAlign w:val="center"/>
          </w:tcPr>
          <w:p w14:paraId="4B659B21" w14:textId="77777777" w:rsidR="00A34036" w:rsidRPr="00BB4ADE" w:rsidRDefault="00A34036" w:rsidP="007D2FC4">
            <w:pPr>
              <w:contextualSpacing/>
              <w:jc w:val="center"/>
              <w:rPr>
                <w:rFonts w:cs="Calibri"/>
                <w:b/>
                <w:szCs w:val="18"/>
                <w:lang w:val="en-GB"/>
              </w:rPr>
            </w:pPr>
          </w:p>
        </w:tc>
        <w:tc>
          <w:tcPr>
            <w:tcW w:w="442" w:type="pct"/>
            <w:shd w:val="clear" w:color="auto" w:fill="auto"/>
            <w:vAlign w:val="center"/>
          </w:tcPr>
          <w:p w14:paraId="13FD1C8E" w14:textId="77777777" w:rsidR="00A34036" w:rsidRPr="00BB4ADE" w:rsidRDefault="00A34036" w:rsidP="007D2FC4">
            <w:pPr>
              <w:contextualSpacing/>
              <w:jc w:val="center"/>
              <w:rPr>
                <w:rFonts w:cs="Calibri"/>
                <w:b/>
                <w:szCs w:val="18"/>
                <w:lang w:val="en-GB"/>
              </w:rPr>
            </w:pPr>
            <w:r>
              <w:rPr>
                <w:rFonts w:cs="Calibri"/>
                <w:b/>
                <w:szCs w:val="18"/>
                <w:lang w:val="en-GB"/>
              </w:rPr>
              <w:t>5 d</w:t>
            </w:r>
          </w:p>
        </w:tc>
        <w:tc>
          <w:tcPr>
            <w:tcW w:w="586" w:type="pct"/>
          </w:tcPr>
          <w:p w14:paraId="392F780A" w14:textId="77777777" w:rsidR="00A34036" w:rsidRPr="00311514" w:rsidRDefault="00A34036" w:rsidP="007D2FC4">
            <w:pPr>
              <w:contextualSpacing/>
              <w:jc w:val="center"/>
              <w:rPr>
                <w:rFonts w:cs="Calibri"/>
                <w:b/>
                <w:color w:val="FF0000"/>
                <w:szCs w:val="18"/>
                <w:lang w:val="en-GB"/>
              </w:rPr>
            </w:pPr>
          </w:p>
        </w:tc>
      </w:tr>
    </w:tbl>
    <w:p w14:paraId="74DCA4CF" w14:textId="77777777" w:rsidR="00E80363" w:rsidRPr="001068CB" w:rsidRDefault="00E80363" w:rsidP="00E80363">
      <w:pPr>
        <w:jc w:val="center"/>
        <w:rPr>
          <w:rFonts w:ascii="Calibri Light" w:hAnsi="Calibri Light" w:cs="Calibri Light"/>
          <w:sz w:val="56"/>
          <w:szCs w:val="56"/>
        </w:rPr>
      </w:pPr>
      <w:r>
        <w:rPr>
          <w:rFonts w:ascii="Calibri Light" w:hAnsi="Calibri Light" w:cs="Calibri Light"/>
          <w:b/>
          <w:sz w:val="56"/>
          <w:szCs w:val="56"/>
        </w:rPr>
        <w:t>Unit 4</w:t>
      </w:r>
    </w:p>
    <w:tbl>
      <w:tblPr>
        <w:tblpPr w:leftFromText="180" w:rightFromText="180" w:vertAnchor="text" w:tblpX="-237" w:tblpY="1"/>
        <w:tblOverlap w:val="never"/>
        <w:tblW w:w="51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7"/>
        <w:gridCol w:w="853"/>
        <w:gridCol w:w="859"/>
        <w:gridCol w:w="879"/>
        <w:gridCol w:w="853"/>
        <w:gridCol w:w="1127"/>
      </w:tblGrid>
      <w:tr w:rsidR="00311514" w:rsidRPr="005E40A7" w14:paraId="45890079" w14:textId="16C46AB9" w:rsidTr="00311514">
        <w:trPr>
          <w:tblHeader/>
        </w:trPr>
        <w:tc>
          <w:tcPr>
            <w:tcW w:w="2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AB9667" w14:textId="77777777" w:rsidR="00A34036" w:rsidRPr="00AE0617" w:rsidRDefault="00A34036" w:rsidP="00A34036">
            <w:pPr>
              <w:spacing w:before="60" w:after="60"/>
              <w:rPr>
                <w:rFonts w:cs="Calibri"/>
                <w:b/>
                <w:szCs w:val="18"/>
                <w:lang w:val="en-GB"/>
              </w:rPr>
            </w:pPr>
            <w:r w:rsidRPr="005E40A7">
              <w:rPr>
                <w:lang w:val="en-GB"/>
              </w:rPr>
              <w:br w:type="page"/>
            </w:r>
            <w:r w:rsidRPr="005E40A7">
              <w:rPr>
                <w:lang w:val="en-GB"/>
              </w:rPr>
              <w:br w:type="page"/>
            </w:r>
            <w:r>
              <w:rPr>
                <w:rFonts w:cs="Calibri"/>
                <w:b/>
                <w:szCs w:val="18"/>
                <w:lang w:val="en-GB"/>
              </w:rPr>
              <w:t>Syllabus</w:t>
            </w:r>
          </w:p>
        </w:tc>
        <w:tc>
          <w:tcPr>
            <w:tcW w:w="4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B5DB57" w14:textId="77777777" w:rsidR="00A34036" w:rsidRPr="00ED7EF5" w:rsidRDefault="00A34036" w:rsidP="00A34036">
            <w:pPr>
              <w:spacing w:before="60" w:after="60"/>
              <w:jc w:val="center"/>
              <w:rPr>
                <w:rFonts w:cs="Calibri"/>
                <w:b/>
                <w:szCs w:val="18"/>
                <w:lang w:val="en-GB"/>
              </w:rPr>
            </w:pPr>
            <w:r w:rsidRPr="00ED7EF5">
              <w:rPr>
                <w:rFonts w:cs="Calibri"/>
                <w:b/>
                <w:szCs w:val="18"/>
                <w:lang w:val="en-GB"/>
              </w:rPr>
              <w:t>2015</w:t>
            </w: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AC5DFD" w14:textId="77777777" w:rsidR="00A34036" w:rsidRPr="00ED7EF5" w:rsidRDefault="00A34036" w:rsidP="00A34036">
            <w:pPr>
              <w:spacing w:before="60" w:after="60"/>
              <w:jc w:val="center"/>
              <w:rPr>
                <w:rFonts w:cs="Calibri"/>
                <w:b/>
                <w:szCs w:val="18"/>
                <w:lang w:val="en-GB"/>
              </w:rPr>
            </w:pPr>
            <w:r w:rsidRPr="00ED7EF5">
              <w:rPr>
                <w:rFonts w:cs="Calibri"/>
                <w:b/>
                <w:szCs w:val="18"/>
                <w:lang w:val="en-GB"/>
              </w:rPr>
              <w:t>2016</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9E9465" w14:textId="77777777" w:rsidR="00A34036" w:rsidRPr="00ED7EF5" w:rsidRDefault="00A34036" w:rsidP="00A34036">
            <w:pPr>
              <w:spacing w:before="60" w:after="60"/>
              <w:jc w:val="center"/>
              <w:rPr>
                <w:rFonts w:cs="Calibri"/>
                <w:b/>
                <w:szCs w:val="18"/>
                <w:lang w:val="en-GB"/>
              </w:rPr>
            </w:pPr>
            <w:r w:rsidRPr="00ED7EF5">
              <w:rPr>
                <w:rFonts w:cs="Calibri"/>
                <w:b/>
                <w:szCs w:val="18"/>
                <w:lang w:val="en-GB"/>
              </w:rPr>
              <w:t>2017</w:t>
            </w:r>
          </w:p>
        </w:tc>
        <w:tc>
          <w:tcPr>
            <w:tcW w:w="4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8AFA63B" w14:textId="77777777" w:rsidR="00A34036" w:rsidRPr="00ED7EF5" w:rsidRDefault="00A34036" w:rsidP="00A34036">
            <w:pPr>
              <w:spacing w:before="60" w:after="60"/>
              <w:jc w:val="center"/>
              <w:rPr>
                <w:rFonts w:cs="Calibri"/>
                <w:b/>
                <w:szCs w:val="18"/>
                <w:lang w:val="en-GB"/>
              </w:rPr>
            </w:pPr>
            <w:r>
              <w:rPr>
                <w:rFonts w:cs="Calibri"/>
                <w:b/>
                <w:szCs w:val="18"/>
                <w:lang w:val="en-GB"/>
              </w:rPr>
              <w:t>2018</w:t>
            </w:r>
          </w:p>
        </w:tc>
        <w:tc>
          <w:tcPr>
            <w:tcW w:w="57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83F02B1" w14:textId="0068F353" w:rsidR="00A34036" w:rsidRPr="00311514" w:rsidRDefault="00311514" w:rsidP="00A34036">
            <w:pPr>
              <w:spacing w:before="60" w:after="60"/>
              <w:jc w:val="center"/>
              <w:rPr>
                <w:rFonts w:cs="Calibri"/>
                <w:b/>
                <w:color w:val="FF0000"/>
                <w:szCs w:val="18"/>
                <w:lang w:val="en-GB"/>
              </w:rPr>
            </w:pPr>
            <w:r w:rsidRPr="00311514">
              <w:rPr>
                <w:rFonts w:cs="Calibri"/>
                <w:b/>
                <w:color w:val="FF0000"/>
                <w:szCs w:val="18"/>
                <w:lang w:val="en-GB"/>
              </w:rPr>
              <w:t>2019</w:t>
            </w:r>
          </w:p>
        </w:tc>
      </w:tr>
      <w:tr w:rsidR="00A34036" w:rsidRPr="00AE0617" w14:paraId="1CBFEB37" w14:textId="7456FEB7" w:rsidTr="00311514">
        <w:tc>
          <w:tcPr>
            <w:tcW w:w="2696" w:type="pct"/>
            <w:shd w:val="clear" w:color="auto" w:fill="auto"/>
          </w:tcPr>
          <w:p w14:paraId="33E3F009" w14:textId="77777777" w:rsidR="00A34036" w:rsidRPr="00ED7EF5" w:rsidRDefault="00A34036" w:rsidP="00A34036">
            <w:pPr>
              <w:spacing w:before="60" w:after="60"/>
              <w:rPr>
                <w:rFonts w:cs="Calibri"/>
                <w:b/>
                <w:szCs w:val="18"/>
                <w:lang w:val="en-GB"/>
              </w:rPr>
            </w:pPr>
            <w:r>
              <w:rPr>
                <w:rFonts w:cs="Calibri"/>
                <w:b/>
                <w:szCs w:val="18"/>
                <w:lang w:val="en-GB"/>
              </w:rPr>
              <w:t>Political and legal systems</w:t>
            </w:r>
          </w:p>
        </w:tc>
        <w:tc>
          <w:tcPr>
            <w:tcW w:w="1734" w:type="pct"/>
            <w:gridSpan w:val="4"/>
            <w:vAlign w:val="center"/>
          </w:tcPr>
          <w:p w14:paraId="4A7C4716" w14:textId="77777777" w:rsidR="00A34036" w:rsidRDefault="00A34036" w:rsidP="00A34036">
            <w:pPr>
              <w:spacing w:before="60" w:after="60"/>
              <w:jc w:val="center"/>
              <w:rPr>
                <w:rFonts w:cs="Calibri"/>
                <w:b/>
                <w:szCs w:val="18"/>
                <w:lang w:val="en-GB"/>
              </w:rPr>
            </w:pPr>
          </w:p>
        </w:tc>
        <w:tc>
          <w:tcPr>
            <w:tcW w:w="570" w:type="pct"/>
          </w:tcPr>
          <w:p w14:paraId="48769815" w14:textId="77777777" w:rsidR="00A34036" w:rsidRPr="00311514" w:rsidRDefault="00A34036" w:rsidP="00A34036">
            <w:pPr>
              <w:spacing w:before="60" w:after="60"/>
              <w:jc w:val="center"/>
              <w:rPr>
                <w:rFonts w:cs="Calibri"/>
                <w:b/>
                <w:color w:val="FF0000"/>
                <w:szCs w:val="18"/>
                <w:lang w:val="en-GB"/>
              </w:rPr>
            </w:pPr>
          </w:p>
        </w:tc>
      </w:tr>
      <w:tr w:rsidR="00311514" w:rsidRPr="00AE0617" w14:paraId="39D35176" w14:textId="08B54329" w:rsidTr="00311514">
        <w:tc>
          <w:tcPr>
            <w:tcW w:w="2696" w:type="pct"/>
            <w:shd w:val="clear" w:color="auto" w:fill="auto"/>
          </w:tcPr>
          <w:p w14:paraId="09AF56C1" w14:textId="77777777" w:rsidR="00A34036" w:rsidRPr="007D2FC4" w:rsidRDefault="00A34036" w:rsidP="00A34036">
            <w:pPr>
              <w:pStyle w:val="Heading1"/>
              <w:spacing w:before="0"/>
              <w:jc w:val="both"/>
              <w:rPr>
                <w:rFonts w:asciiTheme="minorHAnsi" w:hAnsiTheme="minorHAnsi" w:cstheme="minorHAnsi"/>
                <w:color w:val="auto"/>
                <w:sz w:val="18"/>
                <w:szCs w:val="18"/>
                <w:lang w:val="en-GB"/>
              </w:rPr>
            </w:pPr>
            <w:r w:rsidRPr="007D2FC4">
              <w:rPr>
                <w:rFonts w:asciiTheme="minorHAnsi" w:hAnsiTheme="minorHAnsi" w:cstheme="minorHAnsi"/>
                <w:color w:val="auto"/>
                <w:sz w:val="18"/>
                <w:szCs w:val="18"/>
              </w:rPr>
              <w:t>Essential to the understanding of accountability and rights are the practices of governance, including participation, the rule of law, human rights, including civil, political, economic, social and cultural, open government, consensus, effectiveness, accountability, natural justice and equity.</w:t>
            </w:r>
          </w:p>
        </w:tc>
        <w:tc>
          <w:tcPr>
            <w:tcW w:w="430" w:type="pct"/>
            <w:vAlign w:val="center"/>
          </w:tcPr>
          <w:p w14:paraId="269FDF50" w14:textId="77777777" w:rsidR="00A34036" w:rsidRPr="00ED7EF5" w:rsidRDefault="00A34036" w:rsidP="00A34036">
            <w:pPr>
              <w:spacing w:after="60"/>
              <w:jc w:val="center"/>
              <w:rPr>
                <w:rFonts w:cs="Calibri"/>
                <w:b/>
                <w:szCs w:val="18"/>
                <w:lang w:val="en-GB"/>
              </w:rPr>
            </w:pPr>
            <w:r w:rsidRPr="00ED7EF5">
              <w:rPr>
                <w:rFonts w:cs="Calibri"/>
                <w:b/>
                <w:szCs w:val="18"/>
                <w:lang w:val="en-GB"/>
              </w:rPr>
              <w:t>4</w:t>
            </w:r>
            <w:r>
              <w:rPr>
                <w:rFonts w:cs="Calibri"/>
                <w:b/>
                <w:szCs w:val="18"/>
                <w:lang w:val="en-GB"/>
              </w:rPr>
              <w:t xml:space="preserve"> </w:t>
            </w:r>
            <w:r w:rsidRPr="00ED7EF5">
              <w:rPr>
                <w:rFonts w:cs="Calibri"/>
                <w:b/>
                <w:szCs w:val="18"/>
                <w:lang w:val="en-GB"/>
              </w:rPr>
              <w:t>a</w:t>
            </w:r>
            <w:r>
              <w:rPr>
                <w:rFonts w:cs="Calibri"/>
                <w:b/>
                <w:szCs w:val="18"/>
                <w:lang w:val="en-GB"/>
              </w:rPr>
              <w:t xml:space="preserve"> </w:t>
            </w:r>
            <w:r w:rsidRPr="00ED7EF5">
              <w:rPr>
                <w:rFonts w:cs="Calibri"/>
                <w:b/>
                <w:szCs w:val="18"/>
                <w:lang w:val="en-GB"/>
              </w:rPr>
              <w:t>b</w:t>
            </w:r>
          </w:p>
        </w:tc>
        <w:tc>
          <w:tcPr>
            <w:tcW w:w="433" w:type="pct"/>
            <w:vAlign w:val="center"/>
          </w:tcPr>
          <w:p w14:paraId="5E46D88D" w14:textId="77777777" w:rsidR="00A34036" w:rsidRPr="00ED7EF5" w:rsidRDefault="00A34036" w:rsidP="00A34036">
            <w:pPr>
              <w:spacing w:after="60"/>
              <w:jc w:val="center"/>
              <w:rPr>
                <w:rFonts w:cs="Calibri"/>
                <w:b/>
                <w:szCs w:val="18"/>
                <w:lang w:val="en-GB"/>
              </w:rPr>
            </w:pPr>
            <w:r w:rsidRPr="00ED7EF5">
              <w:rPr>
                <w:rFonts w:cs="Calibri"/>
                <w:b/>
                <w:szCs w:val="18"/>
                <w:lang w:val="en-GB"/>
              </w:rPr>
              <w:t>4</w:t>
            </w:r>
            <w:r>
              <w:rPr>
                <w:rFonts w:cs="Calibri"/>
                <w:b/>
                <w:szCs w:val="18"/>
                <w:lang w:val="en-GB"/>
              </w:rPr>
              <w:t xml:space="preserve"> </w:t>
            </w:r>
            <w:r w:rsidRPr="00ED7EF5">
              <w:rPr>
                <w:rFonts w:cs="Calibri"/>
                <w:b/>
                <w:szCs w:val="18"/>
                <w:lang w:val="en-GB"/>
              </w:rPr>
              <w:t>b</w:t>
            </w:r>
          </w:p>
        </w:tc>
        <w:tc>
          <w:tcPr>
            <w:tcW w:w="443" w:type="pct"/>
            <w:vAlign w:val="center"/>
          </w:tcPr>
          <w:p w14:paraId="5EEE86EB" w14:textId="77777777" w:rsidR="00A34036" w:rsidRPr="00ED7EF5" w:rsidRDefault="00A34036" w:rsidP="00A34036">
            <w:pPr>
              <w:spacing w:after="60"/>
              <w:jc w:val="center"/>
              <w:rPr>
                <w:rFonts w:cs="Calibri"/>
                <w:b/>
                <w:szCs w:val="18"/>
                <w:lang w:val="en-GB"/>
              </w:rPr>
            </w:pPr>
            <w:r w:rsidRPr="00ED7EF5">
              <w:rPr>
                <w:rFonts w:cs="Calibri"/>
                <w:b/>
                <w:szCs w:val="18"/>
                <w:lang w:val="en-GB"/>
              </w:rPr>
              <w:t>4</w:t>
            </w:r>
            <w:r>
              <w:rPr>
                <w:rFonts w:cs="Calibri"/>
                <w:b/>
                <w:szCs w:val="18"/>
                <w:lang w:val="en-GB"/>
              </w:rPr>
              <w:t xml:space="preserve"> </w:t>
            </w:r>
            <w:r w:rsidRPr="00ED7EF5">
              <w:rPr>
                <w:rFonts w:cs="Calibri"/>
                <w:b/>
                <w:szCs w:val="18"/>
                <w:lang w:val="en-GB"/>
              </w:rPr>
              <w:t>b</w:t>
            </w:r>
          </w:p>
        </w:tc>
        <w:tc>
          <w:tcPr>
            <w:tcW w:w="430" w:type="pct"/>
            <w:shd w:val="clear" w:color="auto" w:fill="D9D9D9" w:themeFill="background1" w:themeFillShade="D9"/>
            <w:vAlign w:val="center"/>
          </w:tcPr>
          <w:p w14:paraId="7FBABC36" w14:textId="77777777" w:rsidR="00A34036" w:rsidRPr="00ED7EF5" w:rsidRDefault="00A34036" w:rsidP="00A34036">
            <w:pPr>
              <w:spacing w:after="60"/>
              <w:jc w:val="center"/>
              <w:rPr>
                <w:rFonts w:cs="Calibri"/>
                <w:b/>
                <w:szCs w:val="18"/>
                <w:lang w:val="en-GB"/>
              </w:rPr>
            </w:pPr>
          </w:p>
        </w:tc>
        <w:tc>
          <w:tcPr>
            <w:tcW w:w="570" w:type="pct"/>
            <w:shd w:val="clear" w:color="auto" w:fill="D9D9D9" w:themeFill="background1" w:themeFillShade="D9"/>
          </w:tcPr>
          <w:p w14:paraId="290FC715" w14:textId="77777777" w:rsidR="00A34036" w:rsidRDefault="00A34036" w:rsidP="00A34036">
            <w:pPr>
              <w:spacing w:after="60"/>
              <w:jc w:val="center"/>
              <w:rPr>
                <w:rFonts w:cs="Calibri"/>
                <w:b/>
                <w:color w:val="FF0000"/>
                <w:szCs w:val="18"/>
                <w:lang w:val="en-GB"/>
              </w:rPr>
            </w:pPr>
          </w:p>
          <w:p w14:paraId="26C14CB2" w14:textId="77777777" w:rsidR="00311514" w:rsidRDefault="00311514" w:rsidP="00A34036">
            <w:pPr>
              <w:spacing w:after="60"/>
              <w:jc w:val="center"/>
              <w:rPr>
                <w:rFonts w:cs="Calibri"/>
                <w:b/>
                <w:color w:val="FF0000"/>
                <w:szCs w:val="18"/>
                <w:lang w:val="en-GB"/>
              </w:rPr>
            </w:pPr>
          </w:p>
          <w:p w14:paraId="2CDE3418" w14:textId="4873D54A" w:rsidR="00311514" w:rsidRPr="00311514" w:rsidRDefault="00311514" w:rsidP="00311514">
            <w:pPr>
              <w:spacing w:after="60"/>
              <w:rPr>
                <w:rFonts w:cs="Calibri"/>
                <w:b/>
                <w:color w:val="FF0000"/>
                <w:szCs w:val="18"/>
                <w:lang w:val="en-GB"/>
              </w:rPr>
            </w:pPr>
            <w:r>
              <w:rPr>
                <w:rFonts w:cs="Calibri"/>
                <w:b/>
                <w:color w:val="FF0000"/>
                <w:szCs w:val="18"/>
                <w:lang w:val="en-GB"/>
              </w:rPr>
              <w:t xml:space="preserve">6 a b c d </w:t>
            </w:r>
          </w:p>
        </w:tc>
      </w:tr>
      <w:tr w:rsidR="00311514" w:rsidRPr="00AE0617" w14:paraId="129CF114" w14:textId="63813909" w:rsidTr="00311514">
        <w:tc>
          <w:tcPr>
            <w:tcW w:w="2696" w:type="pct"/>
          </w:tcPr>
          <w:p w14:paraId="7AE900CB" w14:textId="77777777" w:rsidR="00A34036" w:rsidRPr="00ED7EF5" w:rsidRDefault="00A34036" w:rsidP="00A34036">
            <w:pPr>
              <w:pStyle w:val="ListItem"/>
              <w:spacing w:before="0" w:after="0" w:line="240" w:lineRule="auto"/>
              <w:rPr>
                <w:sz w:val="18"/>
                <w:szCs w:val="18"/>
              </w:rPr>
            </w:pPr>
            <w:r w:rsidRPr="00ED7EF5">
              <w:rPr>
                <w:sz w:val="18"/>
                <w:szCs w:val="18"/>
              </w:rPr>
              <w:t>the accountability of the Commonwealth Parliament</w:t>
            </w:r>
          </w:p>
          <w:p w14:paraId="57D05F49" w14:textId="77777777" w:rsidR="00A34036" w:rsidRPr="00ED7EF5" w:rsidRDefault="00A34036" w:rsidP="00A34036">
            <w:pPr>
              <w:pStyle w:val="ListBullet"/>
              <w:numPr>
                <w:ilvl w:val="0"/>
                <w:numId w:val="3"/>
              </w:numPr>
              <w:tabs>
                <w:tab w:val="num" w:pos="709"/>
              </w:tabs>
              <w:spacing w:line="240" w:lineRule="auto"/>
              <w:ind w:left="851" w:hanging="425"/>
              <w:rPr>
                <w:sz w:val="18"/>
                <w:szCs w:val="18"/>
              </w:rPr>
            </w:pPr>
            <w:r w:rsidRPr="00ED7EF5">
              <w:rPr>
                <w:sz w:val="18"/>
                <w:szCs w:val="18"/>
              </w:rPr>
              <w:t>through elections for the House of Representatives and the Senate</w:t>
            </w:r>
          </w:p>
          <w:p w14:paraId="6FE450F4" w14:textId="77777777" w:rsidR="00A34036" w:rsidRPr="00ED7EF5" w:rsidRDefault="00A34036" w:rsidP="00A34036">
            <w:pPr>
              <w:pStyle w:val="ListBullet"/>
              <w:numPr>
                <w:ilvl w:val="0"/>
                <w:numId w:val="3"/>
              </w:numPr>
              <w:tabs>
                <w:tab w:val="num" w:pos="709"/>
              </w:tabs>
              <w:spacing w:line="240" w:lineRule="auto"/>
              <w:ind w:left="851" w:hanging="425"/>
              <w:rPr>
                <w:sz w:val="18"/>
                <w:szCs w:val="18"/>
              </w:rPr>
            </w:pPr>
            <w:r w:rsidRPr="00ED7EF5">
              <w:rPr>
                <w:sz w:val="18"/>
                <w:szCs w:val="18"/>
              </w:rPr>
              <w:t xml:space="preserve">through the House of Representatives and Senate Privileges Committees </w:t>
            </w:r>
          </w:p>
          <w:p w14:paraId="25028DE3" w14:textId="77777777" w:rsidR="00A34036" w:rsidRDefault="00A34036" w:rsidP="00A34036">
            <w:pPr>
              <w:pStyle w:val="ListBullet"/>
              <w:numPr>
                <w:ilvl w:val="0"/>
                <w:numId w:val="3"/>
              </w:numPr>
              <w:tabs>
                <w:tab w:val="num" w:pos="709"/>
              </w:tabs>
              <w:spacing w:line="240" w:lineRule="auto"/>
              <w:ind w:left="851" w:hanging="425"/>
              <w:rPr>
                <w:sz w:val="18"/>
                <w:szCs w:val="18"/>
              </w:rPr>
            </w:pPr>
            <w:r w:rsidRPr="00ED7EF5">
              <w:rPr>
                <w:sz w:val="18"/>
                <w:szCs w:val="18"/>
              </w:rPr>
              <w:t xml:space="preserve">within the procedures and processes of the Parliament </w:t>
            </w:r>
          </w:p>
          <w:p w14:paraId="6E0A1102" w14:textId="77777777" w:rsidR="00A34036" w:rsidRPr="00ED7EF5" w:rsidRDefault="00A34036" w:rsidP="00A34036">
            <w:pPr>
              <w:pStyle w:val="ListBullet"/>
              <w:numPr>
                <w:ilvl w:val="0"/>
                <w:numId w:val="3"/>
              </w:numPr>
              <w:tabs>
                <w:tab w:val="num" w:pos="709"/>
              </w:tabs>
              <w:spacing w:after="0" w:line="240" w:lineRule="auto"/>
              <w:ind w:left="851" w:hanging="425"/>
              <w:rPr>
                <w:sz w:val="18"/>
                <w:szCs w:val="18"/>
              </w:rPr>
            </w:pPr>
            <w:r w:rsidRPr="00ED7EF5">
              <w:rPr>
                <w:sz w:val="18"/>
                <w:szCs w:val="18"/>
              </w:rPr>
              <w:t>through judicial review</w:t>
            </w:r>
          </w:p>
        </w:tc>
        <w:tc>
          <w:tcPr>
            <w:tcW w:w="430" w:type="pct"/>
            <w:vAlign w:val="center"/>
          </w:tcPr>
          <w:p w14:paraId="133B67E0" w14:textId="77777777" w:rsidR="00A34036" w:rsidRPr="00ED7EF5" w:rsidRDefault="00A34036" w:rsidP="00A34036">
            <w:pPr>
              <w:jc w:val="center"/>
              <w:rPr>
                <w:rFonts w:cs="Calibri"/>
                <w:b/>
                <w:szCs w:val="18"/>
                <w:lang w:val="en-GB"/>
              </w:rPr>
            </w:pPr>
            <w:r w:rsidRPr="00ED7EF5">
              <w:rPr>
                <w:rFonts w:cs="Calibri"/>
                <w:b/>
                <w:szCs w:val="18"/>
                <w:lang w:val="en-GB"/>
              </w:rPr>
              <w:t>6</w:t>
            </w:r>
            <w:r>
              <w:rPr>
                <w:rFonts w:cs="Calibri"/>
                <w:b/>
                <w:szCs w:val="18"/>
                <w:lang w:val="en-GB"/>
              </w:rPr>
              <w:t xml:space="preserve"> </w:t>
            </w:r>
            <w:r w:rsidRPr="00ED7EF5">
              <w:rPr>
                <w:rFonts w:cs="Calibri"/>
                <w:b/>
                <w:szCs w:val="18"/>
                <w:lang w:val="en-GB"/>
              </w:rPr>
              <w:t>a</w:t>
            </w:r>
            <w:r>
              <w:rPr>
                <w:rFonts w:cs="Calibri"/>
                <w:b/>
                <w:szCs w:val="18"/>
                <w:lang w:val="en-GB"/>
              </w:rPr>
              <w:t xml:space="preserve"> </w:t>
            </w:r>
            <w:r w:rsidRPr="00ED7EF5">
              <w:rPr>
                <w:rFonts w:cs="Calibri"/>
                <w:b/>
                <w:szCs w:val="18"/>
                <w:lang w:val="en-GB"/>
              </w:rPr>
              <w:t>b</w:t>
            </w:r>
            <w:r>
              <w:rPr>
                <w:rFonts w:cs="Calibri"/>
                <w:b/>
                <w:szCs w:val="18"/>
                <w:lang w:val="en-GB"/>
              </w:rPr>
              <w:t xml:space="preserve"> </w:t>
            </w:r>
            <w:r w:rsidRPr="00ED7EF5">
              <w:rPr>
                <w:rFonts w:cs="Calibri"/>
                <w:b/>
                <w:szCs w:val="18"/>
                <w:lang w:val="en-GB"/>
              </w:rPr>
              <w:t>c</w:t>
            </w:r>
            <w:r>
              <w:rPr>
                <w:rFonts w:cs="Calibri"/>
                <w:b/>
                <w:szCs w:val="18"/>
                <w:lang w:val="en-GB"/>
              </w:rPr>
              <w:t xml:space="preserve"> </w:t>
            </w:r>
            <w:r w:rsidRPr="00ED7EF5">
              <w:rPr>
                <w:rFonts w:cs="Calibri"/>
                <w:b/>
                <w:szCs w:val="18"/>
                <w:lang w:val="en-GB"/>
              </w:rPr>
              <w:t>d</w:t>
            </w:r>
          </w:p>
          <w:p w14:paraId="690CB073" w14:textId="77777777" w:rsidR="00A34036" w:rsidRPr="00ED7EF5" w:rsidRDefault="00A34036" w:rsidP="00A34036">
            <w:pPr>
              <w:jc w:val="center"/>
              <w:rPr>
                <w:rFonts w:cs="Calibri"/>
                <w:b/>
                <w:szCs w:val="18"/>
                <w:lang w:val="en-GB"/>
              </w:rPr>
            </w:pPr>
          </w:p>
          <w:p w14:paraId="26DA0ED6" w14:textId="77777777" w:rsidR="00A34036" w:rsidRPr="00ED7EF5" w:rsidRDefault="00A34036" w:rsidP="00A34036">
            <w:pPr>
              <w:jc w:val="center"/>
              <w:rPr>
                <w:rFonts w:cs="Calibri"/>
                <w:b/>
                <w:szCs w:val="18"/>
                <w:lang w:val="en-GB"/>
              </w:rPr>
            </w:pPr>
            <w:r w:rsidRPr="00ED7EF5">
              <w:rPr>
                <w:rFonts w:cs="Calibri"/>
                <w:b/>
                <w:szCs w:val="18"/>
                <w:lang w:val="en-GB"/>
              </w:rPr>
              <w:t>4</w:t>
            </w:r>
            <w:r>
              <w:rPr>
                <w:rFonts w:cs="Calibri"/>
                <w:b/>
                <w:szCs w:val="18"/>
                <w:lang w:val="en-GB"/>
              </w:rPr>
              <w:t xml:space="preserve"> </w:t>
            </w:r>
            <w:r w:rsidRPr="00ED7EF5">
              <w:rPr>
                <w:rFonts w:cs="Calibri"/>
                <w:b/>
                <w:szCs w:val="18"/>
                <w:lang w:val="en-GB"/>
              </w:rPr>
              <w:t>c</w:t>
            </w:r>
          </w:p>
        </w:tc>
        <w:tc>
          <w:tcPr>
            <w:tcW w:w="433" w:type="pct"/>
            <w:shd w:val="clear" w:color="auto" w:fill="auto"/>
            <w:vAlign w:val="center"/>
          </w:tcPr>
          <w:p w14:paraId="1677E02B" w14:textId="77777777" w:rsidR="00A34036" w:rsidRPr="00ED7EF5" w:rsidRDefault="00A34036" w:rsidP="00A34036">
            <w:pPr>
              <w:jc w:val="center"/>
              <w:rPr>
                <w:rFonts w:cs="Calibri"/>
                <w:b/>
                <w:szCs w:val="18"/>
                <w:lang w:val="en-GB"/>
              </w:rPr>
            </w:pPr>
            <w:r w:rsidRPr="00ED7EF5">
              <w:rPr>
                <w:rFonts w:cs="Calibri"/>
                <w:b/>
                <w:szCs w:val="18"/>
                <w:lang w:val="en-GB"/>
              </w:rPr>
              <w:t>3</w:t>
            </w:r>
            <w:r>
              <w:rPr>
                <w:rFonts w:cs="Calibri"/>
                <w:b/>
                <w:szCs w:val="18"/>
                <w:lang w:val="en-GB"/>
              </w:rPr>
              <w:t xml:space="preserve"> </w:t>
            </w:r>
            <w:r w:rsidRPr="00ED7EF5">
              <w:rPr>
                <w:rFonts w:cs="Calibri"/>
                <w:b/>
                <w:szCs w:val="18"/>
                <w:lang w:val="en-GB"/>
              </w:rPr>
              <w:t>a b</w:t>
            </w:r>
            <w:r>
              <w:rPr>
                <w:rFonts w:cs="Calibri"/>
                <w:b/>
                <w:szCs w:val="18"/>
                <w:lang w:val="en-GB"/>
              </w:rPr>
              <w:t xml:space="preserve"> </w:t>
            </w:r>
            <w:r w:rsidRPr="00ED7EF5">
              <w:rPr>
                <w:rFonts w:cs="Calibri"/>
                <w:b/>
                <w:szCs w:val="18"/>
                <w:lang w:val="en-GB"/>
              </w:rPr>
              <w:t>c</w:t>
            </w:r>
          </w:p>
        </w:tc>
        <w:tc>
          <w:tcPr>
            <w:tcW w:w="443" w:type="pct"/>
            <w:shd w:val="clear" w:color="auto" w:fill="D9D9D9" w:themeFill="background1" w:themeFillShade="D9"/>
            <w:vAlign w:val="center"/>
          </w:tcPr>
          <w:p w14:paraId="0FDF7C7C" w14:textId="77777777" w:rsidR="00A34036" w:rsidRPr="00ED7EF5" w:rsidRDefault="00A34036" w:rsidP="00A34036">
            <w:pPr>
              <w:jc w:val="center"/>
              <w:rPr>
                <w:rFonts w:cs="Calibri"/>
                <w:b/>
                <w:szCs w:val="18"/>
                <w:lang w:val="en-GB"/>
              </w:rPr>
            </w:pPr>
          </w:p>
        </w:tc>
        <w:tc>
          <w:tcPr>
            <w:tcW w:w="430" w:type="pct"/>
            <w:vAlign w:val="center"/>
          </w:tcPr>
          <w:p w14:paraId="0BB750A1" w14:textId="77777777" w:rsidR="00A34036" w:rsidRPr="00ED7EF5" w:rsidRDefault="00A34036" w:rsidP="00A34036">
            <w:pPr>
              <w:jc w:val="center"/>
              <w:rPr>
                <w:rFonts w:cs="Calibri"/>
                <w:b/>
                <w:szCs w:val="18"/>
                <w:lang w:val="en-GB"/>
              </w:rPr>
            </w:pPr>
            <w:r>
              <w:rPr>
                <w:rFonts w:cs="Calibri"/>
                <w:b/>
                <w:szCs w:val="18"/>
                <w:lang w:val="en-GB"/>
              </w:rPr>
              <w:t>9</w:t>
            </w:r>
          </w:p>
        </w:tc>
        <w:tc>
          <w:tcPr>
            <w:tcW w:w="570" w:type="pct"/>
          </w:tcPr>
          <w:p w14:paraId="6F75F093" w14:textId="77777777" w:rsidR="00A34036" w:rsidRPr="00311514" w:rsidRDefault="00A34036" w:rsidP="00A34036">
            <w:pPr>
              <w:jc w:val="center"/>
              <w:rPr>
                <w:rFonts w:cs="Calibri"/>
                <w:b/>
                <w:color w:val="FF0000"/>
                <w:szCs w:val="18"/>
                <w:lang w:val="en-GB"/>
              </w:rPr>
            </w:pPr>
          </w:p>
        </w:tc>
      </w:tr>
      <w:tr w:rsidR="00311514" w:rsidRPr="00AE0617" w14:paraId="3A875571" w14:textId="1A9B1D3C" w:rsidTr="00311514">
        <w:tc>
          <w:tcPr>
            <w:tcW w:w="2696" w:type="pct"/>
          </w:tcPr>
          <w:p w14:paraId="29D955C6" w14:textId="77777777" w:rsidR="00A34036" w:rsidRPr="00ED7EF5" w:rsidRDefault="00A34036" w:rsidP="00A34036">
            <w:pPr>
              <w:pStyle w:val="ListItem"/>
              <w:spacing w:before="0" w:after="0" w:line="240" w:lineRule="auto"/>
              <w:rPr>
                <w:sz w:val="18"/>
                <w:szCs w:val="18"/>
              </w:rPr>
            </w:pPr>
            <w:r w:rsidRPr="00ED7EF5">
              <w:rPr>
                <w:sz w:val="18"/>
                <w:szCs w:val="18"/>
              </w:rPr>
              <w:t>the accountability of the Executive and public servants</w:t>
            </w:r>
          </w:p>
          <w:p w14:paraId="11BC47AD" w14:textId="77777777" w:rsidR="00A34036" w:rsidRPr="00ED7EF5" w:rsidRDefault="00A34036" w:rsidP="00A34036">
            <w:pPr>
              <w:pStyle w:val="ListBullet"/>
              <w:numPr>
                <w:ilvl w:val="0"/>
                <w:numId w:val="3"/>
              </w:numPr>
              <w:tabs>
                <w:tab w:val="num" w:pos="709"/>
              </w:tabs>
              <w:spacing w:line="240" w:lineRule="auto"/>
              <w:ind w:left="851" w:hanging="425"/>
              <w:rPr>
                <w:sz w:val="18"/>
                <w:szCs w:val="18"/>
              </w:rPr>
            </w:pPr>
            <w:r w:rsidRPr="00ED7EF5">
              <w:rPr>
                <w:sz w:val="18"/>
                <w:szCs w:val="18"/>
              </w:rPr>
              <w:t>through collective and individual ministerial responsibility</w:t>
            </w:r>
          </w:p>
          <w:p w14:paraId="7F167AE8" w14:textId="77777777" w:rsidR="00A34036" w:rsidRPr="00ED7EF5" w:rsidRDefault="00A34036" w:rsidP="00A34036">
            <w:pPr>
              <w:pStyle w:val="ListBullet"/>
              <w:numPr>
                <w:ilvl w:val="0"/>
                <w:numId w:val="3"/>
              </w:numPr>
              <w:tabs>
                <w:tab w:val="num" w:pos="709"/>
              </w:tabs>
              <w:spacing w:line="240" w:lineRule="auto"/>
              <w:ind w:left="851" w:hanging="425"/>
              <w:rPr>
                <w:sz w:val="18"/>
                <w:szCs w:val="18"/>
              </w:rPr>
            </w:pPr>
            <w:r w:rsidRPr="00ED7EF5">
              <w:rPr>
                <w:sz w:val="18"/>
                <w:szCs w:val="18"/>
              </w:rPr>
              <w:t>through Senate Estimates and at least one other committee of the Commonwealth Parliament</w:t>
            </w:r>
          </w:p>
          <w:p w14:paraId="1C7605ED" w14:textId="77777777" w:rsidR="00A34036" w:rsidRPr="00ED7EF5" w:rsidRDefault="00A34036" w:rsidP="00A34036">
            <w:pPr>
              <w:pStyle w:val="ListBullet"/>
              <w:numPr>
                <w:ilvl w:val="0"/>
                <w:numId w:val="3"/>
              </w:numPr>
              <w:tabs>
                <w:tab w:val="num" w:pos="709"/>
              </w:tabs>
              <w:spacing w:line="240" w:lineRule="auto"/>
              <w:ind w:left="851" w:hanging="425"/>
              <w:rPr>
                <w:sz w:val="18"/>
                <w:szCs w:val="18"/>
              </w:rPr>
            </w:pPr>
            <w:r w:rsidRPr="00ED7EF5">
              <w:rPr>
                <w:sz w:val="18"/>
                <w:szCs w:val="18"/>
              </w:rPr>
              <w:t>through the Commonwealth Auditor General and the Administrative Appeals Tribunal (AAT)</w:t>
            </w:r>
          </w:p>
          <w:p w14:paraId="76CE2172" w14:textId="77777777" w:rsidR="00A34036" w:rsidRPr="00ED7EF5" w:rsidRDefault="00A34036" w:rsidP="00A34036">
            <w:pPr>
              <w:pStyle w:val="ListBullet"/>
              <w:numPr>
                <w:ilvl w:val="0"/>
                <w:numId w:val="3"/>
              </w:numPr>
              <w:tabs>
                <w:tab w:val="num" w:pos="709"/>
              </w:tabs>
              <w:spacing w:after="0" w:line="240" w:lineRule="auto"/>
              <w:ind w:left="851" w:hanging="425"/>
              <w:rPr>
                <w:sz w:val="18"/>
                <w:szCs w:val="18"/>
              </w:rPr>
            </w:pPr>
            <w:r w:rsidRPr="00ED7EF5">
              <w:rPr>
                <w:sz w:val="18"/>
                <w:szCs w:val="18"/>
              </w:rPr>
              <w:t>through judicial review</w:t>
            </w:r>
          </w:p>
        </w:tc>
        <w:tc>
          <w:tcPr>
            <w:tcW w:w="430" w:type="pct"/>
            <w:vAlign w:val="center"/>
          </w:tcPr>
          <w:p w14:paraId="5CE61623" w14:textId="77777777" w:rsidR="00A34036" w:rsidRPr="00ED7EF5" w:rsidRDefault="00A34036" w:rsidP="00A34036">
            <w:pPr>
              <w:jc w:val="center"/>
              <w:rPr>
                <w:rFonts w:cs="Calibri"/>
                <w:b/>
                <w:szCs w:val="18"/>
                <w:lang w:val="en-GB"/>
              </w:rPr>
            </w:pPr>
            <w:r w:rsidRPr="00ED7EF5">
              <w:rPr>
                <w:rFonts w:cs="Calibri"/>
                <w:b/>
                <w:szCs w:val="18"/>
                <w:lang w:val="en-GB"/>
              </w:rPr>
              <w:t>3</w:t>
            </w:r>
            <w:r>
              <w:rPr>
                <w:rFonts w:cs="Calibri"/>
                <w:b/>
                <w:szCs w:val="18"/>
                <w:lang w:val="en-GB"/>
              </w:rPr>
              <w:t xml:space="preserve"> </w:t>
            </w:r>
            <w:r w:rsidRPr="00ED7EF5">
              <w:rPr>
                <w:rFonts w:cs="Calibri"/>
                <w:b/>
                <w:szCs w:val="18"/>
                <w:lang w:val="en-GB"/>
              </w:rPr>
              <w:t>a</w:t>
            </w:r>
            <w:r>
              <w:rPr>
                <w:rFonts w:cs="Calibri"/>
                <w:b/>
                <w:szCs w:val="18"/>
                <w:lang w:val="en-GB"/>
              </w:rPr>
              <w:t xml:space="preserve"> </w:t>
            </w:r>
            <w:r w:rsidRPr="00ED7EF5">
              <w:rPr>
                <w:rFonts w:cs="Calibri"/>
                <w:b/>
                <w:szCs w:val="18"/>
                <w:lang w:val="en-GB"/>
              </w:rPr>
              <w:t>c</w:t>
            </w:r>
          </w:p>
        </w:tc>
        <w:tc>
          <w:tcPr>
            <w:tcW w:w="433" w:type="pct"/>
            <w:vAlign w:val="center"/>
          </w:tcPr>
          <w:p w14:paraId="01EC2325" w14:textId="77777777" w:rsidR="00A34036" w:rsidRPr="00ED7EF5" w:rsidRDefault="00A34036" w:rsidP="00A34036">
            <w:pPr>
              <w:jc w:val="center"/>
              <w:rPr>
                <w:rFonts w:cs="Calibri"/>
                <w:b/>
                <w:szCs w:val="18"/>
                <w:lang w:val="en-GB"/>
              </w:rPr>
            </w:pPr>
            <w:r w:rsidRPr="00ED7EF5">
              <w:rPr>
                <w:rFonts w:cs="Calibri"/>
                <w:b/>
                <w:szCs w:val="18"/>
                <w:lang w:val="en-GB"/>
              </w:rPr>
              <w:t>6</w:t>
            </w:r>
            <w:r>
              <w:rPr>
                <w:rFonts w:cs="Calibri"/>
                <w:b/>
                <w:szCs w:val="18"/>
                <w:lang w:val="en-GB"/>
              </w:rPr>
              <w:t xml:space="preserve"> </w:t>
            </w:r>
            <w:r w:rsidRPr="00ED7EF5">
              <w:rPr>
                <w:rFonts w:cs="Calibri"/>
                <w:b/>
                <w:szCs w:val="18"/>
                <w:lang w:val="en-GB"/>
              </w:rPr>
              <w:t>a</w:t>
            </w:r>
            <w:r>
              <w:rPr>
                <w:rFonts w:cs="Calibri"/>
                <w:b/>
                <w:szCs w:val="18"/>
                <w:lang w:val="en-GB"/>
              </w:rPr>
              <w:t xml:space="preserve"> </w:t>
            </w:r>
            <w:r w:rsidRPr="00ED7EF5">
              <w:rPr>
                <w:rFonts w:cs="Calibri"/>
                <w:b/>
                <w:szCs w:val="18"/>
                <w:lang w:val="en-GB"/>
              </w:rPr>
              <w:t>c</w:t>
            </w:r>
          </w:p>
        </w:tc>
        <w:tc>
          <w:tcPr>
            <w:tcW w:w="443" w:type="pct"/>
            <w:vAlign w:val="center"/>
          </w:tcPr>
          <w:p w14:paraId="5B0D0188" w14:textId="77777777" w:rsidR="00A34036" w:rsidRPr="00ED7EF5" w:rsidRDefault="00A34036" w:rsidP="00A34036">
            <w:pPr>
              <w:jc w:val="center"/>
              <w:rPr>
                <w:rFonts w:cs="Calibri"/>
                <w:b/>
                <w:szCs w:val="18"/>
                <w:lang w:val="en-GB"/>
              </w:rPr>
            </w:pPr>
            <w:r w:rsidRPr="00ED7EF5">
              <w:rPr>
                <w:rFonts w:cs="Calibri"/>
                <w:b/>
                <w:szCs w:val="18"/>
                <w:lang w:val="en-GB"/>
              </w:rPr>
              <w:t>6</w:t>
            </w:r>
            <w:r>
              <w:rPr>
                <w:rFonts w:cs="Calibri"/>
                <w:b/>
                <w:szCs w:val="18"/>
                <w:lang w:val="en-GB"/>
              </w:rPr>
              <w:t xml:space="preserve"> </w:t>
            </w:r>
            <w:r w:rsidRPr="00ED7EF5">
              <w:rPr>
                <w:rFonts w:cs="Calibri"/>
                <w:b/>
                <w:szCs w:val="18"/>
                <w:lang w:val="en-GB"/>
              </w:rPr>
              <w:t>a</w:t>
            </w:r>
            <w:r>
              <w:rPr>
                <w:rFonts w:cs="Calibri"/>
                <w:b/>
                <w:szCs w:val="18"/>
                <w:lang w:val="en-GB"/>
              </w:rPr>
              <w:t xml:space="preserve"> </w:t>
            </w:r>
            <w:r w:rsidRPr="00ED7EF5">
              <w:rPr>
                <w:rFonts w:cs="Calibri"/>
                <w:b/>
                <w:szCs w:val="18"/>
                <w:lang w:val="en-GB"/>
              </w:rPr>
              <w:t>b</w:t>
            </w:r>
            <w:r>
              <w:rPr>
                <w:rFonts w:cs="Calibri"/>
                <w:b/>
                <w:szCs w:val="18"/>
                <w:lang w:val="en-GB"/>
              </w:rPr>
              <w:t xml:space="preserve"> </w:t>
            </w:r>
            <w:r w:rsidRPr="00ED7EF5">
              <w:rPr>
                <w:rFonts w:cs="Calibri"/>
                <w:b/>
                <w:szCs w:val="18"/>
                <w:lang w:val="en-GB"/>
              </w:rPr>
              <w:t>c</w:t>
            </w:r>
            <w:r>
              <w:rPr>
                <w:rFonts w:cs="Calibri"/>
                <w:b/>
                <w:szCs w:val="18"/>
                <w:lang w:val="en-GB"/>
              </w:rPr>
              <w:t xml:space="preserve"> </w:t>
            </w:r>
            <w:r w:rsidRPr="00ED7EF5">
              <w:rPr>
                <w:rFonts w:cs="Calibri"/>
                <w:b/>
                <w:szCs w:val="18"/>
                <w:lang w:val="en-GB"/>
              </w:rPr>
              <w:t>d</w:t>
            </w:r>
          </w:p>
        </w:tc>
        <w:tc>
          <w:tcPr>
            <w:tcW w:w="430" w:type="pct"/>
            <w:shd w:val="clear" w:color="auto" w:fill="D9D9D9" w:themeFill="background1" w:themeFillShade="D9"/>
            <w:vAlign w:val="center"/>
          </w:tcPr>
          <w:p w14:paraId="1D009601" w14:textId="77777777" w:rsidR="00A34036" w:rsidRPr="00ED7EF5" w:rsidRDefault="00A34036" w:rsidP="00A34036">
            <w:pPr>
              <w:jc w:val="center"/>
              <w:rPr>
                <w:rFonts w:cs="Calibri"/>
                <w:b/>
                <w:szCs w:val="18"/>
                <w:lang w:val="en-GB"/>
              </w:rPr>
            </w:pPr>
          </w:p>
        </w:tc>
        <w:tc>
          <w:tcPr>
            <w:tcW w:w="570" w:type="pct"/>
            <w:shd w:val="clear" w:color="auto" w:fill="D9D9D9" w:themeFill="background1" w:themeFillShade="D9"/>
          </w:tcPr>
          <w:p w14:paraId="01B6197B" w14:textId="77777777" w:rsidR="00A34036" w:rsidRDefault="00A34036" w:rsidP="00A34036">
            <w:pPr>
              <w:jc w:val="center"/>
              <w:rPr>
                <w:rFonts w:cs="Calibri"/>
                <w:b/>
                <w:color w:val="FF0000"/>
                <w:szCs w:val="18"/>
                <w:lang w:val="en-GB"/>
              </w:rPr>
            </w:pPr>
          </w:p>
          <w:p w14:paraId="049AA90A" w14:textId="77777777" w:rsidR="00787006" w:rsidRDefault="00787006" w:rsidP="00A34036">
            <w:pPr>
              <w:jc w:val="center"/>
              <w:rPr>
                <w:rFonts w:cs="Calibri"/>
                <w:b/>
                <w:color w:val="FF0000"/>
                <w:szCs w:val="18"/>
                <w:lang w:val="en-GB"/>
              </w:rPr>
            </w:pPr>
          </w:p>
          <w:p w14:paraId="4BBD3494" w14:textId="3C5384DA" w:rsidR="00787006" w:rsidRPr="00311514" w:rsidRDefault="00787006" w:rsidP="00A34036">
            <w:pPr>
              <w:jc w:val="center"/>
              <w:rPr>
                <w:rFonts w:cs="Calibri"/>
                <w:b/>
                <w:color w:val="FF0000"/>
                <w:szCs w:val="18"/>
                <w:lang w:val="en-GB"/>
              </w:rPr>
            </w:pPr>
            <w:r>
              <w:rPr>
                <w:rFonts w:cs="Calibri"/>
                <w:b/>
                <w:color w:val="FF0000"/>
                <w:szCs w:val="18"/>
                <w:lang w:val="en-GB"/>
              </w:rPr>
              <w:t>9</w:t>
            </w:r>
          </w:p>
        </w:tc>
      </w:tr>
      <w:tr w:rsidR="00311514" w:rsidRPr="00AE0617" w14:paraId="2476F178" w14:textId="3496EAEE" w:rsidTr="00311514">
        <w:tc>
          <w:tcPr>
            <w:tcW w:w="2696" w:type="pct"/>
          </w:tcPr>
          <w:p w14:paraId="74E5A8EA" w14:textId="77777777" w:rsidR="00A34036" w:rsidRPr="00ED7EF5" w:rsidRDefault="00A34036" w:rsidP="00A34036">
            <w:pPr>
              <w:pStyle w:val="ListItem"/>
              <w:spacing w:before="0" w:after="0" w:line="240" w:lineRule="auto"/>
              <w:rPr>
                <w:sz w:val="18"/>
                <w:szCs w:val="18"/>
              </w:rPr>
            </w:pPr>
            <w:r w:rsidRPr="00ED7EF5">
              <w:rPr>
                <w:sz w:val="18"/>
                <w:szCs w:val="18"/>
              </w:rPr>
              <w:t>the extent of the accountability of the Governor-General and the Office of the Governor-General</w:t>
            </w:r>
          </w:p>
          <w:p w14:paraId="298E032F" w14:textId="77777777" w:rsidR="00A34036" w:rsidRPr="00ED7EF5" w:rsidRDefault="00A34036" w:rsidP="00A34036">
            <w:pPr>
              <w:pStyle w:val="ListBullet"/>
              <w:numPr>
                <w:ilvl w:val="0"/>
                <w:numId w:val="3"/>
              </w:numPr>
              <w:tabs>
                <w:tab w:val="num" w:pos="709"/>
              </w:tabs>
              <w:spacing w:line="240" w:lineRule="auto"/>
              <w:ind w:left="851" w:hanging="425"/>
              <w:rPr>
                <w:sz w:val="18"/>
                <w:szCs w:val="18"/>
              </w:rPr>
            </w:pPr>
            <w:r w:rsidRPr="00ED7EF5">
              <w:rPr>
                <w:sz w:val="18"/>
                <w:szCs w:val="18"/>
              </w:rPr>
              <w:t>through appointment</w:t>
            </w:r>
          </w:p>
          <w:p w14:paraId="481CE463" w14:textId="77777777" w:rsidR="00A34036" w:rsidRDefault="00A34036" w:rsidP="00A34036">
            <w:pPr>
              <w:pStyle w:val="ListBullet"/>
              <w:numPr>
                <w:ilvl w:val="0"/>
                <w:numId w:val="3"/>
              </w:numPr>
              <w:tabs>
                <w:tab w:val="num" w:pos="709"/>
              </w:tabs>
              <w:spacing w:line="240" w:lineRule="auto"/>
              <w:ind w:left="851" w:hanging="425"/>
              <w:rPr>
                <w:sz w:val="18"/>
                <w:szCs w:val="18"/>
              </w:rPr>
            </w:pPr>
            <w:r w:rsidRPr="00ED7EF5">
              <w:rPr>
                <w:sz w:val="18"/>
                <w:szCs w:val="18"/>
              </w:rPr>
              <w:t>through removal</w:t>
            </w:r>
          </w:p>
          <w:p w14:paraId="17727A4A" w14:textId="77777777" w:rsidR="00A34036" w:rsidRPr="00C4706C" w:rsidRDefault="00A34036" w:rsidP="00A34036">
            <w:pPr>
              <w:pStyle w:val="ListBullet"/>
              <w:numPr>
                <w:ilvl w:val="0"/>
                <w:numId w:val="3"/>
              </w:numPr>
              <w:tabs>
                <w:tab w:val="num" w:pos="709"/>
              </w:tabs>
              <w:spacing w:after="0" w:line="240" w:lineRule="auto"/>
              <w:ind w:left="851" w:hanging="425"/>
              <w:rPr>
                <w:sz w:val="18"/>
                <w:szCs w:val="18"/>
              </w:rPr>
            </w:pPr>
            <w:r w:rsidRPr="00ED7EF5">
              <w:rPr>
                <w:sz w:val="18"/>
                <w:szCs w:val="18"/>
              </w:rPr>
              <w:t>‘the 1975 crisis’ and ‘the Hollingworth affair’</w:t>
            </w:r>
          </w:p>
        </w:tc>
        <w:tc>
          <w:tcPr>
            <w:tcW w:w="430" w:type="pct"/>
            <w:shd w:val="clear" w:color="auto" w:fill="D9D9D9" w:themeFill="background1" w:themeFillShade="D9"/>
            <w:vAlign w:val="center"/>
          </w:tcPr>
          <w:p w14:paraId="1DCA37EF" w14:textId="77777777" w:rsidR="00A34036" w:rsidRPr="00ED7EF5" w:rsidRDefault="00A34036" w:rsidP="00A34036">
            <w:pPr>
              <w:jc w:val="center"/>
              <w:rPr>
                <w:rFonts w:cs="Calibri"/>
                <w:b/>
                <w:szCs w:val="18"/>
                <w:lang w:val="en-GB"/>
              </w:rPr>
            </w:pPr>
          </w:p>
        </w:tc>
        <w:tc>
          <w:tcPr>
            <w:tcW w:w="433" w:type="pct"/>
            <w:shd w:val="clear" w:color="auto" w:fill="D9D9D9" w:themeFill="background1" w:themeFillShade="D9"/>
            <w:vAlign w:val="center"/>
          </w:tcPr>
          <w:p w14:paraId="71D09780" w14:textId="77777777" w:rsidR="00A34036" w:rsidRPr="00ED7EF5" w:rsidRDefault="00A34036" w:rsidP="00A34036">
            <w:pPr>
              <w:jc w:val="center"/>
              <w:rPr>
                <w:rFonts w:cs="Calibri"/>
                <w:b/>
                <w:szCs w:val="18"/>
                <w:lang w:val="en-GB"/>
              </w:rPr>
            </w:pPr>
          </w:p>
        </w:tc>
        <w:tc>
          <w:tcPr>
            <w:tcW w:w="443" w:type="pct"/>
            <w:shd w:val="clear" w:color="auto" w:fill="auto"/>
            <w:vAlign w:val="center"/>
          </w:tcPr>
          <w:p w14:paraId="6A50F4DF" w14:textId="77777777" w:rsidR="00A34036" w:rsidRPr="00ED7EF5" w:rsidRDefault="00A34036" w:rsidP="00A34036">
            <w:pPr>
              <w:jc w:val="center"/>
              <w:rPr>
                <w:rFonts w:cs="Calibri"/>
                <w:b/>
                <w:szCs w:val="18"/>
                <w:lang w:val="en-GB"/>
              </w:rPr>
            </w:pPr>
            <w:r>
              <w:rPr>
                <w:rFonts w:cs="Calibri"/>
                <w:b/>
                <w:szCs w:val="18"/>
                <w:lang w:val="en-GB"/>
              </w:rPr>
              <w:t xml:space="preserve">3 b </w:t>
            </w:r>
            <w:r w:rsidRPr="00ED7EF5">
              <w:rPr>
                <w:rFonts w:cs="Calibri"/>
                <w:b/>
                <w:szCs w:val="18"/>
                <w:lang w:val="en-GB"/>
              </w:rPr>
              <w:t>c</w:t>
            </w:r>
          </w:p>
        </w:tc>
        <w:tc>
          <w:tcPr>
            <w:tcW w:w="430" w:type="pct"/>
            <w:shd w:val="clear" w:color="auto" w:fill="D9D9D9" w:themeFill="background1" w:themeFillShade="D9"/>
            <w:vAlign w:val="center"/>
          </w:tcPr>
          <w:p w14:paraId="3ECEF417" w14:textId="77777777" w:rsidR="00A34036" w:rsidRDefault="00A34036" w:rsidP="00A34036">
            <w:pPr>
              <w:jc w:val="center"/>
              <w:rPr>
                <w:rFonts w:cs="Calibri"/>
                <w:b/>
                <w:szCs w:val="18"/>
                <w:lang w:val="en-GB"/>
              </w:rPr>
            </w:pPr>
          </w:p>
        </w:tc>
        <w:tc>
          <w:tcPr>
            <w:tcW w:w="570" w:type="pct"/>
            <w:shd w:val="clear" w:color="auto" w:fill="D9D9D9" w:themeFill="background1" w:themeFillShade="D9"/>
          </w:tcPr>
          <w:p w14:paraId="3EF758F5" w14:textId="77777777" w:rsidR="00A34036" w:rsidRDefault="00A34036" w:rsidP="00A34036">
            <w:pPr>
              <w:jc w:val="center"/>
              <w:rPr>
                <w:rFonts w:cs="Calibri"/>
                <w:b/>
                <w:color w:val="FF0000"/>
                <w:szCs w:val="18"/>
                <w:lang w:val="en-GB"/>
              </w:rPr>
            </w:pPr>
          </w:p>
          <w:p w14:paraId="1CBF8C26" w14:textId="0CCE8BBB" w:rsidR="00787006" w:rsidRPr="00311514" w:rsidRDefault="00787006" w:rsidP="00A34036">
            <w:pPr>
              <w:jc w:val="center"/>
              <w:rPr>
                <w:rFonts w:cs="Calibri"/>
                <w:b/>
                <w:color w:val="FF0000"/>
                <w:szCs w:val="18"/>
                <w:lang w:val="en-GB"/>
              </w:rPr>
            </w:pPr>
            <w:r>
              <w:rPr>
                <w:rFonts w:cs="Calibri"/>
                <w:b/>
                <w:color w:val="FF0000"/>
                <w:szCs w:val="18"/>
                <w:lang w:val="en-GB"/>
              </w:rPr>
              <w:t>10</w:t>
            </w:r>
          </w:p>
        </w:tc>
      </w:tr>
      <w:tr w:rsidR="00311514" w:rsidRPr="00AE0617" w14:paraId="5F318AFB" w14:textId="7B703F8E" w:rsidTr="00311514">
        <w:tc>
          <w:tcPr>
            <w:tcW w:w="2696" w:type="pct"/>
          </w:tcPr>
          <w:p w14:paraId="021A5DA4" w14:textId="77777777" w:rsidR="00A34036" w:rsidRPr="00C4706C" w:rsidRDefault="00A34036" w:rsidP="00A34036">
            <w:pPr>
              <w:pStyle w:val="ListItem"/>
              <w:spacing w:before="0" w:after="0" w:line="240" w:lineRule="auto"/>
              <w:rPr>
                <w:sz w:val="18"/>
                <w:szCs w:val="18"/>
              </w:rPr>
            </w:pPr>
            <w:r w:rsidRPr="00C4706C">
              <w:rPr>
                <w:sz w:val="18"/>
                <w:szCs w:val="18"/>
              </w:rPr>
              <w:t>the accountability of the courts</w:t>
            </w:r>
          </w:p>
          <w:p w14:paraId="48871646" w14:textId="77777777" w:rsidR="00A34036" w:rsidRPr="00C4706C" w:rsidRDefault="00A34036" w:rsidP="00A34036">
            <w:pPr>
              <w:pStyle w:val="ListBullet"/>
              <w:numPr>
                <w:ilvl w:val="0"/>
                <w:numId w:val="3"/>
              </w:numPr>
              <w:tabs>
                <w:tab w:val="num" w:pos="709"/>
              </w:tabs>
              <w:spacing w:line="240" w:lineRule="auto"/>
              <w:ind w:left="851" w:hanging="425"/>
              <w:rPr>
                <w:sz w:val="18"/>
                <w:szCs w:val="18"/>
              </w:rPr>
            </w:pPr>
            <w:r w:rsidRPr="00C4706C">
              <w:rPr>
                <w:sz w:val="18"/>
                <w:szCs w:val="18"/>
              </w:rPr>
              <w:t>through the appeals process</w:t>
            </w:r>
          </w:p>
          <w:p w14:paraId="016E5008" w14:textId="77777777" w:rsidR="00A34036" w:rsidRPr="00C4706C" w:rsidRDefault="00A34036" w:rsidP="00A34036">
            <w:pPr>
              <w:pStyle w:val="ListBullet"/>
              <w:numPr>
                <w:ilvl w:val="0"/>
                <w:numId w:val="3"/>
              </w:numPr>
              <w:tabs>
                <w:tab w:val="num" w:pos="709"/>
              </w:tabs>
              <w:spacing w:line="240" w:lineRule="auto"/>
              <w:ind w:left="851" w:hanging="425"/>
              <w:rPr>
                <w:sz w:val="18"/>
                <w:szCs w:val="18"/>
              </w:rPr>
            </w:pPr>
            <w:r w:rsidRPr="00C4706C">
              <w:rPr>
                <w:sz w:val="18"/>
                <w:szCs w:val="18"/>
              </w:rPr>
              <w:t>through parliamentary scrutiny and legislation</w:t>
            </w:r>
          </w:p>
          <w:p w14:paraId="0000E9CC" w14:textId="77777777" w:rsidR="00A34036" w:rsidRPr="00C4706C" w:rsidRDefault="00A34036" w:rsidP="00A34036">
            <w:pPr>
              <w:pStyle w:val="ListBullet"/>
              <w:numPr>
                <w:ilvl w:val="0"/>
                <w:numId w:val="3"/>
              </w:numPr>
              <w:tabs>
                <w:tab w:val="num" w:pos="709"/>
              </w:tabs>
              <w:spacing w:line="240" w:lineRule="auto"/>
              <w:ind w:left="851" w:hanging="425"/>
              <w:rPr>
                <w:sz w:val="18"/>
                <w:szCs w:val="18"/>
              </w:rPr>
            </w:pPr>
            <w:r w:rsidRPr="00C4706C">
              <w:rPr>
                <w:sz w:val="18"/>
                <w:szCs w:val="18"/>
              </w:rPr>
              <w:t>through transparent processes and public confidence</w:t>
            </w:r>
          </w:p>
          <w:p w14:paraId="3E15F500" w14:textId="77777777" w:rsidR="00A34036" w:rsidRPr="00C4706C" w:rsidRDefault="00A34036" w:rsidP="00A34036">
            <w:pPr>
              <w:pStyle w:val="ListBullet"/>
              <w:numPr>
                <w:ilvl w:val="0"/>
                <w:numId w:val="3"/>
              </w:numPr>
              <w:tabs>
                <w:tab w:val="num" w:pos="709"/>
              </w:tabs>
              <w:spacing w:after="0" w:line="240" w:lineRule="auto"/>
              <w:ind w:left="851" w:hanging="425"/>
              <w:rPr>
                <w:sz w:val="18"/>
                <w:szCs w:val="18"/>
              </w:rPr>
            </w:pPr>
            <w:r w:rsidRPr="00C4706C">
              <w:rPr>
                <w:sz w:val="18"/>
                <w:szCs w:val="18"/>
              </w:rPr>
              <w:t>through the censure and removal of judges, including Section 72</w:t>
            </w:r>
          </w:p>
        </w:tc>
        <w:tc>
          <w:tcPr>
            <w:tcW w:w="430" w:type="pct"/>
            <w:vAlign w:val="center"/>
          </w:tcPr>
          <w:p w14:paraId="6B64E7AF" w14:textId="77777777" w:rsidR="00A34036" w:rsidRPr="00ED7EF5" w:rsidRDefault="00A34036" w:rsidP="00A34036">
            <w:pPr>
              <w:jc w:val="center"/>
              <w:rPr>
                <w:rFonts w:cs="Calibri"/>
                <w:b/>
                <w:szCs w:val="18"/>
                <w:lang w:val="en-GB"/>
              </w:rPr>
            </w:pPr>
          </w:p>
        </w:tc>
        <w:tc>
          <w:tcPr>
            <w:tcW w:w="433" w:type="pct"/>
            <w:vAlign w:val="center"/>
          </w:tcPr>
          <w:p w14:paraId="191920E2" w14:textId="77777777" w:rsidR="00A34036" w:rsidRPr="00ED7EF5" w:rsidRDefault="00A34036" w:rsidP="00A34036">
            <w:pPr>
              <w:jc w:val="center"/>
              <w:rPr>
                <w:rFonts w:cs="Calibri"/>
                <w:b/>
                <w:szCs w:val="18"/>
                <w:lang w:val="en-GB"/>
              </w:rPr>
            </w:pPr>
            <w:r w:rsidRPr="00ED7EF5">
              <w:rPr>
                <w:rFonts w:cs="Calibri"/>
                <w:b/>
                <w:szCs w:val="18"/>
                <w:lang w:val="en-GB"/>
              </w:rPr>
              <w:t>4</w:t>
            </w:r>
            <w:r>
              <w:rPr>
                <w:rFonts w:cs="Calibri"/>
                <w:b/>
                <w:szCs w:val="18"/>
                <w:lang w:val="en-GB"/>
              </w:rPr>
              <w:t xml:space="preserve"> </w:t>
            </w:r>
            <w:r w:rsidRPr="00ED7EF5">
              <w:rPr>
                <w:rFonts w:cs="Calibri"/>
                <w:b/>
                <w:szCs w:val="18"/>
                <w:lang w:val="en-GB"/>
              </w:rPr>
              <w:t>a</w:t>
            </w:r>
            <w:r>
              <w:rPr>
                <w:rFonts w:cs="Calibri"/>
                <w:b/>
                <w:szCs w:val="18"/>
                <w:lang w:val="en-GB"/>
              </w:rPr>
              <w:t xml:space="preserve"> </w:t>
            </w:r>
            <w:r w:rsidRPr="00ED7EF5">
              <w:rPr>
                <w:rFonts w:cs="Calibri"/>
                <w:b/>
                <w:szCs w:val="18"/>
                <w:lang w:val="en-GB"/>
              </w:rPr>
              <w:t>c</w:t>
            </w:r>
          </w:p>
        </w:tc>
        <w:tc>
          <w:tcPr>
            <w:tcW w:w="443" w:type="pct"/>
            <w:vAlign w:val="center"/>
          </w:tcPr>
          <w:p w14:paraId="740F3EC3" w14:textId="77777777" w:rsidR="00A34036" w:rsidRPr="00ED7EF5" w:rsidRDefault="00A34036" w:rsidP="00A34036">
            <w:pPr>
              <w:jc w:val="center"/>
              <w:rPr>
                <w:rFonts w:cs="Calibri"/>
                <w:b/>
                <w:szCs w:val="18"/>
                <w:lang w:val="en-GB"/>
              </w:rPr>
            </w:pPr>
            <w:r w:rsidRPr="00ED7EF5">
              <w:rPr>
                <w:rFonts w:cs="Calibri"/>
                <w:b/>
                <w:szCs w:val="18"/>
                <w:lang w:val="en-GB"/>
              </w:rPr>
              <w:t>9</w:t>
            </w:r>
          </w:p>
        </w:tc>
        <w:tc>
          <w:tcPr>
            <w:tcW w:w="430" w:type="pct"/>
            <w:vAlign w:val="center"/>
          </w:tcPr>
          <w:p w14:paraId="07E7B5AE" w14:textId="77777777" w:rsidR="00A34036" w:rsidRPr="00ED7EF5" w:rsidRDefault="00A34036" w:rsidP="00A34036">
            <w:pPr>
              <w:jc w:val="center"/>
              <w:rPr>
                <w:rFonts w:cs="Calibri"/>
                <w:b/>
                <w:szCs w:val="18"/>
                <w:lang w:val="en-GB"/>
              </w:rPr>
            </w:pPr>
            <w:r>
              <w:rPr>
                <w:rFonts w:cs="Calibri"/>
                <w:b/>
                <w:szCs w:val="18"/>
                <w:lang w:val="en-GB"/>
              </w:rPr>
              <w:t>6 a b c d</w:t>
            </w:r>
          </w:p>
        </w:tc>
        <w:tc>
          <w:tcPr>
            <w:tcW w:w="570" w:type="pct"/>
          </w:tcPr>
          <w:p w14:paraId="1C431BCE" w14:textId="77777777" w:rsidR="00A34036" w:rsidRPr="00311514" w:rsidRDefault="00A34036" w:rsidP="00A34036">
            <w:pPr>
              <w:jc w:val="center"/>
              <w:rPr>
                <w:rFonts w:cs="Calibri"/>
                <w:b/>
                <w:color w:val="FF0000"/>
                <w:szCs w:val="18"/>
                <w:lang w:val="en-GB"/>
              </w:rPr>
            </w:pPr>
          </w:p>
        </w:tc>
      </w:tr>
      <w:tr w:rsidR="00311514" w:rsidRPr="00AE0617" w14:paraId="1BE94F3B" w14:textId="558E72FE" w:rsidTr="00311514">
        <w:tc>
          <w:tcPr>
            <w:tcW w:w="2696" w:type="pct"/>
          </w:tcPr>
          <w:p w14:paraId="0AADB6EC" w14:textId="77777777" w:rsidR="00A34036" w:rsidRPr="007D2FC4" w:rsidRDefault="00A34036" w:rsidP="00A34036">
            <w:pPr>
              <w:pStyle w:val="ListParagraph"/>
              <w:numPr>
                <w:ilvl w:val="0"/>
                <w:numId w:val="6"/>
              </w:numPr>
              <w:spacing w:line="264" w:lineRule="auto"/>
              <w:rPr>
                <w:rFonts w:cs="Calibri"/>
                <w:sz w:val="18"/>
                <w:szCs w:val="18"/>
                <w:lang w:val="en-GB"/>
              </w:rPr>
            </w:pPr>
            <w:r w:rsidRPr="007D2FC4">
              <w:rPr>
                <w:sz w:val="18"/>
                <w:szCs w:val="18"/>
              </w:rPr>
              <w:t xml:space="preserve">the ways human rights are protected in Australia, including in the Constitution, common law, statutory </w:t>
            </w:r>
            <w:r>
              <w:rPr>
                <w:sz w:val="18"/>
                <w:szCs w:val="18"/>
              </w:rPr>
              <w:t>law</w:t>
            </w:r>
            <w:r w:rsidRPr="007D2FC4">
              <w:rPr>
                <w:sz w:val="18"/>
                <w:szCs w:val="18"/>
              </w:rPr>
              <w:t xml:space="preserve">, and charter of rights, such as the </w:t>
            </w:r>
            <w:r w:rsidRPr="007D2FC4">
              <w:rPr>
                <w:i/>
                <w:sz w:val="18"/>
                <w:szCs w:val="18"/>
              </w:rPr>
              <w:t>Charter of Human Rights and Responsibilities Act 2006</w:t>
            </w:r>
            <w:r w:rsidRPr="007D2FC4">
              <w:rPr>
                <w:sz w:val="18"/>
                <w:szCs w:val="18"/>
              </w:rPr>
              <w:t xml:space="preserve"> (Victoria) and the </w:t>
            </w:r>
            <w:r w:rsidRPr="007D2FC4">
              <w:rPr>
                <w:i/>
                <w:sz w:val="18"/>
                <w:szCs w:val="18"/>
              </w:rPr>
              <w:t>Human Rights Act 2004</w:t>
            </w:r>
            <w:r w:rsidRPr="007D2FC4">
              <w:rPr>
                <w:sz w:val="18"/>
                <w:szCs w:val="18"/>
              </w:rPr>
              <w:t xml:space="preserve"> (Australian Capital Territory)</w:t>
            </w:r>
          </w:p>
        </w:tc>
        <w:tc>
          <w:tcPr>
            <w:tcW w:w="430" w:type="pct"/>
            <w:vAlign w:val="center"/>
          </w:tcPr>
          <w:p w14:paraId="454F3940" w14:textId="77777777" w:rsidR="00A34036" w:rsidRPr="00ED7EF5" w:rsidRDefault="00A34036" w:rsidP="00A34036">
            <w:pPr>
              <w:jc w:val="center"/>
              <w:rPr>
                <w:rFonts w:cs="Calibri"/>
                <w:b/>
                <w:szCs w:val="18"/>
                <w:lang w:val="en-GB"/>
              </w:rPr>
            </w:pPr>
            <w:r w:rsidRPr="00ED7EF5">
              <w:rPr>
                <w:rFonts w:cs="Calibri"/>
                <w:b/>
                <w:szCs w:val="18"/>
                <w:lang w:val="en-GB"/>
              </w:rPr>
              <w:t>9</w:t>
            </w:r>
          </w:p>
        </w:tc>
        <w:tc>
          <w:tcPr>
            <w:tcW w:w="433" w:type="pct"/>
            <w:vAlign w:val="center"/>
          </w:tcPr>
          <w:p w14:paraId="0B542AF7" w14:textId="77777777" w:rsidR="00A34036" w:rsidRPr="00ED7EF5" w:rsidRDefault="00A34036" w:rsidP="00A34036">
            <w:pPr>
              <w:jc w:val="center"/>
              <w:rPr>
                <w:rFonts w:cs="Calibri"/>
                <w:b/>
                <w:szCs w:val="18"/>
                <w:lang w:val="en-GB"/>
              </w:rPr>
            </w:pPr>
            <w:r w:rsidRPr="00ED7EF5">
              <w:rPr>
                <w:rFonts w:cs="Calibri"/>
                <w:b/>
                <w:szCs w:val="18"/>
                <w:lang w:val="en-GB"/>
              </w:rPr>
              <w:t>10</w:t>
            </w:r>
          </w:p>
        </w:tc>
        <w:tc>
          <w:tcPr>
            <w:tcW w:w="443" w:type="pct"/>
            <w:vAlign w:val="center"/>
          </w:tcPr>
          <w:p w14:paraId="3700E99F" w14:textId="77777777" w:rsidR="00A34036" w:rsidRPr="00ED7EF5" w:rsidRDefault="00A34036" w:rsidP="00A34036">
            <w:pPr>
              <w:jc w:val="center"/>
              <w:rPr>
                <w:rFonts w:cs="Calibri"/>
                <w:b/>
                <w:szCs w:val="18"/>
                <w:lang w:val="en-GB"/>
              </w:rPr>
            </w:pPr>
            <w:r w:rsidRPr="00ED7EF5">
              <w:rPr>
                <w:rFonts w:cs="Calibri"/>
                <w:b/>
                <w:szCs w:val="18"/>
                <w:lang w:val="en-GB"/>
              </w:rPr>
              <w:t>4</w:t>
            </w:r>
            <w:r>
              <w:rPr>
                <w:rFonts w:cs="Calibri"/>
                <w:b/>
                <w:szCs w:val="18"/>
                <w:lang w:val="en-GB"/>
              </w:rPr>
              <w:t xml:space="preserve"> </w:t>
            </w:r>
            <w:r w:rsidRPr="00ED7EF5">
              <w:rPr>
                <w:rFonts w:cs="Calibri"/>
                <w:b/>
                <w:szCs w:val="18"/>
                <w:lang w:val="en-GB"/>
              </w:rPr>
              <w:t>a</w:t>
            </w:r>
          </w:p>
        </w:tc>
        <w:tc>
          <w:tcPr>
            <w:tcW w:w="430" w:type="pct"/>
            <w:vAlign w:val="center"/>
          </w:tcPr>
          <w:p w14:paraId="390F52D4" w14:textId="77777777" w:rsidR="00A34036" w:rsidRPr="00ED7EF5" w:rsidRDefault="00A34036" w:rsidP="00A34036">
            <w:pPr>
              <w:jc w:val="center"/>
              <w:rPr>
                <w:rFonts w:cs="Calibri"/>
                <w:b/>
                <w:szCs w:val="18"/>
                <w:lang w:val="en-GB"/>
              </w:rPr>
            </w:pPr>
            <w:r>
              <w:rPr>
                <w:rFonts w:cs="Calibri"/>
                <w:b/>
                <w:szCs w:val="18"/>
                <w:lang w:val="en-GB"/>
              </w:rPr>
              <w:t>10</w:t>
            </w:r>
          </w:p>
        </w:tc>
        <w:tc>
          <w:tcPr>
            <w:tcW w:w="570" w:type="pct"/>
          </w:tcPr>
          <w:p w14:paraId="54DE6D36" w14:textId="77777777" w:rsidR="00A34036" w:rsidRPr="00311514" w:rsidRDefault="00A34036" w:rsidP="00A34036">
            <w:pPr>
              <w:jc w:val="center"/>
              <w:rPr>
                <w:rFonts w:cs="Calibri"/>
                <w:b/>
                <w:color w:val="FF0000"/>
                <w:szCs w:val="18"/>
                <w:lang w:val="en-GB"/>
              </w:rPr>
            </w:pPr>
          </w:p>
        </w:tc>
      </w:tr>
      <w:tr w:rsidR="00311514" w:rsidRPr="00AE0617" w14:paraId="1ADE80D0" w14:textId="7410A2E1" w:rsidTr="00311514">
        <w:tc>
          <w:tcPr>
            <w:tcW w:w="2696" w:type="pct"/>
          </w:tcPr>
          <w:p w14:paraId="60915775" w14:textId="77777777" w:rsidR="00A34036" w:rsidRPr="007D2FC4" w:rsidRDefault="00A34036" w:rsidP="00A34036">
            <w:pPr>
              <w:pStyle w:val="Heading2"/>
              <w:keepNext w:val="0"/>
              <w:numPr>
                <w:ilvl w:val="0"/>
                <w:numId w:val="9"/>
              </w:numPr>
              <w:spacing w:before="0"/>
              <w:jc w:val="both"/>
              <w:rPr>
                <w:rFonts w:asciiTheme="minorHAnsi" w:hAnsiTheme="minorHAnsi" w:cstheme="minorHAnsi"/>
                <w:color w:val="auto"/>
                <w:sz w:val="18"/>
                <w:szCs w:val="18"/>
              </w:rPr>
            </w:pPr>
            <w:r w:rsidRPr="007D2FC4">
              <w:rPr>
                <w:rFonts w:asciiTheme="minorHAnsi" w:hAnsiTheme="minorHAnsi" w:cstheme="minorHAnsi"/>
                <w:color w:val="auto"/>
                <w:sz w:val="18"/>
                <w:szCs w:val="18"/>
              </w:rPr>
              <w:t>the ways human rights are protected in one other country</w:t>
            </w:r>
          </w:p>
        </w:tc>
        <w:tc>
          <w:tcPr>
            <w:tcW w:w="430" w:type="pct"/>
            <w:shd w:val="clear" w:color="auto" w:fill="D9D9D9" w:themeFill="background1" w:themeFillShade="D9"/>
            <w:vAlign w:val="center"/>
          </w:tcPr>
          <w:p w14:paraId="42D51937" w14:textId="77777777" w:rsidR="00A34036" w:rsidRPr="00ED7EF5" w:rsidRDefault="00A34036" w:rsidP="00A34036">
            <w:pPr>
              <w:jc w:val="center"/>
              <w:rPr>
                <w:rFonts w:cs="Calibri"/>
                <w:b/>
                <w:szCs w:val="18"/>
                <w:lang w:val="en-GB"/>
              </w:rPr>
            </w:pPr>
          </w:p>
        </w:tc>
        <w:tc>
          <w:tcPr>
            <w:tcW w:w="433" w:type="pct"/>
            <w:shd w:val="clear" w:color="auto" w:fill="D9D9D9" w:themeFill="background1" w:themeFillShade="D9"/>
            <w:vAlign w:val="center"/>
          </w:tcPr>
          <w:p w14:paraId="04353A89" w14:textId="77777777" w:rsidR="00A34036" w:rsidRPr="00ED7EF5" w:rsidRDefault="00A34036" w:rsidP="00A34036">
            <w:pPr>
              <w:jc w:val="center"/>
              <w:rPr>
                <w:rFonts w:cs="Calibri"/>
                <w:b/>
                <w:szCs w:val="18"/>
                <w:lang w:val="en-GB"/>
              </w:rPr>
            </w:pPr>
          </w:p>
        </w:tc>
        <w:tc>
          <w:tcPr>
            <w:tcW w:w="443" w:type="pct"/>
            <w:shd w:val="clear" w:color="auto" w:fill="D9D9D9" w:themeFill="background1" w:themeFillShade="D9"/>
            <w:vAlign w:val="center"/>
          </w:tcPr>
          <w:p w14:paraId="09134E4C" w14:textId="77777777" w:rsidR="00A34036" w:rsidRPr="00ED7EF5" w:rsidRDefault="00A34036" w:rsidP="00A34036">
            <w:pPr>
              <w:jc w:val="center"/>
              <w:rPr>
                <w:rFonts w:cs="Calibri"/>
                <w:b/>
                <w:szCs w:val="18"/>
                <w:lang w:val="en-GB"/>
              </w:rPr>
            </w:pPr>
          </w:p>
        </w:tc>
        <w:tc>
          <w:tcPr>
            <w:tcW w:w="430" w:type="pct"/>
            <w:vAlign w:val="center"/>
          </w:tcPr>
          <w:p w14:paraId="44AF79BF" w14:textId="77777777" w:rsidR="00A34036" w:rsidRPr="00ED7EF5" w:rsidRDefault="00A34036" w:rsidP="00A34036">
            <w:pPr>
              <w:jc w:val="center"/>
              <w:rPr>
                <w:rFonts w:cs="Calibri"/>
                <w:b/>
                <w:szCs w:val="18"/>
                <w:lang w:val="en-GB"/>
              </w:rPr>
            </w:pPr>
            <w:r>
              <w:rPr>
                <w:rFonts w:cs="Calibri"/>
                <w:b/>
                <w:szCs w:val="18"/>
                <w:lang w:val="en-GB"/>
              </w:rPr>
              <w:t>10</w:t>
            </w:r>
          </w:p>
        </w:tc>
        <w:tc>
          <w:tcPr>
            <w:tcW w:w="570" w:type="pct"/>
          </w:tcPr>
          <w:p w14:paraId="3D459204" w14:textId="77777777" w:rsidR="00A34036" w:rsidRPr="00311514" w:rsidRDefault="00A34036" w:rsidP="00A34036">
            <w:pPr>
              <w:jc w:val="center"/>
              <w:rPr>
                <w:rFonts w:cs="Calibri"/>
                <w:b/>
                <w:color w:val="FF0000"/>
                <w:szCs w:val="18"/>
                <w:lang w:val="en-GB"/>
              </w:rPr>
            </w:pPr>
          </w:p>
        </w:tc>
      </w:tr>
      <w:tr w:rsidR="00311514" w:rsidRPr="00AE0617" w14:paraId="3D571237" w14:textId="30FF7C18" w:rsidTr="00311514">
        <w:tc>
          <w:tcPr>
            <w:tcW w:w="2696" w:type="pct"/>
          </w:tcPr>
          <w:p w14:paraId="650058AB" w14:textId="77777777" w:rsidR="00A34036" w:rsidRPr="007D2FC4" w:rsidRDefault="00A34036" w:rsidP="00A34036">
            <w:pPr>
              <w:pStyle w:val="Heading2"/>
              <w:keepNext w:val="0"/>
              <w:numPr>
                <w:ilvl w:val="0"/>
                <w:numId w:val="9"/>
              </w:numPr>
              <w:spacing w:before="0"/>
              <w:jc w:val="both"/>
              <w:rPr>
                <w:rFonts w:asciiTheme="minorHAnsi" w:hAnsiTheme="minorHAnsi" w:cstheme="minorHAnsi"/>
                <w:color w:val="auto"/>
                <w:sz w:val="18"/>
                <w:szCs w:val="18"/>
              </w:rPr>
            </w:pPr>
            <w:r w:rsidRPr="007D2FC4">
              <w:rPr>
                <w:rFonts w:asciiTheme="minorHAnsi" w:hAnsiTheme="minorHAnsi" w:cstheme="minorHAnsi"/>
                <w:color w:val="auto"/>
                <w:sz w:val="18"/>
                <w:szCs w:val="18"/>
              </w:rPr>
              <w:t>the status of international covenants, protocols and treaties in protecting human rights in Australia</w:t>
            </w:r>
          </w:p>
        </w:tc>
        <w:tc>
          <w:tcPr>
            <w:tcW w:w="430" w:type="pct"/>
            <w:shd w:val="clear" w:color="auto" w:fill="D9D9D9" w:themeFill="background1" w:themeFillShade="D9"/>
            <w:vAlign w:val="center"/>
          </w:tcPr>
          <w:p w14:paraId="59567F4C" w14:textId="77777777" w:rsidR="00A34036" w:rsidRPr="00ED7EF5" w:rsidRDefault="00A34036" w:rsidP="00A34036">
            <w:pPr>
              <w:jc w:val="center"/>
              <w:rPr>
                <w:rFonts w:cs="Calibri"/>
                <w:b/>
                <w:szCs w:val="18"/>
                <w:lang w:val="en-GB"/>
              </w:rPr>
            </w:pPr>
          </w:p>
        </w:tc>
        <w:tc>
          <w:tcPr>
            <w:tcW w:w="433" w:type="pct"/>
            <w:shd w:val="clear" w:color="auto" w:fill="auto"/>
            <w:vAlign w:val="center"/>
          </w:tcPr>
          <w:p w14:paraId="665E6504" w14:textId="77777777" w:rsidR="00A34036" w:rsidRPr="00ED7EF5" w:rsidRDefault="00A34036" w:rsidP="00A34036">
            <w:pPr>
              <w:jc w:val="center"/>
              <w:rPr>
                <w:rFonts w:cs="Calibri"/>
                <w:b/>
                <w:szCs w:val="18"/>
                <w:lang w:val="en-GB"/>
              </w:rPr>
            </w:pPr>
            <w:r w:rsidRPr="00ED7EF5">
              <w:rPr>
                <w:rFonts w:cs="Calibri"/>
                <w:b/>
                <w:szCs w:val="18"/>
                <w:lang w:val="en-GB"/>
              </w:rPr>
              <w:t>10</w:t>
            </w:r>
          </w:p>
        </w:tc>
        <w:tc>
          <w:tcPr>
            <w:tcW w:w="443" w:type="pct"/>
            <w:shd w:val="clear" w:color="auto" w:fill="D9D9D9" w:themeFill="background1" w:themeFillShade="D9"/>
            <w:vAlign w:val="center"/>
          </w:tcPr>
          <w:p w14:paraId="4E56458F" w14:textId="77777777" w:rsidR="00A34036" w:rsidRPr="00ED7EF5" w:rsidRDefault="00A34036" w:rsidP="00A34036">
            <w:pPr>
              <w:jc w:val="center"/>
              <w:rPr>
                <w:rFonts w:cs="Calibri"/>
                <w:b/>
                <w:szCs w:val="18"/>
                <w:lang w:val="en-GB"/>
              </w:rPr>
            </w:pPr>
          </w:p>
        </w:tc>
        <w:tc>
          <w:tcPr>
            <w:tcW w:w="430" w:type="pct"/>
            <w:shd w:val="clear" w:color="auto" w:fill="D9D9D9" w:themeFill="background1" w:themeFillShade="D9"/>
            <w:vAlign w:val="center"/>
          </w:tcPr>
          <w:p w14:paraId="5EB7697F" w14:textId="77777777" w:rsidR="00A34036" w:rsidRPr="00ED7EF5" w:rsidRDefault="00A34036" w:rsidP="00A34036">
            <w:pPr>
              <w:jc w:val="center"/>
              <w:rPr>
                <w:rFonts w:cs="Calibri"/>
                <w:b/>
                <w:szCs w:val="18"/>
                <w:lang w:val="en-GB"/>
              </w:rPr>
            </w:pPr>
          </w:p>
        </w:tc>
        <w:tc>
          <w:tcPr>
            <w:tcW w:w="570" w:type="pct"/>
            <w:shd w:val="clear" w:color="auto" w:fill="D9D9D9" w:themeFill="background1" w:themeFillShade="D9"/>
          </w:tcPr>
          <w:p w14:paraId="544879FC" w14:textId="1E2F2EE8" w:rsidR="00A34036" w:rsidRPr="00311514" w:rsidRDefault="00311514" w:rsidP="00A34036">
            <w:pPr>
              <w:jc w:val="center"/>
              <w:rPr>
                <w:rFonts w:cs="Calibri"/>
                <w:b/>
                <w:color w:val="FF0000"/>
                <w:szCs w:val="18"/>
                <w:lang w:val="en-GB"/>
              </w:rPr>
            </w:pPr>
            <w:r>
              <w:rPr>
                <w:rFonts w:cs="Calibri"/>
                <w:b/>
                <w:color w:val="FF0000"/>
                <w:szCs w:val="18"/>
                <w:lang w:val="en-GB"/>
              </w:rPr>
              <w:t xml:space="preserve">3a b c </w:t>
            </w:r>
          </w:p>
        </w:tc>
      </w:tr>
      <w:tr w:rsidR="00311514" w:rsidRPr="00AE0617" w14:paraId="5301E2F2" w14:textId="7B7CAD82" w:rsidTr="00311514">
        <w:trPr>
          <w:trHeight w:val="1587"/>
        </w:trPr>
        <w:tc>
          <w:tcPr>
            <w:tcW w:w="2696" w:type="pct"/>
          </w:tcPr>
          <w:p w14:paraId="5062A318" w14:textId="77777777" w:rsidR="00A34036" w:rsidRPr="00C4706C" w:rsidRDefault="00A34036" w:rsidP="00A34036">
            <w:pPr>
              <w:pStyle w:val="ListItem"/>
              <w:spacing w:before="0" w:after="0" w:line="240" w:lineRule="auto"/>
              <w:rPr>
                <w:sz w:val="18"/>
                <w:szCs w:val="18"/>
              </w:rPr>
            </w:pPr>
            <w:r w:rsidRPr="00C4706C">
              <w:rPr>
                <w:sz w:val="18"/>
                <w:szCs w:val="18"/>
              </w:rPr>
              <w:lastRenderedPageBreak/>
              <w:t>the ways in which Australia and one other country can both uphold and/or undermine democratic principles, with reference to</w:t>
            </w:r>
          </w:p>
          <w:p w14:paraId="7317A4C2" w14:textId="77777777" w:rsidR="00A34036" w:rsidRPr="00C4706C" w:rsidRDefault="00A34036" w:rsidP="00A34036">
            <w:pPr>
              <w:pStyle w:val="ListBullet"/>
              <w:numPr>
                <w:ilvl w:val="0"/>
                <w:numId w:val="3"/>
              </w:numPr>
              <w:tabs>
                <w:tab w:val="num" w:pos="709"/>
              </w:tabs>
              <w:spacing w:line="240" w:lineRule="auto"/>
              <w:ind w:left="851" w:hanging="425"/>
              <w:rPr>
                <w:sz w:val="18"/>
                <w:szCs w:val="18"/>
              </w:rPr>
            </w:pPr>
            <w:r w:rsidRPr="00C4706C">
              <w:rPr>
                <w:sz w:val="18"/>
                <w:szCs w:val="18"/>
              </w:rPr>
              <w:t>political representation</w:t>
            </w:r>
          </w:p>
          <w:p w14:paraId="6D18ACE5" w14:textId="77777777" w:rsidR="00A34036" w:rsidRPr="00C4706C" w:rsidRDefault="00A34036" w:rsidP="00A34036">
            <w:pPr>
              <w:pStyle w:val="ListBullet"/>
              <w:numPr>
                <w:ilvl w:val="0"/>
                <w:numId w:val="3"/>
              </w:numPr>
              <w:tabs>
                <w:tab w:val="num" w:pos="709"/>
              </w:tabs>
              <w:spacing w:line="240" w:lineRule="auto"/>
              <w:ind w:left="851" w:hanging="425"/>
              <w:rPr>
                <w:sz w:val="18"/>
                <w:szCs w:val="18"/>
              </w:rPr>
            </w:pPr>
            <w:r w:rsidRPr="00C4706C">
              <w:rPr>
                <w:sz w:val="18"/>
                <w:szCs w:val="18"/>
              </w:rPr>
              <w:t xml:space="preserve">popular participation </w:t>
            </w:r>
          </w:p>
          <w:p w14:paraId="66ADC84C" w14:textId="77777777" w:rsidR="00A34036" w:rsidRPr="00C4706C" w:rsidRDefault="00A34036" w:rsidP="00A34036">
            <w:pPr>
              <w:pStyle w:val="ListBullet"/>
              <w:numPr>
                <w:ilvl w:val="0"/>
                <w:numId w:val="3"/>
              </w:numPr>
              <w:tabs>
                <w:tab w:val="num" w:pos="709"/>
              </w:tabs>
              <w:spacing w:line="240" w:lineRule="auto"/>
              <w:ind w:left="851" w:hanging="425"/>
              <w:rPr>
                <w:sz w:val="18"/>
                <w:szCs w:val="18"/>
              </w:rPr>
            </w:pPr>
            <w:r w:rsidRPr="00C4706C">
              <w:rPr>
                <w:sz w:val="18"/>
                <w:szCs w:val="18"/>
              </w:rPr>
              <w:t xml:space="preserve">the rule of law </w:t>
            </w:r>
          </w:p>
          <w:p w14:paraId="33E9F63C" w14:textId="77777777" w:rsidR="00A34036" w:rsidRDefault="00A34036" w:rsidP="00A34036">
            <w:pPr>
              <w:pStyle w:val="ListBullet"/>
              <w:numPr>
                <w:ilvl w:val="0"/>
                <w:numId w:val="3"/>
              </w:numPr>
              <w:tabs>
                <w:tab w:val="num" w:pos="709"/>
              </w:tabs>
              <w:spacing w:line="240" w:lineRule="auto"/>
              <w:ind w:left="851" w:hanging="425"/>
              <w:rPr>
                <w:sz w:val="18"/>
                <w:szCs w:val="18"/>
              </w:rPr>
            </w:pPr>
            <w:r w:rsidRPr="00C4706C">
              <w:rPr>
                <w:sz w:val="18"/>
                <w:szCs w:val="18"/>
              </w:rPr>
              <w:t>judicial independence</w:t>
            </w:r>
          </w:p>
          <w:p w14:paraId="3198217B" w14:textId="77777777" w:rsidR="00A34036" w:rsidRPr="00C4706C" w:rsidRDefault="00A34036" w:rsidP="00A34036">
            <w:pPr>
              <w:pStyle w:val="ListBullet"/>
              <w:numPr>
                <w:ilvl w:val="0"/>
                <w:numId w:val="3"/>
              </w:numPr>
              <w:tabs>
                <w:tab w:val="num" w:pos="709"/>
              </w:tabs>
              <w:spacing w:after="0" w:line="240" w:lineRule="auto"/>
              <w:ind w:left="851" w:hanging="425"/>
              <w:rPr>
                <w:sz w:val="18"/>
                <w:szCs w:val="18"/>
              </w:rPr>
            </w:pPr>
            <w:r w:rsidRPr="00C4706C">
              <w:rPr>
                <w:sz w:val="18"/>
                <w:szCs w:val="18"/>
              </w:rPr>
              <w:t>natural justice</w:t>
            </w:r>
          </w:p>
        </w:tc>
        <w:tc>
          <w:tcPr>
            <w:tcW w:w="430" w:type="pct"/>
            <w:shd w:val="clear" w:color="auto" w:fill="auto"/>
            <w:vAlign w:val="center"/>
          </w:tcPr>
          <w:p w14:paraId="344942AD" w14:textId="77777777" w:rsidR="00A34036" w:rsidRPr="00ED7EF5" w:rsidRDefault="00A34036" w:rsidP="00A34036">
            <w:pPr>
              <w:jc w:val="center"/>
              <w:rPr>
                <w:rFonts w:cs="Calibri"/>
                <w:b/>
                <w:szCs w:val="18"/>
                <w:lang w:val="en-GB"/>
              </w:rPr>
            </w:pPr>
            <w:r w:rsidRPr="00ED7EF5">
              <w:rPr>
                <w:rFonts w:cs="Calibri"/>
                <w:b/>
                <w:szCs w:val="18"/>
                <w:lang w:val="en-GB"/>
              </w:rPr>
              <w:t>10</w:t>
            </w:r>
          </w:p>
        </w:tc>
        <w:tc>
          <w:tcPr>
            <w:tcW w:w="433" w:type="pct"/>
            <w:shd w:val="clear" w:color="auto" w:fill="auto"/>
            <w:vAlign w:val="center"/>
          </w:tcPr>
          <w:p w14:paraId="798FBC43" w14:textId="77777777" w:rsidR="00A34036" w:rsidRPr="00ED7EF5" w:rsidRDefault="00A34036" w:rsidP="00A34036">
            <w:pPr>
              <w:jc w:val="center"/>
              <w:rPr>
                <w:rFonts w:cs="Calibri"/>
                <w:b/>
                <w:szCs w:val="18"/>
                <w:lang w:val="en-GB"/>
              </w:rPr>
            </w:pPr>
          </w:p>
        </w:tc>
        <w:tc>
          <w:tcPr>
            <w:tcW w:w="443" w:type="pct"/>
            <w:shd w:val="clear" w:color="auto" w:fill="auto"/>
            <w:vAlign w:val="center"/>
          </w:tcPr>
          <w:p w14:paraId="1A36593E" w14:textId="77777777" w:rsidR="00A34036" w:rsidRPr="00ED7EF5" w:rsidRDefault="00A34036" w:rsidP="00A34036">
            <w:pPr>
              <w:jc w:val="center"/>
              <w:rPr>
                <w:rFonts w:cs="Calibri"/>
                <w:b/>
                <w:szCs w:val="18"/>
                <w:lang w:val="en-GB"/>
              </w:rPr>
            </w:pPr>
            <w:r w:rsidRPr="00ED7EF5">
              <w:rPr>
                <w:rFonts w:cs="Calibri"/>
                <w:b/>
                <w:szCs w:val="18"/>
                <w:lang w:val="en-GB"/>
              </w:rPr>
              <w:t>10</w:t>
            </w:r>
          </w:p>
        </w:tc>
        <w:tc>
          <w:tcPr>
            <w:tcW w:w="430" w:type="pct"/>
            <w:vAlign w:val="center"/>
          </w:tcPr>
          <w:p w14:paraId="320A5F97" w14:textId="77777777" w:rsidR="00A34036" w:rsidRPr="00ED7EF5" w:rsidRDefault="00A34036" w:rsidP="00A34036">
            <w:pPr>
              <w:jc w:val="center"/>
              <w:rPr>
                <w:rFonts w:cs="Calibri"/>
                <w:b/>
                <w:szCs w:val="18"/>
                <w:lang w:val="en-GB"/>
              </w:rPr>
            </w:pPr>
            <w:r>
              <w:rPr>
                <w:rFonts w:cs="Calibri"/>
                <w:b/>
                <w:szCs w:val="18"/>
                <w:lang w:val="en-GB"/>
              </w:rPr>
              <w:t>3 a b c</w:t>
            </w:r>
          </w:p>
        </w:tc>
        <w:tc>
          <w:tcPr>
            <w:tcW w:w="570" w:type="pct"/>
          </w:tcPr>
          <w:p w14:paraId="791942D1" w14:textId="77777777" w:rsidR="00A34036" w:rsidRPr="00311514" w:rsidRDefault="00A34036" w:rsidP="00A34036">
            <w:pPr>
              <w:jc w:val="center"/>
              <w:rPr>
                <w:rFonts w:cs="Calibri"/>
                <w:b/>
                <w:color w:val="FF0000"/>
                <w:szCs w:val="18"/>
                <w:lang w:val="en-GB"/>
              </w:rPr>
            </w:pPr>
          </w:p>
        </w:tc>
      </w:tr>
      <w:tr w:rsidR="00311514" w:rsidRPr="005E40A7" w14:paraId="54F5E160" w14:textId="59255006" w:rsidTr="00311514">
        <w:trPr>
          <w:trHeight w:val="477"/>
        </w:trPr>
        <w:tc>
          <w:tcPr>
            <w:tcW w:w="2696" w:type="pct"/>
            <w:tcBorders>
              <w:right w:val="nil"/>
            </w:tcBorders>
            <w:vAlign w:val="center"/>
          </w:tcPr>
          <w:p w14:paraId="0A6C3582" w14:textId="77777777" w:rsidR="00A34036" w:rsidRPr="005E40A7" w:rsidRDefault="00A34036" w:rsidP="00A34036">
            <w:pPr>
              <w:rPr>
                <w:rFonts w:cs="Calibri"/>
                <w:szCs w:val="18"/>
                <w:lang w:val="en-GB"/>
              </w:rPr>
            </w:pPr>
            <w:r>
              <w:rPr>
                <w:rFonts w:cs="Calibri"/>
                <w:b/>
                <w:szCs w:val="18"/>
                <w:lang w:val="en-GB"/>
              </w:rPr>
              <w:t>Political and legal issues</w:t>
            </w:r>
          </w:p>
        </w:tc>
        <w:tc>
          <w:tcPr>
            <w:tcW w:w="430" w:type="pct"/>
            <w:tcBorders>
              <w:left w:val="nil"/>
              <w:right w:val="nil"/>
            </w:tcBorders>
            <w:vAlign w:val="center"/>
          </w:tcPr>
          <w:p w14:paraId="744D7CA9" w14:textId="77777777" w:rsidR="00A34036" w:rsidRPr="00ED7EF5" w:rsidRDefault="00A34036" w:rsidP="00A34036">
            <w:pPr>
              <w:jc w:val="center"/>
              <w:rPr>
                <w:rFonts w:cs="Calibri"/>
                <w:szCs w:val="18"/>
                <w:lang w:val="en-GB"/>
              </w:rPr>
            </w:pPr>
          </w:p>
        </w:tc>
        <w:tc>
          <w:tcPr>
            <w:tcW w:w="433" w:type="pct"/>
            <w:tcBorders>
              <w:left w:val="nil"/>
              <w:right w:val="nil"/>
            </w:tcBorders>
            <w:vAlign w:val="center"/>
          </w:tcPr>
          <w:p w14:paraId="5BB467B0" w14:textId="77777777" w:rsidR="00A34036" w:rsidRPr="00ED7EF5" w:rsidRDefault="00A34036" w:rsidP="00A34036">
            <w:pPr>
              <w:contextualSpacing/>
              <w:jc w:val="center"/>
              <w:rPr>
                <w:rFonts w:cs="Calibri"/>
                <w:szCs w:val="18"/>
                <w:lang w:val="en-GB"/>
              </w:rPr>
            </w:pPr>
          </w:p>
        </w:tc>
        <w:tc>
          <w:tcPr>
            <w:tcW w:w="443" w:type="pct"/>
            <w:tcBorders>
              <w:left w:val="nil"/>
              <w:right w:val="nil"/>
            </w:tcBorders>
            <w:vAlign w:val="center"/>
          </w:tcPr>
          <w:p w14:paraId="32FAB45D" w14:textId="77777777" w:rsidR="00A34036" w:rsidRPr="00ED7EF5" w:rsidRDefault="00A34036" w:rsidP="00A34036">
            <w:pPr>
              <w:contextualSpacing/>
              <w:jc w:val="center"/>
              <w:rPr>
                <w:rFonts w:cs="Calibri"/>
                <w:szCs w:val="18"/>
                <w:lang w:val="en-GB"/>
              </w:rPr>
            </w:pPr>
          </w:p>
        </w:tc>
        <w:tc>
          <w:tcPr>
            <w:tcW w:w="430" w:type="pct"/>
            <w:tcBorders>
              <w:left w:val="nil"/>
              <w:right w:val="nil"/>
            </w:tcBorders>
            <w:vAlign w:val="center"/>
          </w:tcPr>
          <w:p w14:paraId="56E61D10" w14:textId="77777777" w:rsidR="00A34036" w:rsidRPr="00ED7EF5" w:rsidRDefault="00A34036" w:rsidP="00A34036">
            <w:pPr>
              <w:contextualSpacing/>
              <w:jc w:val="center"/>
              <w:rPr>
                <w:rFonts w:cs="Calibri"/>
                <w:szCs w:val="18"/>
                <w:lang w:val="en-GB"/>
              </w:rPr>
            </w:pPr>
          </w:p>
        </w:tc>
        <w:tc>
          <w:tcPr>
            <w:tcW w:w="570" w:type="pct"/>
            <w:tcBorders>
              <w:left w:val="nil"/>
              <w:right w:val="nil"/>
            </w:tcBorders>
          </w:tcPr>
          <w:p w14:paraId="077BD904" w14:textId="77777777" w:rsidR="00A34036" w:rsidRPr="00311514" w:rsidRDefault="00A34036" w:rsidP="00A34036">
            <w:pPr>
              <w:contextualSpacing/>
              <w:jc w:val="center"/>
              <w:rPr>
                <w:rFonts w:cs="Calibri"/>
                <w:color w:val="FF0000"/>
                <w:szCs w:val="18"/>
                <w:lang w:val="en-GB"/>
              </w:rPr>
            </w:pPr>
          </w:p>
        </w:tc>
      </w:tr>
      <w:tr w:rsidR="00311514" w:rsidRPr="00AE0617" w14:paraId="29B0138C" w14:textId="354111F8" w:rsidTr="00311514">
        <w:trPr>
          <w:trHeight w:val="515"/>
        </w:trPr>
        <w:tc>
          <w:tcPr>
            <w:tcW w:w="2696" w:type="pct"/>
          </w:tcPr>
          <w:p w14:paraId="77D415A9" w14:textId="77777777" w:rsidR="00A34036" w:rsidRPr="007D2FC4" w:rsidRDefault="00A34036" w:rsidP="00A34036">
            <w:pPr>
              <w:pStyle w:val="Heading2"/>
              <w:keepNext w:val="0"/>
              <w:numPr>
                <w:ilvl w:val="0"/>
                <w:numId w:val="10"/>
              </w:numPr>
              <w:spacing w:before="0"/>
              <w:jc w:val="both"/>
              <w:rPr>
                <w:rFonts w:asciiTheme="minorHAnsi" w:hAnsiTheme="minorHAnsi" w:cstheme="minorHAnsi"/>
                <w:color w:val="auto"/>
                <w:sz w:val="18"/>
                <w:szCs w:val="18"/>
                <w:lang w:val="en-US"/>
              </w:rPr>
            </w:pPr>
            <w:r w:rsidRPr="007D2FC4">
              <w:rPr>
                <w:rFonts w:asciiTheme="minorHAnsi" w:hAnsiTheme="minorHAnsi" w:cstheme="minorHAnsi"/>
                <w:color w:val="auto"/>
                <w:sz w:val="18"/>
                <w:szCs w:val="18"/>
              </w:rPr>
              <w:t>the changing experience of a particular group with respect to their political and legal rights in Australia.</w:t>
            </w:r>
          </w:p>
        </w:tc>
        <w:tc>
          <w:tcPr>
            <w:tcW w:w="430" w:type="pct"/>
            <w:shd w:val="clear" w:color="auto" w:fill="D9D9D9" w:themeFill="background1" w:themeFillShade="D9"/>
            <w:vAlign w:val="center"/>
          </w:tcPr>
          <w:p w14:paraId="1E4FE2EB" w14:textId="77777777" w:rsidR="00A34036" w:rsidRPr="00ED7EF5" w:rsidRDefault="00A34036" w:rsidP="00A34036">
            <w:pPr>
              <w:jc w:val="center"/>
              <w:rPr>
                <w:rFonts w:cs="Calibri"/>
                <w:b/>
                <w:szCs w:val="18"/>
                <w:lang w:val="en-GB"/>
              </w:rPr>
            </w:pPr>
          </w:p>
        </w:tc>
        <w:tc>
          <w:tcPr>
            <w:tcW w:w="433" w:type="pct"/>
            <w:vAlign w:val="center"/>
          </w:tcPr>
          <w:p w14:paraId="79C101D9" w14:textId="77777777" w:rsidR="00A34036" w:rsidRPr="00ED7EF5" w:rsidRDefault="00A34036" w:rsidP="00A34036">
            <w:pPr>
              <w:jc w:val="center"/>
              <w:rPr>
                <w:rFonts w:cs="Calibri"/>
                <w:b/>
                <w:szCs w:val="18"/>
                <w:lang w:val="en-GB"/>
              </w:rPr>
            </w:pPr>
            <w:r w:rsidRPr="00ED7EF5">
              <w:rPr>
                <w:rFonts w:cs="Calibri"/>
                <w:b/>
                <w:szCs w:val="18"/>
                <w:lang w:val="en-GB"/>
              </w:rPr>
              <w:t>9</w:t>
            </w:r>
          </w:p>
        </w:tc>
        <w:tc>
          <w:tcPr>
            <w:tcW w:w="443" w:type="pct"/>
            <w:vAlign w:val="center"/>
          </w:tcPr>
          <w:p w14:paraId="7C70CFAC" w14:textId="77777777" w:rsidR="00A34036" w:rsidRPr="00ED7EF5" w:rsidRDefault="00A34036" w:rsidP="00A34036">
            <w:pPr>
              <w:jc w:val="center"/>
              <w:rPr>
                <w:rFonts w:cs="Calibri"/>
                <w:b/>
                <w:szCs w:val="18"/>
                <w:lang w:val="en-GB"/>
              </w:rPr>
            </w:pPr>
            <w:r w:rsidRPr="00ED7EF5">
              <w:rPr>
                <w:rFonts w:cs="Calibri"/>
                <w:b/>
                <w:szCs w:val="18"/>
                <w:lang w:val="en-GB"/>
              </w:rPr>
              <w:t>4</w:t>
            </w:r>
            <w:r>
              <w:rPr>
                <w:rFonts w:cs="Calibri"/>
                <w:b/>
                <w:szCs w:val="18"/>
                <w:lang w:val="en-GB"/>
              </w:rPr>
              <w:t xml:space="preserve"> </w:t>
            </w:r>
            <w:r w:rsidRPr="00ED7EF5">
              <w:rPr>
                <w:rFonts w:cs="Calibri"/>
                <w:b/>
                <w:szCs w:val="18"/>
                <w:lang w:val="en-GB"/>
              </w:rPr>
              <w:t>c</w:t>
            </w:r>
          </w:p>
        </w:tc>
        <w:tc>
          <w:tcPr>
            <w:tcW w:w="430" w:type="pct"/>
            <w:shd w:val="clear" w:color="auto" w:fill="D9D9D9" w:themeFill="background1" w:themeFillShade="D9"/>
            <w:vAlign w:val="center"/>
          </w:tcPr>
          <w:p w14:paraId="0EDC04C8" w14:textId="77777777" w:rsidR="00A34036" w:rsidRPr="00ED7EF5" w:rsidRDefault="00A34036" w:rsidP="00A34036">
            <w:pPr>
              <w:jc w:val="center"/>
              <w:rPr>
                <w:rFonts w:cs="Calibri"/>
                <w:b/>
                <w:szCs w:val="18"/>
                <w:lang w:val="en-GB"/>
              </w:rPr>
            </w:pPr>
          </w:p>
        </w:tc>
        <w:tc>
          <w:tcPr>
            <w:tcW w:w="570" w:type="pct"/>
            <w:shd w:val="clear" w:color="auto" w:fill="D9D9D9" w:themeFill="background1" w:themeFillShade="D9"/>
          </w:tcPr>
          <w:p w14:paraId="1C5B34AF" w14:textId="40FDE25A" w:rsidR="00A34036" w:rsidRPr="00311514" w:rsidRDefault="00311514" w:rsidP="00A34036">
            <w:pPr>
              <w:jc w:val="center"/>
              <w:rPr>
                <w:rFonts w:cs="Calibri"/>
                <w:b/>
                <w:color w:val="FF0000"/>
                <w:szCs w:val="18"/>
                <w:lang w:val="en-GB"/>
              </w:rPr>
            </w:pPr>
            <w:r>
              <w:rPr>
                <w:rFonts w:cs="Calibri"/>
                <w:b/>
                <w:color w:val="FF0000"/>
                <w:szCs w:val="18"/>
                <w:lang w:val="en-GB"/>
              </w:rPr>
              <w:t xml:space="preserve">4 a b c </w:t>
            </w:r>
          </w:p>
        </w:tc>
      </w:tr>
    </w:tbl>
    <w:p w14:paraId="62EA9FC0" w14:textId="77777777" w:rsidR="00E80363" w:rsidRPr="005E40A7" w:rsidRDefault="00E80363" w:rsidP="00E80363">
      <w:pPr>
        <w:rPr>
          <w:rFonts w:cs="Calibri"/>
          <w:szCs w:val="18"/>
          <w:lang w:val="en-GB"/>
        </w:rPr>
      </w:pPr>
      <w:r>
        <w:rPr>
          <w:rFonts w:cs="Calibri"/>
          <w:szCs w:val="18"/>
          <w:lang w:val="en-GB"/>
        </w:rPr>
        <w:br w:type="textWrapping" w:clear="all"/>
      </w:r>
    </w:p>
    <w:p w14:paraId="5DFF63F0" w14:textId="77777777" w:rsidR="00E80363" w:rsidRDefault="00E80363"/>
    <w:sectPr w:rsidR="00E80363" w:rsidSect="00A34036">
      <w:pgSz w:w="11906" w:h="16838"/>
      <w:pgMar w:top="1440" w:right="82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755D4"/>
    <w:multiLevelType w:val="hybridMultilevel"/>
    <w:tmpl w:val="F8B8625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9823DF2"/>
    <w:multiLevelType w:val="multilevel"/>
    <w:tmpl w:val="AD648950"/>
    <w:lvl w:ilvl="0">
      <w:start w:val="1"/>
      <w:numFmt w:val="bullet"/>
      <w:lvlText w:val="o"/>
      <w:lvlJc w:val="left"/>
      <w:pPr>
        <w:tabs>
          <w:tab w:val="num" w:pos="397"/>
        </w:tabs>
        <w:ind w:left="397" w:hanging="397"/>
      </w:pPr>
      <w:rPr>
        <w:rFonts w:ascii="Courier New" w:hAnsi="Courier New" w:hint="default"/>
        <w:sz w:val="16"/>
        <w:szCs w:val="16"/>
      </w:rPr>
    </w:lvl>
    <w:lvl w:ilvl="1">
      <w:start w:val="1"/>
      <w:numFmt w:val="bullet"/>
      <w:lvlText w:val="o"/>
      <w:lvlJc w:val="left"/>
      <w:pPr>
        <w:tabs>
          <w:tab w:val="num" w:pos="907"/>
        </w:tabs>
        <w:ind w:left="907" w:hanging="397"/>
      </w:pPr>
      <w:rPr>
        <w:rFonts w:ascii="Courier New" w:hAnsi="Courier New" w:hint="default"/>
      </w:rPr>
    </w:lvl>
    <w:lvl w:ilvl="2">
      <w:start w:val="1"/>
      <w:numFmt w:val="bullet"/>
      <w:lvlText w:val=""/>
      <w:lvlJc w:val="left"/>
      <w:pPr>
        <w:tabs>
          <w:tab w:val="num" w:pos="1418"/>
        </w:tabs>
        <w:ind w:left="1417" w:hanging="397"/>
      </w:pPr>
      <w:rPr>
        <w:rFonts w:ascii="Wingdings" w:hAnsi="Wingdings" w:hint="default"/>
      </w:rPr>
    </w:lvl>
    <w:lvl w:ilvl="3">
      <w:start w:val="1"/>
      <w:numFmt w:val="bullet"/>
      <w:lvlText w:val=""/>
      <w:lvlJc w:val="left"/>
      <w:pPr>
        <w:tabs>
          <w:tab w:val="num" w:pos="1928"/>
        </w:tabs>
        <w:ind w:left="1927" w:hanging="397"/>
      </w:pPr>
      <w:rPr>
        <w:rFonts w:ascii="Symbol" w:hAnsi="Symbol" w:hint="default"/>
      </w:rPr>
    </w:lvl>
    <w:lvl w:ilvl="4">
      <w:start w:val="1"/>
      <w:numFmt w:val="bullet"/>
      <w:lvlText w:val="o"/>
      <w:lvlJc w:val="left"/>
      <w:pPr>
        <w:tabs>
          <w:tab w:val="num" w:pos="2438"/>
        </w:tabs>
        <w:ind w:left="2437" w:hanging="397"/>
      </w:pPr>
      <w:rPr>
        <w:rFonts w:ascii="Courier New" w:hAnsi="Courier New" w:hint="default"/>
      </w:rPr>
    </w:lvl>
    <w:lvl w:ilvl="5">
      <w:start w:val="1"/>
      <w:numFmt w:val="bullet"/>
      <w:lvlText w:val=""/>
      <w:lvlJc w:val="left"/>
      <w:pPr>
        <w:tabs>
          <w:tab w:val="num" w:pos="2910"/>
        </w:tabs>
        <w:ind w:left="2947" w:hanging="397"/>
      </w:pPr>
      <w:rPr>
        <w:rFonts w:ascii="Wingdings" w:hAnsi="Wingdings" w:hint="default"/>
      </w:rPr>
    </w:lvl>
    <w:lvl w:ilvl="6">
      <w:start w:val="1"/>
      <w:numFmt w:val="bullet"/>
      <w:lvlText w:val=""/>
      <w:lvlJc w:val="left"/>
      <w:pPr>
        <w:tabs>
          <w:tab w:val="num" w:pos="3420"/>
        </w:tabs>
        <w:ind w:left="3457" w:hanging="397"/>
      </w:pPr>
      <w:rPr>
        <w:rFonts w:ascii="Symbol" w:hAnsi="Symbol" w:hint="default"/>
      </w:rPr>
    </w:lvl>
    <w:lvl w:ilvl="7">
      <w:start w:val="1"/>
      <w:numFmt w:val="bullet"/>
      <w:lvlText w:val="o"/>
      <w:lvlJc w:val="left"/>
      <w:pPr>
        <w:tabs>
          <w:tab w:val="num" w:pos="3930"/>
        </w:tabs>
        <w:ind w:left="3967" w:hanging="397"/>
      </w:pPr>
      <w:rPr>
        <w:rFonts w:ascii="Courier New" w:hAnsi="Courier New" w:cs="Courier New" w:hint="default"/>
      </w:rPr>
    </w:lvl>
    <w:lvl w:ilvl="8">
      <w:start w:val="1"/>
      <w:numFmt w:val="bullet"/>
      <w:lvlText w:val=""/>
      <w:lvlJc w:val="left"/>
      <w:pPr>
        <w:tabs>
          <w:tab w:val="num" w:pos="4440"/>
        </w:tabs>
        <w:ind w:left="4477" w:hanging="397"/>
      </w:pPr>
      <w:rPr>
        <w:rFonts w:ascii="Wingdings" w:hAnsi="Wingdings" w:hint="default"/>
      </w:rPr>
    </w:lvl>
  </w:abstractNum>
  <w:abstractNum w:abstractNumId="2" w15:restartNumberingAfterBreak="0">
    <w:nsid w:val="2C5C0CD7"/>
    <w:multiLevelType w:val="hybridMultilevel"/>
    <w:tmpl w:val="74A67D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4416FEF"/>
    <w:multiLevelType w:val="multilevel"/>
    <w:tmpl w:val="05780B1A"/>
    <w:styleLink w:val="ListBullets"/>
    <w:lvl w:ilvl="0">
      <w:start w:val="1"/>
      <w:numFmt w:val="bullet"/>
      <w:pStyle w:val="ListBullet"/>
      <w:lvlText w:val=""/>
      <w:lvlJc w:val="left"/>
      <w:pPr>
        <w:tabs>
          <w:tab w:val="num" w:pos="397"/>
        </w:tabs>
        <w:ind w:left="397" w:hanging="397"/>
      </w:pPr>
      <w:rPr>
        <w:rFonts w:ascii="Symbol" w:hAnsi="Symbol" w:hint="default"/>
      </w:rPr>
    </w:lvl>
    <w:lvl w:ilvl="1">
      <w:start w:val="1"/>
      <w:numFmt w:val="bullet"/>
      <w:pStyle w:val="ListBullet2"/>
      <w:lvlText w:val="o"/>
      <w:lvlJc w:val="left"/>
      <w:pPr>
        <w:tabs>
          <w:tab w:val="num" w:pos="907"/>
        </w:tabs>
        <w:ind w:left="907" w:hanging="397"/>
      </w:pPr>
      <w:rPr>
        <w:rFonts w:ascii="Courier New" w:hAnsi="Courier New" w:hint="default"/>
      </w:rPr>
    </w:lvl>
    <w:lvl w:ilvl="2">
      <w:start w:val="1"/>
      <w:numFmt w:val="bullet"/>
      <w:pStyle w:val="ListBullet3"/>
      <w:lvlText w:val=""/>
      <w:lvlJc w:val="left"/>
      <w:pPr>
        <w:tabs>
          <w:tab w:val="num" w:pos="1418"/>
        </w:tabs>
        <w:ind w:left="1417" w:hanging="397"/>
      </w:pPr>
      <w:rPr>
        <w:rFonts w:ascii="Wingdings" w:hAnsi="Wingdings" w:hint="default"/>
      </w:rPr>
    </w:lvl>
    <w:lvl w:ilvl="3">
      <w:start w:val="1"/>
      <w:numFmt w:val="bullet"/>
      <w:pStyle w:val="List4"/>
      <w:lvlText w:val=""/>
      <w:lvlJc w:val="left"/>
      <w:pPr>
        <w:tabs>
          <w:tab w:val="num" w:pos="1928"/>
        </w:tabs>
        <w:ind w:left="1927" w:hanging="397"/>
      </w:pPr>
      <w:rPr>
        <w:rFonts w:ascii="Symbol" w:hAnsi="Symbol" w:hint="default"/>
      </w:rPr>
    </w:lvl>
    <w:lvl w:ilvl="4">
      <w:start w:val="1"/>
      <w:numFmt w:val="bullet"/>
      <w:pStyle w:val="ListBullet5"/>
      <w:lvlText w:val="o"/>
      <w:lvlJc w:val="left"/>
      <w:pPr>
        <w:tabs>
          <w:tab w:val="num" w:pos="2438"/>
        </w:tabs>
        <w:ind w:left="2437" w:hanging="397"/>
      </w:pPr>
      <w:rPr>
        <w:rFonts w:ascii="Courier New" w:hAnsi="Courier New" w:hint="default"/>
      </w:rPr>
    </w:lvl>
    <w:lvl w:ilvl="5">
      <w:start w:val="1"/>
      <w:numFmt w:val="bullet"/>
      <w:lvlText w:val=""/>
      <w:lvlJc w:val="left"/>
      <w:pPr>
        <w:tabs>
          <w:tab w:val="num" w:pos="2910"/>
        </w:tabs>
        <w:ind w:left="2947" w:hanging="397"/>
      </w:pPr>
      <w:rPr>
        <w:rFonts w:ascii="Wingdings" w:hAnsi="Wingdings" w:hint="default"/>
      </w:rPr>
    </w:lvl>
    <w:lvl w:ilvl="6">
      <w:start w:val="1"/>
      <w:numFmt w:val="bullet"/>
      <w:lvlText w:val=""/>
      <w:lvlJc w:val="left"/>
      <w:pPr>
        <w:tabs>
          <w:tab w:val="num" w:pos="3420"/>
        </w:tabs>
        <w:ind w:left="3457" w:hanging="397"/>
      </w:pPr>
      <w:rPr>
        <w:rFonts w:ascii="Symbol" w:hAnsi="Symbol" w:hint="default"/>
      </w:rPr>
    </w:lvl>
    <w:lvl w:ilvl="7">
      <w:start w:val="1"/>
      <w:numFmt w:val="bullet"/>
      <w:lvlText w:val="o"/>
      <w:lvlJc w:val="left"/>
      <w:pPr>
        <w:tabs>
          <w:tab w:val="num" w:pos="3930"/>
        </w:tabs>
        <w:ind w:left="3967" w:hanging="397"/>
      </w:pPr>
      <w:rPr>
        <w:rFonts w:ascii="Courier New" w:hAnsi="Courier New" w:cs="Courier New" w:hint="default"/>
      </w:rPr>
    </w:lvl>
    <w:lvl w:ilvl="8">
      <w:start w:val="1"/>
      <w:numFmt w:val="bullet"/>
      <w:lvlText w:val=""/>
      <w:lvlJc w:val="left"/>
      <w:pPr>
        <w:tabs>
          <w:tab w:val="num" w:pos="4440"/>
        </w:tabs>
        <w:ind w:left="4477" w:hanging="397"/>
      </w:pPr>
      <w:rPr>
        <w:rFonts w:ascii="Wingdings" w:hAnsi="Wingdings" w:hint="default"/>
      </w:rPr>
    </w:lvl>
  </w:abstractNum>
  <w:abstractNum w:abstractNumId="4" w15:restartNumberingAfterBreak="0">
    <w:nsid w:val="47A83C2F"/>
    <w:multiLevelType w:val="hybridMultilevel"/>
    <w:tmpl w:val="41A48A4A"/>
    <w:lvl w:ilvl="0" w:tplc="37AE6A62">
      <w:start w:val="1"/>
      <w:numFmt w:val="bullet"/>
      <w:lvlText w:val=""/>
      <w:lvlJc w:val="left"/>
      <w:pPr>
        <w:ind w:left="720" w:hanging="360"/>
      </w:pPr>
      <w:rPr>
        <w:rFonts w:ascii="Wingdings" w:hAnsi="Wingdings"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892369"/>
    <w:multiLevelType w:val="multilevel"/>
    <w:tmpl w:val="8B5A69BC"/>
    <w:lvl w:ilvl="0">
      <w:start w:val="1"/>
      <w:numFmt w:val="bullet"/>
      <w:lvlText w:val=""/>
      <w:lvlJc w:val="left"/>
      <w:pPr>
        <w:tabs>
          <w:tab w:val="num" w:pos="397"/>
        </w:tabs>
        <w:ind w:left="397" w:hanging="397"/>
      </w:pPr>
      <w:rPr>
        <w:rFonts w:ascii="Wingdings" w:hAnsi="Wingdings" w:hint="default"/>
        <w:sz w:val="20"/>
        <w:szCs w:val="20"/>
      </w:rPr>
    </w:lvl>
    <w:lvl w:ilvl="1">
      <w:start w:val="1"/>
      <w:numFmt w:val="bullet"/>
      <w:lvlText w:val="o"/>
      <w:lvlJc w:val="left"/>
      <w:pPr>
        <w:tabs>
          <w:tab w:val="num" w:pos="907"/>
        </w:tabs>
        <w:ind w:left="907" w:hanging="397"/>
      </w:pPr>
      <w:rPr>
        <w:rFonts w:ascii="Courier New" w:hAnsi="Courier New" w:hint="default"/>
      </w:rPr>
    </w:lvl>
    <w:lvl w:ilvl="2">
      <w:start w:val="1"/>
      <w:numFmt w:val="bullet"/>
      <w:lvlText w:val=""/>
      <w:lvlJc w:val="left"/>
      <w:pPr>
        <w:tabs>
          <w:tab w:val="num" w:pos="1418"/>
        </w:tabs>
        <w:ind w:left="1417" w:hanging="397"/>
      </w:pPr>
      <w:rPr>
        <w:rFonts w:ascii="Wingdings" w:hAnsi="Wingdings" w:hint="default"/>
      </w:rPr>
    </w:lvl>
    <w:lvl w:ilvl="3">
      <w:start w:val="1"/>
      <w:numFmt w:val="bullet"/>
      <w:lvlText w:val=""/>
      <w:lvlJc w:val="left"/>
      <w:pPr>
        <w:tabs>
          <w:tab w:val="num" w:pos="1928"/>
        </w:tabs>
        <w:ind w:left="1927" w:hanging="397"/>
      </w:pPr>
      <w:rPr>
        <w:rFonts w:ascii="Symbol" w:hAnsi="Symbol" w:hint="default"/>
      </w:rPr>
    </w:lvl>
    <w:lvl w:ilvl="4">
      <w:start w:val="1"/>
      <w:numFmt w:val="bullet"/>
      <w:lvlText w:val="o"/>
      <w:lvlJc w:val="left"/>
      <w:pPr>
        <w:tabs>
          <w:tab w:val="num" w:pos="2438"/>
        </w:tabs>
        <w:ind w:left="2437" w:hanging="397"/>
      </w:pPr>
      <w:rPr>
        <w:rFonts w:ascii="Courier New" w:hAnsi="Courier New" w:hint="default"/>
      </w:rPr>
    </w:lvl>
    <w:lvl w:ilvl="5">
      <w:start w:val="1"/>
      <w:numFmt w:val="bullet"/>
      <w:lvlText w:val=""/>
      <w:lvlJc w:val="left"/>
      <w:pPr>
        <w:tabs>
          <w:tab w:val="num" w:pos="2910"/>
        </w:tabs>
        <w:ind w:left="2947" w:hanging="397"/>
      </w:pPr>
      <w:rPr>
        <w:rFonts w:ascii="Wingdings" w:hAnsi="Wingdings" w:hint="default"/>
      </w:rPr>
    </w:lvl>
    <w:lvl w:ilvl="6">
      <w:start w:val="1"/>
      <w:numFmt w:val="bullet"/>
      <w:lvlText w:val=""/>
      <w:lvlJc w:val="left"/>
      <w:pPr>
        <w:tabs>
          <w:tab w:val="num" w:pos="3420"/>
        </w:tabs>
        <w:ind w:left="3457" w:hanging="397"/>
      </w:pPr>
      <w:rPr>
        <w:rFonts w:ascii="Symbol" w:hAnsi="Symbol" w:hint="default"/>
      </w:rPr>
    </w:lvl>
    <w:lvl w:ilvl="7">
      <w:start w:val="1"/>
      <w:numFmt w:val="bullet"/>
      <w:lvlText w:val="o"/>
      <w:lvlJc w:val="left"/>
      <w:pPr>
        <w:tabs>
          <w:tab w:val="num" w:pos="3930"/>
        </w:tabs>
        <w:ind w:left="3967" w:hanging="397"/>
      </w:pPr>
      <w:rPr>
        <w:rFonts w:ascii="Courier New" w:hAnsi="Courier New" w:cs="Courier New" w:hint="default"/>
      </w:rPr>
    </w:lvl>
    <w:lvl w:ilvl="8">
      <w:start w:val="1"/>
      <w:numFmt w:val="bullet"/>
      <w:lvlText w:val=""/>
      <w:lvlJc w:val="left"/>
      <w:pPr>
        <w:tabs>
          <w:tab w:val="num" w:pos="4440"/>
        </w:tabs>
        <w:ind w:left="4477" w:hanging="397"/>
      </w:pPr>
      <w:rPr>
        <w:rFonts w:ascii="Wingdings" w:hAnsi="Wingdings" w:hint="default"/>
      </w:rPr>
    </w:lvl>
  </w:abstractNum>
  <w:abstractNum w:abstractNumId="6" w15:restartNumberingAfterBreak="0">
    <w:nsid w:val="5AD60451"/>
    <w:multiLevelType w:val="hybridMultilevel"/>
    <w:tmpl w:val="865AD01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6AC5445C"/>
    <w:multiLevelType w:val="hybridMultilevel"/>
    <w:tmpl w:val="81ECA3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6CBF2513"/>
    <w:multiLevelType w:val="hybridMultilevel"/>
    <w:tmpl w:val="6152F0FC"/>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75C259C2"/>
    <w:multiLevelType w:val="hybridMultilevel"/>
    <w:tmpl w:val="7C1A98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5"/>
  </w:num>
  <w:num w:numId="4">
    <w:abstractNumId w:val="1"/>
  </w:num>
  <w:num w:numId="5">
    <w:abstractNumId w:val="7"/>
  </w:num>
  <w:num w:numId="6">
    <w:abstractNumId w:val="6"/>
  </w:num>
  <w:num w:numId="7">
    <w:abstractNumId w:val="0"/>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63"/>
    <w:rsid w:val="000870F7"/>
    <w:rsid w:val="00311514"/>
    <w:rsid w:val="00787006"/>
    <w:rsid w:val="00A34036"/>
    <w:rsid w:val="00C0347D"/>
    <w:rsid w:val="00E26C95"/>
    <w:rsid w:val="00E80363"/>
    <w:rsid w:val="00ED1D07"/>
    <w:rsid w:val="00FF376D"/>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E276"/>
  <w15:chartTrackingRefBased/>
  <w15:docId w15:val="{0CA4A02D-27B5-4B62-AFE4-4AF0ED1F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363"/>
    <w:pPr>
      <w:spacing w:after="0" w:line="240" w:lineRule="auto"/>
    </w:pPr>
    <w:rPr>
      <w:rFonts w:eastAsiaTheme="minorEastAsia"/>
      <w:lang w:eastAsia="en-GB" w:bidi="ar-SA"/>
    </w:rPr>
  </w:style>
  <w:style w:type="paragraph" w:styleId="Heading1">
    <w:name w:val="heading 1"/>
    <w:basedOn w:val="Normal"/>
    <w:next w:val="Normal"/>
    <w:link w:val="Heading1Char"/>
    <w:uiPriority w:val="9"/>
    <w:qFormat/>
    <w:rsid w:val="00E8036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03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036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363"/>
    <w:rPr>
      <w:rFonts w:asciiTheme="majorHAnsi" w:eastAsiaTheme="majorEastAsia" w:hAnsiTheme="majorHAnsi" w:cstheme="majorBidi"/>
      <w:color w:val="2E74B5" w:themeColor="accent1" w:themeShade="BF"/>
      <w:sz w:val="32"/>
      <w:szCs w:val="32"/>
      <w:lang w:eastAsia="en-GB" w:bidi="ar-SA"/>
    </w:rPr>
  </w:style>
  <w:style w:type="character" w:customStyle="1" w:styleId="Heading2Char">
    <w:name w:val="Heading 2 Char"/>
    <w:basedOn w:val="DefaultParagraphFont"/>
    <w:link w:val="Heading2"/>
    <w:uiPriority w:val="9"/>
    <w:rsid w:val="00E80363"/>
    <w:rPr>
      <w:rFonts w:asciiTheme="majorHAnsi" w:eastAsiaTheme="majorEastAsia" w:hAnsiTheme="majorHAnsi" w:cstheme="majorBidi"/>
      <w:color w:val="2E74B5" w:themeColor="accent1" w:themeShade="BF"/>
      <w:sz w:val="26"/>
      <w:szCs w:val="26"/>
      <w:lang w:eastAsia="en-GB" w:bidi="ar-SA"/>
    </w:rPr>
  </w:style>
  <w:style w:type="character" w:customStyle="1" w:styleId="Heading3Char">
    <w:name w:val="Heading 3 Char"/>
    <w:basedOn w:val="DefaultParagraphFont"/>
    <w:link w:val="Heading3"/>
    <w:uiPriority w:val="9"/>
    <w:rsid w:val="00E80363"/>
    <w:rPr>
      <w:rFonts w:asciiTheme="majorHAnsi" w:eastAsiaTheme="majorEastAsia" w:hAnsiTheme="majorHAnsi" w:cstheme="majorBidi"/>
      <w:color w:val="1F4D78" w:themeColor="accent1" w:themeShade="7F"/>
      <w:sz w:val="24"/>
      <w:szCs w:val="24"/>
      <w:lang w:eastAsia="en-GB" w:bidi="ar-SA"/>
    </w:rPr>
  </w:style>
  <w:style w:type="paragraph" w:styleId="ListParagraph">
    <w:name w:val="List Paragraph"/>
    <w:basedOn w:val="Normal"/>
    <w:uiPriority w:val="34"/>
    <w:qFormat/>
    <w:rsid w:val="00E80363"/>
    <w:pPr>
      <w:ind w:left="720"/>
      <w:contextualSpacing/>
    </w:pPr>
  </w:style>
  <w:style w:type="paragraph" w:styleId="ListBullet">
    <w:name w:val="List Bullet"/>
    <w:basedOn w:val="Normal"/>
    <w:uiPriority w:val="99"/>
    <w:unhideWhenUsed/>
    <w:qFormat/>
    <w:rsid w:val="00E80363"/>
    <w:pPr>
      <w:numPr>
        <w:numId w:val="1"/>
      </w:numPr>
      <w:spacing w:after="120" w:line="264" w:lineRule="auto"/>
      <w:contextualSpacing/>
    </w:pPr>
    <w:rPr>
      <w:rFonts w:ascii="Calibri" w:hAnsi="Calibri"/>
      <w:lang w:eastAsia="en-US"/>
    </w:rPr>
  </w:style>
  <w:style w:type="paragraph" w:styleId="ListBullet2">
    <w:name w:val="List Bullet 2"/>
    <w:basedOn w:val="Normal"/>
    <w:uiPriority w:val="99"/>
    <w:unhideWhenUsed/>
    <w:rsid w:val="00E80363"/>
    <w:pPr>
      <w:numPr>
        <w:ilvl w:val="1"/>
        <w:numId w:val="1"/>
      </w:numPr>
      <w:spacing w:after="120" w:line="264" w:lineRule="auto"/>
      <w:contextualSpacing/>
    </w:pPr>
    <w:rPr>
      <w:rFonts w:ascii="Calibri" w:hAnsi="Calibri"/>
      <w:lang w:eastAsia="en-US"/>
    </w:rPr>
  </w:style>
  <w:style w:type="numbering" w:customStyle="1" w:styleId="ListBullets">
    <w:name w:val="ListBullets"/>
    <w:uiPriority w:val="99"/>
    <w:rsid w:val="00E80363"/>
    <w:pPr>
      <w:numPr>
        <w:numId w:val="1"/>
      </w:numPr>
    </w:pPr>
  </w:style>
  <w:style w:type="paragraph" w:styleId="ListBullet3">
    <w:name w:val="List Bullet 3"/>
    <w:basedOn w:val="Normal"/>
    <w:uiPriority w:val="99"/>
    <w:semiHidden/>
    <w:unhideWhenUsed/>
    <w:rsid w:val="00E80363"/>
    <w:pPr>
      <w:numPr>
        <w:ilvl w:val="2"/>
        <w:numId w:val="1"/>
      </w:numPr>
      <w:spacing w:after="120" w:line="264" w:lineRule="auto"/>
      <w:contextualSpacing/>
    </w:pPr>
    <w:rPr>
      <w:rFonts w:ascii="Calibri" w:hAnsi="Calibri"/>
      <w:lang w:eastAsia="en-US"/>
    </w:rPr>
  </w:style>
  <w:style w:type="paragraph" w:styleId="List4">
    <w:name w:val="List 4"/>
    <w:basedOn w:val="Normal"/>
    <w:uiPriority w:val="99"/>
    <w:semiHidden/>
    <w:unhideWhenUsed/>
    <w:rsid w:val="00E80363"/>
    <w:pPr>
      <w:numPr>
        <w:ilvl w:val="3"/>
        <w:numId w:val="1"/>
      </w:numPr>
      <w:spacing w:after="120" w:line="264" w:lineRule="auto"/>
      <w:contextualSpacing/>
    </w:pPr>
    <w:rPr>
      <w:rFonts w:ascii="Calibri" w:hAnsi="Calibri"/>
      <w:lang w:eastAsia="en-US"/>
    </w:rPr>
  </w:style>
  <w:style w:type="paragraph" w:styleId="ListBullet5">
    <w:name w:val="List Bullet 5"/>
    <w:basedOn w:val="Normal"/>
    <w:uiPriority w:val="99"/>
    <w:semiHidden/>
    <w:unhideWhenUsed/>
    <w:rsid w:val="00E80363"/>
    <w:pPr>
      <w:numPr>
        <w:ilvl w:val="4"/>
        <w:numId w:val="1"/>
      </w:numPr>
      <w:spacing w:after="120" w:line="264" w:lineRule="auto"/>
      <w:contextualSpacing/>
    </w:pPr>
    <w:rPr>
      <w:rFonts w:ascii="Calibri" w:hAnsi="Calibri"/>
      <w:lang w:eastAsia="en-US"/>
    </w:rPr>
  </w:style>
  <w:style w:type="paragraph" w:customStyle="1" w:styleId="Paragraph">
    <w:name w:val="Paragraph"/>
    <w:basedOn w:val="Normal"/>
    <w:link w:val="ParagraphChar"/>
    <w:qFormat/>
    <w:rsid w:val="00E80363"/>
    <w:pPr>
      <w:spacing w:before="120" w:after="120" w:line="276" w:lineRule="auto"/>
    </w:pPr>
    <w:rPr>
      <w:rFonts w:ascii="Calibri" w:eastAsiaTheme="minorHAnsi" w:hAnsi="Calibri" w:cs="Calibri"/>
      <w:lang w:eastAsia="en-AU"/>
    </w:rPr>
  </w:style>
  <w:style w:type="character" w:customStyle="1" w:styleId="ParagraphChar">
    <w:name w:val="Paragraph Char"/>
    <w:basedOn w:val="DefaultParagraphFont"/>
    <w:link w:val="Paragraph"/>
    <w:locked/>
    <w:rsid w:val="00E80363"/>
    <w:rPr>
      <w:rFonts w:ascii="Calibri" w:hAnsi="Calibri" w:cs="Calibri"/>
      <w:lang w:eastAsia="en-AU" w:bidi="ar-SA"/>
    </w:rPr>
  </w:style>
  <w:style w:type="paragraph" w:customStyle="1" w:styleId="ListItem">
    <w:name w:val="List Item"/>
    <w:basedOn w:val="Paragraph"/>
    <w:link w:val="ListItemChar"/>
    <w:qFormat/>
    <w:rsid w:val="00E80363"/>
    <w:pPr>
      <w:numPr>
        <w:numId w:val="2"/>
      </w:numPr>
    </w:pPr>
    <w:rPr>
      <w:iCs/>
    </w:rPr>
  </w:style>
  <w:style w:type="character" w:customStyle="1" w:styleId="ListItemChar">
    <w:name w:val="List Item Char"/>
    <w:basedOn w:val="DefaultParagraphFont"/>
    <w:link w:val="ListItem"/>
    <w:rsid w:val="00E80363"/>
    <w:rPr>
      <w:rFonts w:ascii="Calibri" w:hAnsi="Calibri" w:cs="Calibri"/>
      <w:iCs/>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Carmel School</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Cherie</dc:creator>
  <cp:keywords/>
  <dc:description/>
  <cp:lastModifiedBy>RUSSELL Cherie</cp:lastModifiedBy>
  <cp:revision>2</cp:revision>
  <dcterms:created xsi:type="dcterms:W3CDTF">2019-05-02T07:54:00Z</dcterms:created>
  <dcterms:modified xsi:type="dcterms:W3CDTF">2019-05-02T07:54:00Z</dcterms:modified>
</cp:coreProperties>
</file>