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Aptos"/>
          <w:b/>
          <w:color w:val="234E7A"/>
          <w:sz w:val="20"/>
        </w:rPr>
        <w:t>PLAN PROFESSIONNEL DU MÉMOIRE</w:t>
      </w:r>
    </w:p>
    <w:p>
      <w:pPr>
        <w:pStyle w:val="CustomTitle"/>
        <w:jc w:val="center"/>
      </w:pPr>
      <w:r>
        <w:rPr>
          <w:rFonts w:ascii="Aptos Display" w:hAnsi="Aptos Display" w:eastAsia="Aptos Display"/>
          <w:b/>
          <w:color w:val="123456"/>
          <w:sz w:val="48"/>
        </w:rPr>
        <w:t>La sécurité du Cloud Computing</w:t>
      </w:r>
    </w:p>
    <w:p>
      <w:pPr>
        <w:pStyle w:val="CustomSubtitle"/>
        <w:jc w:val="center"/>
      </w:pPr>
      <w:r>
        <w:rPr>
          <w:rFonts w:ascii="Aptos" w:hAnsi="Aptos" w:eastAsia="Aptos"/>
          <w:color w:val="5A626C"/>
          <w:sz w:val="24"/>
        </w:rPr>
        <w:t>Enjeux, menaces, conformité et bonnes pratiques dans les environnements numériques modernes</w:t>
      </w:r>
    </w:p>
    <w:p>
      <w:pPr>
        <w:jc w:val="center"/>
        <w:pBdr>
          <w:bottom w:val="single" w:sz="6" w:space="1" w:color="234E7A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vAlign w:val="center"/>
            <w:shd w:fill="EAF1F8"/>
          </w:tcPr>
          <w:p>
            <w:pPr>
              <w:spacing w:after="0" w:before="0" w:line="264" w:lineRule="auto"/>
              <w:jc w:val="left"/>
            </w:pPr>
            <w:r>
              <w:rPr>
                <w:rFonts w:ascii="Aptos" w:hAnsi="Aptos" w:eastAsia="Aptos"/>
                <w:b/>
                <w:color w:val="123456"/>
                <w:sz w:val="21"/>
              </w:rPr>
              <w:t>Objet</w:t>
            </w:r>
          </w:p>
        </w:tc>
        <w:tc>
          <w:tcPr>
            <w:tcW w:type="dxa" w:w="5669"/>
            <w:vAlign w:val="center"/>
            <w:shd w:fill="F9FBFD"/>
          </w:tcPr>
          <w:p>
            <w:pPr>
              <w:spacing w:after="0" w:before="0" w:line="264" w:lineRule="auto"/>
              <w:jc w:val="left"/>
            </w:pPr>
            <w:r>
              <w:rPr>
                <w:rFonts w:ascii="Aptos" w:hAnsi="Aptos" w:eastAsia="Aptos"/>
                <w:color w:val="373737"/>
                <w:sz w:val="21"/>
              </w:rPr>
              <w:t>Structurer le mémoire avant la rédaction complète.</w:t>
            </w:r>
          </w:p>
        </w:tc>
      </w:tr>
      <w:tr>
        <w:tc>
          <w:tcPr>
            <w:tcW w:type="dxa" w:w="2948"/>
            <w:vAlign w:val="center"/>
            <w:shd w:fill="EAF1F8"/>
          </w:tcPr>
          <w:p>
            <w:pPr>
              <w:spacing w:after="0" w:before="0" w:line="264" w:lineRule="auto"/>
              <w:jc w:val="left"/>
            </w:pPr>
            <w:r>
              <w:rPr>
                <w:rFonts w:ascii="Aptos" w:hAnsi="Aptos" w:eastAsia="Aptos"/>
                <w:b/>
                <w:color w:val="123456"/>
                <w:sz w:val="21"/>
              </w:rPr>
              <w:t>Problématique</w:t>
            </w:r>
          </w:p>
        </w:tc>
        <w:tc>
          <w:tcPr>
            <w:tcW w:type="dxa" w:w="5669"/>
            <w:vAlign w:val="center"/>
            <w:shd w:fill="F9FBFD"/>
          </w:tcPr>
          <w:p>
            <w:pPr>
              <w:spacing w:after="0" w:before="0" w:line="264" w:lineRule="auto"/>
              <w:jc w:val="left"/>
            </w:pPr>
            <w:r>
              <w:rPr>
                <w:rFonts w:ascii="Aptos" w:hAnsi="Aptos" w:eastAsia="Aptos"/>
                <w:color w:val="373737"/>
                <w:sz w:val="21"/>
              </w:rPr>
              <w:t>Comment assurer la sécurité et la conformité des données dans un environnement Cloud tout en maintenant la flexibilité et la performance des services numériques ?</w:t>
            </w:r>
          </w:p>
        </w:tc>
      </w:tr>
      <w:tr>
        <w:tc>
          <w:tcPr>
            <w:tcW w:type="dxa" w:w="2948"/>
            <w:vAlign w:val="center"/>
            <w:shd w:fill="EAF1F8"/>
          </w:tcPr>
          <w:p>
            <w:pPr>
              <w:spacing w:after="0" w:before="0" w:line="264" w:lineRule="auto"/>
              <w:jc w:val="left"/>
            </w:pPr>
            <w:r>
              <w:rPr>
                <w:rFonts w:ascii="Aptos" w:hAnsi="Aptos" w:eastAsia="Aptos"/>
                <w:b/>
                <w:color w:val="123456"/>
                <w:sz w:val="21"/>
              </w:rPr>
              <w:t>Finalité</w:t>
            </w:r>
          </w:p>
        </w:tc>
        <w:tc>
          <w:tcPr>
            <w:tcW w:type="dxa" w:w="5669"/>
            <w:vAlign w:val="center"/>
            <w:shd w:fill="F9FBFD"/>
          </w:tcPr>
          <w:p>
            <w:pPr>
              <w:spacing w:after="0" w:before="0" w:line="264" w:lineRule="auto"/>
              <w:jc w:val="left"/>
            </w:pPr>
            <w:r>
              <w:rPr>
                <w:rFonts w:ascii="Aptos" w:hAnsi="Aptos" w:eastAsia="Aptos"/>
                <w:color w:val="373737"/>
                <w:sz w:val="21"/>
              </w:rPr>
              <w:t>Disposer d’un plan clair, cohérent et académique, prêt à être envoyé pour validation.</w:t>
            </w:r>
          </w:p>
        </w:tc>
      </w:tr>
    </w:tbl>
    <w:p/>
    <w:p>
      <w:pPr>
        <w:jc w:val="center"/>
      </w:pPr>
      <w:r>
        <w:rPr>
          <w:rFonts w:ascii="Aptos" w:hAnsi="Aptos" w:eastAsia="Aptos"/>
          <w:color w:val="5A626C"/>
          <w:sz w:val="22"/>
        </w:rPr>
        <w:t>Document préparatoire à transmettre pour validation du plan</w:t>
      </w:r>
    </w:p>
    <w:p>
      <w:pPr>
        <w:jc w:val="center"/>
      </w:pPr>
      <w:r>
        <w:rPr>
          <w:rFonts w:ascii="Aptos" w:hAnsi="Aptos" w:eastAsia="Aptos"/>
          <w:color w:val="5A626C"/>
          <w:sz w:val="20"/>
        </w:rPr>
        <w:t>Mars 2026</w:t>
      </w:r>
    </w:p>
    <w:p>
      <w:r>
        <w:br w:type="page"/>
      </w:r>
    </w:p>
    <w:p>
      <w:pPr>
        <w:pStyle w:val="Heading1"/>
      </w:pPr>
      <w:r>
        <w:t>Présentation du sujet</w:t>
      </w:r>
    </w:p>
    <w:p>
      <w:pPr>
        <w:spacing w:line="288" w:lineRule="auto" w:after="120"/>
      </w:pPr>
      <w:r>
        <w:rPr>
          <w:rFonts w:ascii="Aptos" w:hAnsi="Aptos" w:eastAsia="Aptos"/>
          <w:sz w:val="22"/>
        </w:rPr>
        <w:t xml:space="preserve">Le Cloud Computing transforme profondément la manière dont les organisations stockent, traitent et partagent leurs données. </w:t>
      </w:r>
      <w:r>
        <w:rPr>
          <w:rFonts w:ascii="Aptos" w:hAnsi="Aptos" w:eastAsia="Aptos"/>
          <w:sz w:val="22"/>
        </w:rPr>
        <w:t>Cette évolution accroît la performance et la flexibilité des services numériques, mais elle expose également les entreprises à des risques importants en matière de confidentialité, d’intégrité et de disponibilité des informations.</w:t>
      </w:r>
    </w:p>
    <w:p>
      <w:pPr>
        <w:spacing w:line="288" w:lineRule="auto" w:after="120"/>
      </w:pPr>
      <w:r>
        <w:rPr>
          <w:rFonts w:ascii="Aptos" w:hAnsi="Aptos" w:eastAsia="Aptos"/>
          <w:b/>
          <w:color w:val="123456"/>
          <w:sz w:val="22"/>
        </w:rPr>
        <w:t xml:space="preserve">Dans ce contexte, la sécurité du Cloud constitue un enjeu stratégique majeur. </w:t>
      </w:r>
      <w:r>
        <w:rPr>
          <w:rFonts w:ascii="Aptos" w:hAnsi="Aptos" w:eastAsia="Aptos"/>
          <w:sz w:val="22"/>
        </w:rPr>
        <w:t>Les organisations doivent protéger leurs données, encadrer les accès, prévenir les erreurs de configuration et satisfaire à des exigences réglementaires strictes, notamment au regard du RGPD et des référentiels de sécurité.</w:t>
      </w:r>
    </w:p>
    <w:p>
      <w:pPr>
        <w:pStyle w:val="Heading2"/>
      </w:pPr>
      <w:r>
        <w:t>Problématique</w:t>
      </w:r>
    </w:p>
    <w:p>
      <w:pPr>
        <w:spacing w:line="288" w:lineRule="auto"/>
      </w:pPr>
      <w:r>
        <w:rPr>
          <w:rFonts w:ascii="Aptos" w:hAnsi="Aptos" w:eastAsia="Aptos"/>
          <w:b/>
          <w:color w:val="234E7A"/>
          <w:sz w:val="22"/>
        </w:rPr>
        <w:t>Comment assurer la sécurité et la conformité des données dans un environnement Cloud tout en maintenant la flexibilité et la performance des services numériques ?</w:t>
      </w:r>
    </w:p>
    <w:p>
      <w:pPr>
        <w:pStyle w:val="Heading2"/>
      </w:pPr>
      <w:r>
        <w:t>Objectif du document</w:t>
      </w:r>
    </w:p>
    <w:p>
      <w:pPr>
        <w:pStyle w:val="ListBullet"/>
        <w:spacing w:after="20" w:line="276" w:lineRule="auto"/>
        <w:ind w:left="227"/>
      </w:pPr>
      <w:r>
        <w:rPr>
          <w:rFonts w:ascii="Aptos" w:hAnsi="Aptos" w:eastAsia="Aptos"/>
          <w:sz w:val="22"/>
        </w:rPr>
        <w:t>présenter un sommaire professionnel, clair et progressif ;</w:t>
      </w:r>
    </w:p>
    <w:p>
      <w:pPr>
        <w:pStyle w:val="ListBullet"/>
        <w:spacing w:after="20" w:line="276" w:lineRule="auto"/>
        <w:ind w:left="227"/>
      </w:pPr>
      <w:r>
        <w:rPr>
          <w:rFonts w:ascii="Aptos" w:hAnsi="Aptos" w:eastAsia="Aptos"/>
          <w:sz w:val="22"/>
        </w:rPr>
        <w:t>structurer les idées avant la phase de rédaction ;</w:t>
      </w:r>
    </w:p>
    <w:p>
      <w:pPr>
        <w:pStyle w:val="ListBullet"/>
        <w:spacing w:after="20" w:line="276" w:lineRule="auto"/>
        <w:ind w:left="227"/>
      </w:pPr>
      <w:r>
        <w:rPr>
          <w:rFonts w:ascii="Aptos" w:hAnsi="Aptos" w:eastAsia="Aptos"/>
          <w:sz w:val="22"/>
        </w:rPr>
        <w:t>montrer la logique d’ensemble du mémoire : comprendre, analyser, sécuriser, encadrer et recommander.</w:t>
      </w:r>
    </w:p>
    <w:p>
      <w:pPr>
        <w:pStyle w:val="Heading1"/>
      </w:pPr>
      <w:r>
        <w:t>Plan détaillé proposé</w:t>
      </w:r>
    </w:p>
    <w:p>
      <w:pPr>
        <w:pStyle w:val="Heading2"/>
      </w:pPr>
      <w:r>
        <w:t>Éléments préliminaires</w:t>
      </w:r>
    </w:p>
    <w:p>
      <w:pPr>
        <w:pStyle w:val="ListBullet"/>
        <w:spacing w:after="20" w:line="276" w:lineRule="auto"/>
        <w:ind w:left="227"/>
      </w:pPr>
      <w:r>
        <w:rPr>
          <w:rFonts w:ascii="Aptos" w:hAnsi="Aptos" w:eastAsia="Aptos"/>
          <w:sz w:val="22"/>
        </w:rPr>
        <w:t>Page de garde</w:t>
      </w:r>
    </w:p>
    <w:p>
      <w:pPr>
        <w:pStyle w:val="ListBullet"/>
        <w:spacing w:after="20" w:line="276" w:lineRule="auto"/>
        <w:ind w:left="227"/>
      </w:pPr>
      <w:r>
        <w:rPr>
          <w:rFonts w:ascii="Aptos" w:hAnsi="Aptos" w:eastAsia="Aptos"/>
          <w:sz w:val="22"/>
        </w:rPr>
        <w:t>Certificat d’authenticité</w:t>
      </w:r>
    </w:p>
    <w:p>
      <w:pPr>
        <w:pStyle w:val="ListBullet"/>
        <w:spacing w:after="20" w:line="276" w:lineRule="auto"/>
        <w:ind w:left="227"/>
      </w:pPr>
      <w:r>
        <w:rPr>
          <w:rFonts w:ascii="Aptos" w:hAnsi="Aptos" w:eastAsia="Aptos"/>
          <w:sz w:val="22"/>
        </w:rPr>
        <w:t>Remerciements</w:t>
      </w:r>
    </w:p>
    <w:p>
      <w:pPr>
        <w:pStyle w:val="ListBullet"/>
        <w:spacing w:after="20" w:line="276" w:lineRule="auto"/>
        <w:ind w:left="227"/>
      </w:pPr>
      <w:r>
        <w:rPr>
          <w:rFonts w:ascii="Aptos" w:hAnsi="Aptos" w:eastAsia="Aptos"/>
          <w:sz w:val="22"/>
        </w:rPr>
        <w:t>Résumé</w:t>
      </w:r>
    </w:p>
    <w:p>
      <w:pPr>
        <w:pStyle w:val="ListBullet"/>
        <w:spacing w:after="20" w:line="276" w:lineRule="auto"/>
        <w:ind w:left="227"/>
      </w:pPr>
      <w:r>
        <w:rPr>
          <w:rFonts w:ascii="Aptos" w:hAnsi="Aptos" w:eastAsia="Aptos"/>
          <w:sz w:val="22"/>
        </w:rPr>
        <w:t>Abstract</w:t>
      </w:r>
    </w:p>
    <w:p>
      <w:pPr>
        <w:pStyle w:val="ListBullet"/>
        <w:spacing w:after="20" w:line="276" w:lineRule="auto"/>
        <w:ind w:left="227"/>
      </w:pPr>
      <w:r>
        <w:rPr>
          <w:rFonts w:ascii="Aptos" w:hAnsi="Aptos" w:eastAsia="Aptos"/>
          <w:sz w:val="22"/>
        </w:rPr>
        <w:t>Liste des sigles et abréviations</w:t>
      </w:r>
    </w:p>
    <w:p>
      <w:pPr>
        <w:pStyle w:val="ListBullet"/>
        <w:spacing w:after="20" w:line="276" w:lineRule="auto"/>
        <w:ind w:left="227"/>
      </w:pPr>
      <w:r>
        <w:rPr>
          <w:rFonts w:ascii="Aptos" w:hAnsi="Aptos" w:eastAsia="Aptos"/>
          <w:sz w:val="22"/>
        </w:rPr>
        <w:t>Sommaire</w:t>
      </w:r>
    </w:p>
    <w:p>
      <w:pPr>
        <w:pStyle w:val="Heading2"/>
      </w:pPr>
      <w:r>
        <w:t>Introduction générale</w:t>
      </w:r>
    </w:p>
    <w:p>
      <w:pPr>
        <w:pStyle w:val="ListNumber"/>
        <w:spacing w:after="20" w:line="276" w:lineRule="auto"/>
      </w:pPr>
      <w:r>
        <w:rPr>
          <w:rFonts w:ascii="Aptos" w:hAnsi="Aptos" w:eastAsia="Aptos"/>
          <w:sz w:val="22"/>
        </w:rPr>
        <w:t>Contexte du sujet</w:t>
      </w:r>
    </w:p>
    <w:p>
      <w:pPr>
        <w:pStyle w:val="ListNumber"/>
        <w:spacing w:after="20" w:line="276" w:lineRule="auto"/>
      </w:pPr>
      <w:r>
        <w:rPr>
          <w:rFonts w:ascii="Aptos" w:hAnsi="Aptos" w:eastAsia="Aptos"/>
          <w:sz w:val="22"/>
        </w:rPr>
        <w:t>Intérêt du sujet</w:t>
      </w:r>
    </w:p>
    <w:p>
      <w:pPr>
        <w:pStyle w:val="ListNumber"/>
        <w:spacing w:after="20" w:line="276" w:lineRule="auto"/>
      </w:pPr>
      <w:r>
        <w:rPr>
          <w:rFonts w:ascii="Aptos" w:hAnsi="Aptos" w:eastAsia="Aptos"/>
          <w:sz w:val="22"/>
        </w:rPr>
        <w:t>Problématique</w:t>
      </w:r>
    </w:p>
    <w:p>
      <w:pPr>
        <w:pStyle w:val="ListNumber"/>
        <w:spacing w:after="20" w:line="276" w:lineRule="auto"/>
      </w:pPr>
      <w:r>
        <w:rPr>
          <w:rFonts w:ascii="Aptos" w:hAnsi="Aptos" w:eastAsia="Aptos"/>
          <w:sz w:val="22"/>
        </w:rPr>
        <w:t>Objectifs de recherche</w:t>
      </w:r>
    </w:p>
    <w:p>
      <w:pPr>
        <w:pStyle w:val="ListNumber"/>
        <w:spacing w:after="20" w:line="276" w:lineRule="auto"/>
      </w:pPr>
      <w:r>
        <w:rPr>
          <w:rFonts w:ascii="Aptos" w:hAnsi="Aptos" w:eastAsia="Aptos"/>
          <w:sz w:val="22"/>
        </w:rPr>
        <w:t>Méthodologie</w:t>
      </w:r>
    </w:p>
    <w:p>
      <w:pPr>
        <w:pStyle w:val="ListNumber"/>
        <w:spacing w:after="20" w:line="276" w:lineRule="auto"/>
      </w:pPr>
      <w:r>
        <w:rPr>
          <w:rFonts w:ascii="Aptos" w:hAnsi="Aptos" w:eastAsia="Aptos"/>
          <w:sz w:val="22"/>
        </w:rPr>
        <w:t>Annonce du plan</w:t>
      </w:r>
    </w:p>
    <w:p>
      <w:pPr>
        <w:pStyle w:val="Heading2"/>
      </w:pPr>
      <w:r>
        <w:t>Partie I – Fondements du Cloud Computing et enjeux de sécurité</w:t>
      </w:r>
    </w:p>
    <w:p>
      <w:pPr>
        <w:pStyle w:val="Heading3"/>
      </w:pPr>
      <w:r>
        <w:t>Chapitre 1 – Comprendre le Cloud Computing</w:t>
      </w:r>
    </w:p>
    <w:p>
      <w:pPr>
        <w:pStyle w:val="ListBullet"/>
        <w:spacing w:after="20" w:line="276" w:lineRule="auto"/>
        <w:ind w:left="482"/>
      </w:pPr>
      <w:r>
        <w:rPr>
          <w:rFonts w:ascii="Aptos" w:hAnsi="Aptos" w:eastAsia="Aptos"/>
          <w:sz w:val="22"/>
        </w:rPr>
        <w:t>1.1. Définition du Cloud Computing</w:t>
      </w:r>
    </w:p>
    <w:p>
      <w:pPr>
        <w:pStyle w:val="ListBullet"/>
        <w:spacing w:after="20" w:line="276" w:lineRule="auto"/>
        <w:ind w:left="482"/>
      </w:pPr>
      <w:r>
        <w:rPr>
          <w:rFonts w:ascii="Aptos" w:hAnsi="Aptos" w:eastAsia="Aptos"/>
          <w:sz w:val="22"/>
        </w:rPr>
        <w:t>1.2. Les caractéristiques essentielles du cloud</w:t>
      </w:r>
    </w:p>
    <w:p>
      <w:pPr>
        <w:pStyle w:val="ListBullet"/>
        <w:spacing w:after="20" w:line="276" w:lineRule="auto"/>
        <w:ind w:left="482"/>
      </w:pPr>
      <w:r>
        <w:rPr>
          <w:rFonts w:ascii="Aptos" w:hAnsi="Aptos" w:eastAsia="Aptos"/>
          <w:sz w:val="22"/>
        </w:rPr>
        <w:t>1.3. Les modèles de services : IaaS, PaaS, SaaS</w:t>
      </w:r>
    </w:p>
    <w:p>
      <w:pPr>
        <w:pStyle w:val="ListBullet"/>
        <w:spacing w:after="20" w:line="276" w:lineRule="auto"/>
        <w:ind w:left="482"/>
      </w:pPr>
      <w:r>
        <w:rPr>
          <w:rFonts w:ascii="Aptos" w:hAnsi="Aptos" w:eastAsia="Aptos"/>
          <w:sz w:val="22"/>
        </w:rPr>
        <w:t>1.4. Les typologies de déploiement : cloud public, privé, hybride</w:t>
      </w:r>
    </w:p>
    <w:p>
      <w:pPr>
        <w:pStyle w:val="ListBullet"/>
        <w:spacing w:after="20" w:line="276" w:lineRule="auto"/>
        <w:ind w:left="482"/>
      </w:pPr>
      <w:r>
        <w:rPr>
          <w:rFonts w:ascii="Aptos" w:hAnsi="Aptos" w:eastAsia="Aptos"/>
          <w:sz w:val="22"/>
        </w:rPr>
        <w:t>1.5. L’évolution du cloud dans les organisations</w:t>
      </w:r>
    </w:p>
    <w:p>
      <w:pPr>
        <w:pStyle w:val="Heading3"/>
      </w:pPr>
      <w:r>
        <w:t>Chapitre 2 – Les principes de sécurité appliqués au cloud</w:t>
      </w:r>
    </w:p>
    <w:p>
      <w:pPr>
        <w:pStyle w:val="ListBullet"/>
        <w:spacing w:after="20" w:line="276" w:lineRule="auto"/>
        <w:ind w:left="482"/>
      </w:pPr>
      <w:r>
        <w:rPr>
          <w:rFonts w:ascii="Aptos" w:hAnsi="Aptos" w:eastAsia="Aptos"/>
          <w:sz w:val="22"/>
        </w:rPr>
        <w:t>2.1. La confidentialité des données</w:t>
      </w:r>
    </w:p>
    <w:p>
      <w:pPr>
        <w:pStyle w:val="ListBullet"/>
        <w:spacing w:after="20" w:line="276" w:lineRule="auto"/>
        <w:ind w:left="482"/>
      </w:pPr>
      <w:r>
        <w:rPr>
          <w:rFonts w:ascii="Aptos" w:hAnsi="Aptos" w:eastAsia="Aptos"/>
          <w:sz w:val="22"/>
        </w:rPr>
        <w:t>2.2. L’intégrité des systèmes et des informations</w:t>
      </w:r>
    </w:p>
    <w:p>
      <w:pPr>
        <w:pStyle w:val="ListBullet"/>
        <w:spacing w:after="20" w:line="276" w:lineRule="auto"/>
        <w:ind w:left="482"/>
      </w:pPr>
      <w:r>
        <w:rPr>
          <w:rFonts w:ascii="Aptos" w:hAnsi="Aptos" w:eastAsia="Aptos"/>
          <w:sz w:val="22"/>
        </w:rPr>
        <w:t>2.3. La disponibilité des services</w:t>
      </w:r>
    </w:p>
    <w:p>
      <w:pPr>
        <w:pStyle w:val="ListBullet"/>
        <w:spacing w:after="20" w:line="276" w:lineRule="auto"/>
        <w:ind w:left="482"/>
      </w:pPr>
      <w:r>
        <w:rPr>
          <w:rFonts w:ascii="Aptos" w:hAnsi="Aptos" w:eastAsia="Aptos"/>
          <w:sz w:val="22"/>
        </w:rPr>
        <w:t>2.4. Les nouveaux enjeux de sécurité dans les environnements cloud</w:t>
      </w:r>
    </w:p>
    <w:p>
      <w:pPr>
        <w:pStyle w:val="ListBullet"/>
        <w:spacing w:after="20" w:line="276" w:lineRule="auto"/>
        <w:ind w:left="482"/>
      </w:pPr>
      <w:r>
        <w:rPr>
          <w:rFonts w:ascii="Aptos" w:hAnsi="Aptos" w:eastAsia="Aptos"/>
          <w:sz w:val="22"/>
        </w:rPr>
        <w:t>2.5. Le modèle de responsabilité partagée</w:t>
      </w:r>
    </w:p>
    <w:p>
      <w:pPr>
        <w:pStyle w:val="Heading2"/>
      </w:pPr>
      <w:r>
        <w:t>Partie II – Menaces, vulnérabilités et risques dans le Cloud</w:t>
      </w:r>
    </w:p>
    <w:p>
      <w:pPr>
        <w:pStyle w:val="Heading3"/>
      </w:pPr>
      <w:r>
        <w:t>Chapitre 3 – Les principales menaces de sécurité</w:t>
      </w:r>
    </w:p>
    <w:p>
      <w:pPr>
        <w:pStyle w:val="ListBullet"/>
        <w:spacing w:after="20" w:line="276" w:lineRule="auto"/>
        <w:ind w:left="482"/>
      </w:pPr>
      <w:r>
        <w:rPr>
          <w:rFonts w:ascii="Aptos" w:hAnsi="Aptos" w:eastAsia="Aptos"/>
          <w:sz w:val="22"/>
        </w:rPr>
        <w:t>3.1. La perte et la fuite de données</w:t>
      </w:r>
    </w:p>
    <w:p>
      <w:pPr>
        <w:pStyle w:val="ListBullet"/>
        <w:spacing w:after="20" w:line="276" w:lineRule="auto"/>
        <w:ind w:left="482"/>
      </w:pPr>
      <w:r>
        <w:rPr>
          <w:rFonts w:ascii="Aptos" w:hAnsi="Aptos" w:eastAsia="Aptos"/>
          <w:sz w:val="22"/>
        </w:rPr>
        <w:t>3.2. Les accès non autorisés</w:t>
      </w:r>
    </w:p>
    <w:p>
      <w:pPr>
        <w:pStyle w:val="ListBullet"/>
        <w:spacing w:after="20" w:line="276" w:lineRule="auto"/>
        <w:ind w:left="482"/>
      </w:pPr>
      <w:r>
        <w:rPr>
          <w:rFonts w:ascii="Aptos" w:hAnsi="Aptos" w:eastAsia="Aptos"/>
          <w:sz w:val="22"/>
        </w:rPr>
        <w:t>3.3. Les erreurs de configuration</w:t>
      </w:r>
    </w:p>
    <w:p>
      <w:pPr>
        <w:pStyle w:val="ListBullet"/>
        <w:spacing w:after="20" w:line="276" w:lineRule="auto"/>
        <w:ind w:left="482"/>
      </w:pPr>
      <w:r>
        <w:rPr>
          <w:rFonts w:ascii="Aptos" w:hAnsi="Aptos" w:eastAsia="Aptos"/>
          <w:sz w:val="22"/>
        </w:rPr>
        <w:t>3.4. Les attaques sur les API et interfaces cloud</w:t>
      </w:r>
    </w:p>
    <w:p>
      <w:pPr>
        <w:pStyle w:val="ListBullet"/>
        <w:spacing w:after="20" w:line="276" w:lineRule="auto"/>
        <w:ind w:left="482"/>
      </w:pPr>
      <w:r>
        <w:rPr>
          <w:rFonts w:ascii="Aptos" w:hAnsi="Aptos" w:eastAsia="Aptos"/>
          <w:sz w:val="22"/>
        </w:rPr>
        <w:t>3.5. Les menaces internes et les comptes compromis</w:t>
      </w:r>
    </w:p>
    <w:p>
      <w:pPr>
        <w:pStyle w:val="ListBullet"/>
        <w:spacing w:after="20" w:line="276" w:lineRule="auto"/>
        <w:ind w:left="482"/>
      </w:pPr>
      <w:r>
        <w:rPr>
          <w:rFonts w:ascii="Aptos" w:hAnsi="Aptos" w:eastAsia="Aptos"/>
          <w:sz w:val="22"/>
        </w:rPr>
        <w:t>3.6. Les rançongiciels et attaques ciblant les environnements cloud</w:t>
      </w:r>
    </w:p>
    <w:p>
      <w:pPr>
        <w:pStyle w:val="Heading3"/>
      </w:pPr>
      <w:r>
        <w:t>Chapitre 4 – Les impacts sur les organisations</w:t>
      </w:r>
    </w:p>
    <w:p>
      <w:pPr>
        <w:pStyle w:val="ListBullet"/>
        <w:spacing w:after="20" w:line="276" w:lineRule="auto"/>
        <w:ind w:left="482"/>
      </w:pPr>
      <w:r>
        <w:rPr>
          <w:rFonts w:ascii="Aptos" w:hAnsi="Aptos" w:eastAsia="Aptos"/>
          <w:sz w:val="22"/>
        </w:rPr>
        <w:t>4.1. Les conséquences financières</w:t>
      </w:r>
    </w:p>
    <w:p>
      <w:pPr>
        <w:pStyle w:val="ListBullet"/>
        <w:spacing w:after="20" w:line="276" w:lineRule="auto"/>
        <w:ind w:left="482"/>
      </w:pPr>
      <w:r>
        <w:rPr>
          <w:rFonts w:ascii="Aptos" w:hAnsi="Aptos" w:eastAsia="Aptos"/>
          <w:sz w:val="22"/>
        </w:rPr>
        <w:t>4.2. Les impacts juridiques et réglementaires</w:t>
      </w:r>
    </w:p>
    <w:p>
      <w:pPr>
        <w:pStyle w:val="ListBullet"/>
        <w:spacing w:after="20" w:line="276" w:lineRule="auto"/>
        <w:ind w:left="482"/>
      </w:pPr>
      <w:r>
        <w:rPr>
          <w:rFonts w:ascii="Aptos" w:hAnsi="Aptos" w:eastAsia="Aptos"/>
          <w:sz w:val="22"/>
        </w:rPr>
        <w:t>4.3. Les atteintes à l’image et à la confiance numérique</w:t>
      </w:r>
    </w:p>
    <w:p>
      <w:pPr>
        <w:pStyle w:val="ListBullet"/>
        <w:spacing w:after="20" w:line="276" w:lineRule="auto"/>
        <w:ind w:left="482"/>
      </w:pPr>
      <w:r>
        <w:rPr>
          <w:rFonts w:ascii="Aptos" w:hAnsi="Aptos" w:eastAsia="Aptos"/>
          <w:sz w:val="22"/>
        </w:rPr>
        <w:t>4.4. Les risques liés aux environnements multi-cloud et hybrides</w:t>
      </w:r>
    </w:p>
    <w:p>
      <w:pPr>
        <w:pStyle w:val="ListBullet"/>
        <w:spacing w:after="20" w:line="276" w:lineRule="auto"/>
        <w:ind w:left="482"/>
      </w:pPr>
      <w:r>
        <w:rPr>
          <w:rFonts w:ascii="Aptos" w:hAnsi="Aptos" w:eastAsia="Aptos"/>
          <w:sz w:val="22"/>
        </w:rPr>
        <w:t>4.5. Les enjeux de souveraineté numérique</w:t>
      </w:r>
    </w:p>
    <w:p>
      <w:pPr>
        <w:pStyle w:val="Heading2"/>
      </w:pPr>
      <w:r>
        <w:t>Partie III – Mécanismes de protection et bonnes pratiques de sécurisation</w:t>
      </w:r>
    </w:p>
    <w:p>
      <w:pPr>
        <w:pStyle w:val="Heading3"/>
      </w:pPr>
      <w:r>
        <w:t>Chapitre 5 – Les solutions techniques de protection</w:t>
      </w:r>
    </w:p>
    <w:p>
      <w:pPr>
        <w:pStyle w:val="ListBullet"/>
        <w:spacing w:after="20" w:line="276" w:lineRule="auto"/>
        <w:ind w:left="482"/>
      </w:pPr>
      <w:r>
        <w:rPr>
          <w:rFonts w:ascii="Aptos" w:hAnsi="Aptos" w:eastAsia="Aptos"/>
          <w:sz w:val="22"/>
        </w:rPr>
        <w:t>5.1. Le chiffrement des données au repos et en transit</w:t>
      </w:r>
    </w:p>
    <w:p>
      <w:pPr>
        <w:pStyle w:val="ListBullet"/>
        <w:spacing w:after="20" w:line="276" w:lineRule="auto"/>
        <w:ind w:left="482"/>
      </w:pPr>
      <w:r>
        <w:rPr>
          <w:rFonts w:ascii="Aptos" w:hAnsi="Aptos" w:eastAsia="Aptos"/>
          <w:sz w:val="22"/>
        </w:rPr>
        <w:t>5.2. La gestion des identités et des accès (IAM)</w:t>
      </w:r>
    </w:p>
    <w:p>
      <w:pPr>
        <w:pStyle w:val="ListBullet"/>
        <w:spacing w:after="20" w:line="276" w:lineRule="auto"/>
        <w:ind w:left="482"/>
      </w:pPr>
      <w:r>
        <w:rPr>
          <w:rFonts w:ascii="Aptos" w:hAnsi="Aptos" w:eastAsia="Aptos"/>
          <w:sz w:val="22"/>
        </w:rPr>
        <w:t>5.3. L’authentification multifacteur (MFA)</w:t>
      </w:r>
    </w:p>
    <w:p>
      <w:pPr>
        <w:pStyle w:val="ListBullet"/>
        <w:spacing w:after="20" w:line="276" w:lineRule="auto"/>
        <w:ind w:left="482"/>
      </w:pPr>
      <w:r>
        <w:rPr>
          <w:rFonts w:ascii="Aptos" w:hAnsi="Aptos" w:eastAsia="Aptos"/>
          <w:sz w:val="22"/>
        </w:rPr>
        <w:t>5.4. La segmentation réseau et l’isolation des environnements</w:t>
      </w:r>
    </w:p>
    <w:p>
      <w:pPr>
        <w:pStyle w:val="ListBullet"/>
        <w:spacing w:after="20" w:line="276" w:lineRule="auto"/>
        <w:ind w:left="482"/>
      </w:pPr>
      <w:r>
        <w:rPr>
          <w:rFonts w:ascii="Aptos" w:hAnsi="Aptos" w:eastAsia="Aptos"/>
          <w:sz w:val="22"/>
        </w:rPr>
        <w:t>5.5. La surveillance, la journalisation et la détection des incidents</w:t>
      </w:r>
    </w:p>
    <w:p>
      <w:pPr>
        <w:pStyle w:val="ListBullet"/>
        <w:spacing w:after="20" w:line="276" w:lineRule="auto"/>
        <w:ind w:left="482"/>
      </w:pPr>
      <w:r>
        <w:rPr>
          <w:rFonts w:ascii="Aptos" w:hAnsi="Aptos" w:eastAsia="Aptos"/>
          <w:sz w:val="22"/>
        </w:rPr>
        <w:t>5.6. Les sauvegardes, la résilience et la reprise d’activité</w:t>
      </w:r>
    </w:p>
    <w:p>
      <w:pPr>
        <w:pStyle w:val="Heading3"/>
      </w:pPr>
      <w:r>
        <w:t>Chapitre 6 – Les mesures organisationnelles et de gouvernance</w:t>
      </w:r>
    </w:p>
    <w:p>
      <w:pPr>
        <w:pStyle w:val="ListBullet"/>
        <w:spacing w:after="20" w:line="276" w:lineRule="auto"/>
        <w:ind w:left="482"/>
      </w:pPr>
      <w:r>
        <w:rPr>
          <w:rFonts w:ascii="Aptos" w:hAnsi="Aptos" w:eastAsia="Aptos"/>
          <w:sz w:val="22"/>
        </w:rPr>
        <w:t>6.1. La politique de sécurité du système d’information</w:t>
      </w:r>
    </w:p>
    <w:p>
      <w:pPr>
        <w:pStyle w:val="ListBullet"/>
        <w:spacing w:after="20" w:line="276" w:lineRule="auto"/>
        <w:ind w:left="482"/>
      </w:pPr>
      <w:r>
        <w:rPr>
          <w:rFonts w:ascii="Aptos" w:hAnsi="Aptos" w:eastAsia="Aptos"/>
          <w:sz w:val="22"/>
        </w:rPr>
        <w:t>6.2. L’analyse et la gestion des risques</w:t>
      </w:r>
    </w:p>
    <w:p>
      <w:pPr>
        <w:pStyle w:val="ListBullet"/>
        <w:spacing w:after="20" w:line="276" w:lineRule="auto"/>
        <w:ind w:left="482"/>
      </w:pPr>
      <w:r>
        <w:rPr>
          <w:rFonts w:ascii="Aptos" w:hAnsi="Aptos" w:eastAsia="Aptos"/>
          <w:sz w:val="22"/>
        </w:rPr>
        <w:t>6.3. Les audits et contrôles de sécurité</w:t>
      </w:r>
    </w:p>
    <w:p>
      <w:pPr>
        <w:pStyle w:val="ListBullet"/>
        <w:spacing w:after="20" w:line="276" w:lineRule="auto"/>
        <w:ind w:left="482"/>
      </w:pPr>
      <w:r>
        <w:rPr>
          <w:rFonts w:ascii="Aptos" w:hAnsi="Aptos" w:eastAsia="Aptos"/>
          <w:sz w:val="22"/>
        </w:rPr>
        <w:t>6.4. La sensibilisation et la formation des utilisateurs</w:t>
      </w:r>
    </w:p>
    <w:p>
      <w:pPr>
        <w:pStyle w:val="ListBullet"/>
        <w:spacing w:after="20" w:line="276" w:lineRule="auto"/>
        <w:ind w:left="482"/>
      </w:pPr>
      <w:r>
        <w:rPr>
          <w:rFonts w:ascii="Aptos" w:hAnsi="Aptos" w:eastAsia="Aptos"/>
          <w:sz w:val="22"/>
        </w:rPr>
        <w:t>6.5. La gestion contractuelle avec les fournisseurs cloud</w:t>
      </w:r>
    </w:p>
    <w:p>
      <w:pPr>
        <w:pStyle w:val="ListBullet"/>
        <w:spacing w:after="20" w:line="276" w:lineRule="auto"/>
        <w:ind w:left="482"/>
      </w:pPr>
      <w:r>
        <w:rPr>
          <w:rFonts w:ascii="Aptos" w:hAnsi="Aptos" w:eastAsia="Aptos"/>
          <w:sz w:val="22"/>
        </w:rPr>
        <w:t>6.6. Les SLA et les engagements de sécurité</w:t>
      </w:r>
    </w:p>
    <w:p>
      <w:pPr>
        <w:pStyle w:val="Heading2"/>
      </w:pPr>
      <w:r>
        <w:t>Partie IV – Conformité réglementaire et perspectives stratégiques</w:t>
      </w:r>
    </w:p>
    <w:p>
      <w:pPr>
        <w:pStyle w:val="Heading3"/>
      </w:pPr>
      <w:r>
        <w:t>Chapitre 7 – Les exigences réglementaires et normatives</w:t>
      </w:r>
    </w:p>
    <w:p>
      <w:pPr>
        <w:pStyle w:val="ListBullet"/>
        <w:spacing w:after="20" w:line="276" w:lineRule="auto"/>
        <w:ind w:left="482"/>
      </w:pPr>
      <w:r>
        <w:rPr>
          <w:rFonts w:ascii="Aptos" w:hAnsi="Aptos" w:eastAsia="Aptos"/>
          <w:sz w:val="22"/>
        </w:rPr>
        <w:t>7.1. Le RGPD et la protection des données personnelles</w:t>
      </w:r>
    </w:p>
    <w:p>
      <w:pPr>
        <w:pStyle w:val="ListBullet"/>
        <w:spacing w:after="20" w:line="276" w:lineRule="auto"/>
        <w:ind w:left="482"/>
      </w:pPr>
      <w:r>
        <w:rPr>
          <w:rFonts w:ascii="Aptos" w:hAnsi="Aptos" w:eastAsia="Aptos"/>
          <w:sz w:val="22"/>
        </w:rPr>
        <w:t>7.2. La norme ISO 27001</w:t>
      </w:r>
    </w:p>
    <w:p>
      <w:pPr>
        <w:pStyle w:val="ListBullet"/>
        <w:spacing w:after="20" w:line="276" w:lineRule="auto"/>
        <w:ind w:left="482"/>
      </w:pPr>
      <w:r>
        <w:rPr>
          <w:rFonts w:ascii="Aptos" w:hAnsi="Aptos" w:eastAsia="Aptos"/>
          <w:sz w:val="22"/>
        </w:rPr>
        <w:t>7.3. Les recommandations de la CNIL</w:t>
      </w:r>
    </w:p>
    <w:p>
      <w:pPr>
        <w:pStyle w:val="ListBullet"/>
        <w:spacing w:after="20" w:line="276" w:lineRule="auto"/>
        <w:ind w:left="482"/>
      </w:pPr>
      <w:r>
        <w:rPr>
          <w:rFonts w:ascii="Aptos" w:hAnsi="Aptos" w:eastAsia="Aptos"/>
          <w:sz w:val="22"/>
        </w:rPr>
        <w:t>7.4. Les recommandations de l’ANSSI</w:t>
      </w:r>
    </w:p>
    <w:p>
      <w:pPr>
        <w:pStyle w:val="ListBullet"/>
        <w:spacing w:after="20" w:line="276" w:lineRule="auto"/>
        <w:ind w:left="482"/>
      </w:pPr>
      <w:r>
        <w:rPr>
          <w:rFonts w:ascii="Aptos" w:hAnsi="Aptos" w:eastAsia="Aptos"/>
          <w:sz w:val="22"/>
        </w:rPr>
        <w:t>7.5. Les référentiels internationaux de sécurité du cloud</w:t>
      </w:r>
    </w:p>
    <w:p>
      <w:pPr>
        <w:pStyle w:val="Heading3"/>
      </w:pPr>
      <w:r>
        <w:t>Chapitre 8 – Perspectives et recommandations</w:t>
      </w:r>
    </w:p>
    <w:p>
      <w:pPr>
        <w:pStyle w:val="ListBullet"/>
        <w:spacing w:after="20" w:line="276" w:lineRule="auto"/>
        <w:ind w:left="482"/>
      </w:pPr>
      <w:r>
        <w:rPr>
          <w:rFonts w:ascii="Aptos" w:hAnsi="Aptos" w:eastAsia="Aptos"/>
          <w:sz w:val="22"/>
        </w:rPr>
        <w:t>8.1. Vers une stratégie cloud sécurisée</w:t>
      </w:r>
    </w:p>
    <w:p>
      <w:pPr>
        <w:pStyle w:val="ListBullet"/>
        <w:spacing w:after="20" w:line="276" w:lineRule="auto"/>
        <w:ind w:left="482"/>
      </w:pPr>
      <w:r>
        <w:rPr>
          <w:rFonts w:ascii="Aptos" w:hAnsi="Aptos" w:eastAsia="Aptos"/>
          <w:sz w:val="22"/>
        </w:rPr>
        <w:t>8.2. L’équilibre entre sécurité, performance et flexibilité</w:t>
      </w:r>
    </w:p>
    <w:p>
      <w:pPr>
        <w:pStyle w:val="ListBullet"/>
        <w:spacing w:after="20" w:line="276" w:lineRule="auto"/>
        <w:ind w:left="482"/>
      </w:pPr>
      <w:r>
        <w:rPr>
          <w:rFonts w:ascii="Aptos" w:hAnsi="Aptos" w:eastAsia="Aptos"/>
          <w:sz w:val="22"/>
        </w:rPr>
        <w:t>8.3. Les défis futurs : Zero Trust, automatisation, IA et sécurité cloud</w:t>
      </w:r>
    </w:p>
    <w:p>
      <w:pPr>
        <w:pStyle w:val="ListBullet"/>
        <w:spacing w:after="20" w:line="276" w:lineRule="auto"/>
        <w:ind w:left="482"/>
      </w:pPr>
      <w:r>
        <w:rPr>
          <w:rFonts w:ascii="Aptos" w:hAnsi="Aptos" w:eastAsia="Aptos"/>
          <w:sz w:val="22"/>
        </w:rPr>
        <w:t>8.4. Recommandations pour les organisations</w:t>
      </w:r>
    </w:p>
    <w:p>
      <w:pPr>
        <w:pStyle w:val="ListBullet"/>
        <w:spacing w:after="20" w:line="276" w:lineRule="auto"/>
        <w:ind w:left="482"/>
      </w:pPr>
      <w:r>
        <w:rPr>
          <w:rFonts w:ascii="Aptos" w:hAnsi="Aptos" w:eastAsia="Aptos"/>
          <w:sz w:val="22"/>
        </w:rPr>
        <w:t>8.5. Limites et perspectives de recherche</w:t>
      </w:r>
    </w:p>
    <w:p>
      <w:pPr>
        <w:pStyle w:val="Heading2"/>
      </w:pPr>
      <w:r>
        <w:t>Conclusion générale</w:t>
      </w:r>
    </w:p>
    <w:p>
      <w:pPr>
        <w:pStyle w:val="ListBullet"/>
        <w:spacing w:after="20" w:line="276" w:lineRule="auto"/>
        <w:ind w:left="227"/>
      </w:pPr>
      <w:r>
        <w:rPr>
          <w:rFonts w:ascii="Aptos" w:hAnsi="Aptos" w:eastAsia="Aptos"/>
          <w:sz w:val="22"/>
        </w:rPr>
        <w:t>Rappel de la problématique</w:t>
      </w:r>
    </w:p>
    <w:p>
      <w:pPr>
        <w:pStyle w:val="ListBullet"/>
        <w:spacing w:after="20" w:line="276" w:lineRule="auto"/>
        <w:ind w:left="227"/>
      </w:pPr>
      <w:r>
        <w:rPr>
          <w:rFonts w:ascii="Aptos" w:hAnsi="Aptos" w:eastAsia="Aptos"/>
          <w:sz w:val="22"/>
        </w:rPr>
        <w:t>Synthèse des principaux résultats</w:t>
      </w:r>
    </w:p>
    <w:p>
      <w:pPr>
        <w:pStyle w:val="ListBullet"/>
        <w:spacing w:after="20" w:line="276" w:lineRule="auto"/>
        <w:ind w:left="227"/>
      </w:pPr>
      <w:r>
        <w:rPr>
          <w:rFonts w:ascii="Aptos" w:hAnsi="Aptos" w:eastAsia="Aptos"/>
          <w:sz w:val="22"/>
        </w:rPr>
        <w:t>Réponse apportée à la question de départ</w:t>
      </w:r>
    </w:p>
    <w:p>
      <w:pPr>
        <w:pStyle w:val="ListBullet"/>
        <w:spacing w:after="20" w:line="276" w:lineRule="auto"/>
        <w:ind w:left="227"/>
      </w:pPr>
      <w:r>
        <w:rPr>
          <w:rFonts w:ascii="Aptos" w:hAnsi="Aptos" w:eastAsia="Aptos"/>
          <w:sz w:val="22"/>
        </w:rPr>
        <w:t>Ouverture sur les évolutions futures du cloud sécurisé</w:t>
      </w:r>
    </w:p>
    <w:p>
      <w:pPr>
        <w:pStyle w:val="Heading2"/>
      </w:pPr>
      <w:r>
        <w:t>Bibliographie</w:t>
      </w:r>
    </w:p>
    <w:p>
      <w:pPr>
        <w:spacing w:line="276" w:lineRule="auto"/>
      </w:pPr>
      <w:r>
        <w:rPr>
          <w:rFonts w:ascii="Aptos" w:hAnsi="Aptos" w:eastAsia="Aptos"/>
          <w:sz w:val="22"/>
        </w:rPr>
        <w:t>La bibliographie sera présentée selon la norme ISO 690, à partir des sources institutionnelles, techniques et académiques retenues.</w:t>
      </w:r>
    </w:p>
    <w:p>
      <w:pPr>
        <w:pStyle w:val="Heading2"/>
      </w:pPr>
      <w:r>
        <w:t>Annexes</w:t>
      </w:r>
    </w:p>
    <w:p>
      <w:pPr>
        <w:pStyle w:val="ListBullet"/>
        <w:spacing w:after="20" w:line="276" w:lineRule="auto"/>
        <w:ind w:left="227"/>
      </w:pPr>
      <w:r>
        <w:rPr>
          <w:rFonts w:ascii="Aptos" w:hAnsi="Aptos" w:eastAsia="Aptos"/>
          <w:sz w:val="22"/>
        </w:rPr>
        <w:t>Tableaux comparatifs des modèles cloud</w:t>
      </w:r>
    </w:p>
    <w:p>
      <w:pPr>
        <w:pStyle w:val="ListBullet"/>
        <w:spacing w:after="20" w:line="276" w:lineRule="auto"/>
        <w:ind w:left="227"/>
      </w:pPr>
      <w:r>
        <w:rPr>
          <w:rFonts w:ascii="Aptos" w:hAnsi="Aptos" w:eastAsia="Aptos"/>
          <w:sz w:val="22"/>
        </w:rPr>
        <w:t>Schémas des architectures et responsabilités</w:t>
      </w:r>
    </w:p>
    <w:p>
      <w:pPr>
        <w:pStyle w:val="ListBullet"/>
        <w:spacing w:after="20" w:line="276" w:lineRule="auto"/>
        <w:ind w:left="227"/>
      </w:pPr>
      <w:r>
        <w:rPr>
          <w:rFonts w:ascii="Aptos" w:hAnsi="Aptos" w:eastAsia="Aptos"/>
          <w:sz w:val="22"/>
        </w:rPr>
        <w:t>Exemples de matrice de responsabilité partagée</w:t>
      </w:r>
    </w:p>
    <w:p>
      <w:pPr>
        <w:pStyle w:val="ListBullet"/>
        <w:spacing w:after="20" w:line="276" w:lineRule="auto"/>
        <w:ind w:left="227"/>
      </w:pPr>
      <w:r>
        <w:rPr>
          <w:rFonts w:ascii="Aptos" w:hAnsi="Aptos" w:eastAsia="Aptos"/>
          <w:sz w:val="22"/>
        </w:rPr>
        <w:t>Synthèse des recommandations ANSSI, CNIL, ENISA et NIST</w:t>
      </w:r>
    </w:p>
    <w:p>
      <w:r>
        <w:br w:type="page"/>
      </w:r>
    </w:p>
    <w:p>
      <w:pPr>
        <w:pStyle w:val="Heading1"/>
      </w:pPr>
      <w:r>
        <w:t>Logique du mémoire</w:t>
      </w:r>
    </w:p>
    <w:p>
      <w:pPr>
        <w:spacing w:line="288" w:lineRule="auto"/>
      </w:pPr>
      <w:r>
        <w:rPr>
          <w:rFonts w:ascii="Aptos" w:hAnsi="Aptos" w:eastAsia="Aptos"/>
          <w:sz w:val="22"/>
        </w:rPr>
        <w:t>Le plan suit une progression académique simple et cohérente 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494"/>
            <w:vAlign w:val="center"/>
            <w:shd w:fill="F3F7FB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Aptos"/>
                <w:b/>
                <w:color w:val="123456"/>
                <w:sz w:val="21"/>
              </w:rPr>
              <w:t>Partie I</w:t>
            </w:r>
          </w:p>
        </w:tc>
        <w:tc>
          <w:tcPr>
            <w:tcW w:type="dxa" w:w="6350"/>
            <w:vAlign w:val="center"/>
            <w:shd w:fill="F3F7FB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Aptos"/>
                <w:color w:val="373737"/>
                <w:sz w:val="21"/>
              </w:rPr>
              <w:t>Comprendre le Cloud Computing et poser les bases de la sécurité.</w:t>
            </w:r>
          </w:p>
        </w:tc>
      </w:tr>
      <w:tr>
        <w:tc>
          <w:tcPr>
            <w:tcW w:type="dxa" w:w="2494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Aptos"/>
                <w:b/>
                <w:color w:val="123456"/>
                <w:sz w:val="21"/>
              </w:rPr>
              <w:t>Partie II</w:t>
            </w:r>
          </w:p>
        </w:tc>
        <w:tc>
          <w:tcPr>
            <w:tcW w:type="dxa" w:w="6350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Aptos"/>
                <w:color w:val="373737"/>
                <w:sz w:val="21"/>
              </w:rPr>
              <w:t>Identifier les menaces, vulnérabilités et impacts sur les organisations.</w:t>
            </w:r>
          </w:p>
        </w:tc>
      </w:tr>
      <w:tr>
        <w:tc>
          <w:tcPr>
            <w:tcW w:type="dxa" w:w="2494"/>
            <w:vAlign w:val="center"/>
            <w:shd w:fill="F3F7FB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Aptos"/>
                <w:b/>
                <w:color w:val="123456"/>
                <w:sz w:val="21"/>
              </w:rPr>
              <w:t>Partie III</w:t>
            </w:r>
          </w:p>
        </w:tc>
        <w:tc>
          <w:tcPr>
            <w:tcW w:type="dxa" w:w="6350"/>
            <w:vAlign w:val="center"/>
            <w:shd w:fill="F3F7FB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Aptos"/>
                <w:color w:val="373737"/>
                <w:sz w:val="21"/>
              </w:rPr>
              <w:t>Présenter les mécanismes techniques et organisationnels de protection.</w:t>
            </w:r>
          </w:p>
        </w:tc>
      </w:tr>
      <w:tr>
        <w:tc>
          <w:tcPr>
            <w:tcW w:type="dxa" w:w="2494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Aptos"/>
                <w:b/>
                <w:color w:val="123456"/>
                <w:sz w:val="21"/>
              </w:rPr>
              <w:t>Partie IV</w:t>
            </w:r>
          </w:p>
        </w:tc>
        <w:tc>
          <w:tcPr>
            <w:tcW w:type="dxa" w:w="6350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Aptos"/>
                <w:color w:val="373737"/>
                <w:sz w:val="21"/>
              </w:rPr>
              <w:t>Encadrer la sécurité par la conformité, la gouvernance et les recommandations.</w:t>
            </w:r>
          </w:p>
        </w:tc>
      </w:tr>
      <w:tr>
        <w:tc>
          <w:tcPr>
            <w:tcW w:type="dxa" w:w="2494"/>
            <w:vAlign w:val="center"/>
            <w:shd w:fill="F3F7FB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Aptos"/>
                <w:b/>
                <w:color w:val="123456"/>
                <w:sz w:val="21"/>
              </w:rPr>
              <w:t>Finalité</w:t>
            </w:r>
          </w:p>
        </w:tc>
        <w:tc>
          <w:tcPr>
            <w:tcW w:type="dxa" w:w="6350"/>
            <w:vAlign w:val="center"/>
            <w:shd w:fill="F3F7FB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Aptos"/>
                <w:color w:val="373737"/>
                <w:sz w:val="21"/>
              </w:rPr>
              <w:t>Montrer qu’une stratégie cloud efficace doit concilier sécurité, conformité, souplesse et performance.</w:t>
            </w:r>
          </w:p>
        </w:tc>
      </w:tr>
    </w:tbl>
    <w:p/>
    <w:p>
      <w:pPr>
        <w:spacing w:line="288" w:lineRule="auto"/>
      </w:pPr>
      <w:r>
        <w:rPr>
          <w:rFonts w:ascii="Aptos" w:hAnsi="Aptos" w:eastAsia="Aptos"/>
          <w:b/>
          <w:color w:val="234E7A"/>
          <w:sz w:val="22"/>
        </w:rPr>
        <w:t>Ce document peut être envoyé tel quel par e-mail comme base de validation du plan avant rédaction complète du mémoire.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color w:val="6E7681"/>
        <w:sz w:val="16"/>
      </w:rPr>
      <w:t>Document de travail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color w:val="6E7681"/>
        <w:sz w:val="16"/>
      </w:rPr>
      <w:t>Plan du mémoire — Sécurité du Cloud Computing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234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34E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737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basedOn w:val="Title"/>
    <w:pPr>
      <w:spacing w:after="200"/>
    </w:pPr>
    <w:rPr>
      <w:rFonts w:ascii="Aptos Display" w:hAnsi="Aptos Display" w:eastAsia="Aptos Display"/>
      <w:b/>
      <w:color w:val="123456"/>
      <w:sz w:val="44"/>
    </w:rPr>
  </w:style>
  <w:style w:type="paragraph" w:customStyle="1" w:styleId="CustomSubtitle">
    <w:name w:val="CustomSubtitle"/>
    <w:pPr>
      <w:spacing w:after="160"/>
    </w:pPr>
    <w:rPr>
      <w:rFonts w:ascii="Aptos" w:hAnsi="Aptos" w:eastAsia="Aptos"/>
      <w:color w:val="5A626C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