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34.png" ContentType="image/png"/>
  <Override PartName="/word/media/rId54.png" ContentType="image/png"/>
  <Override PartName="/word/media/rId58.png" ContentType="image/png"/>
  <Override PartName="/word/media/rId38.png" ContentType="image/png"/>
  <Override PartName="/word/media/rId50.png" ContentType="image/png"/>
  <Override PartName="/word/media/rId46.png" ContentType="image/png"/>
  <Override PartName="/word/media/rId62.png" ContentType="image/png"/>
  <Override PartName="/word/media/rId70.png" ContentType="image/png"/>
  <Override PartName="/word/media/rId7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Analysis</w:t>
      </w:r>
      <w:r>
        <w:t xml:space="preserve"> </w:t>
      </w:r>
      <w:r>
        <w:t xml:space="preserve">Project</w:t>
      </w:r>
    </w:p>
    <w:p>
      <w:pPr>
        <w:pStyle w:val="Subtitle"/>
      </w:pPr>
      <w:r>
        <w:t xml:space="preserve">DA-6833</w:t>
      </w:r>
    </w:p>
    <w:p>
      <w:pPr>
        <w:pStyle w:val="Author"/>
      </w:pPr>
      <w:r>
        <w:t xml:space="preserve">Rinu</w:t>
      </w:r>
      <w:r>
        <w:t xml:space="preserve"> </w:t>
      </w:r>
      <w:r>
        <w:t xml:space="preserve">Thomas</w:t>
      </w:r>
    </w:p>
    <w:p>
      <w:pPr>
        <w:pStyle w:val="Date"/>
      </w:pPr>
      <w:r>
        <w:t xml:space="preserve">2024-08-07</w:t>
      </w:r>
    </w:p>
    <w:bookmarkStart w:id="20" w:name="summaryabstract"/>
    <w:p>
      <w:pPr>
        <w:pStyle w:val="Heading1"/>
      </w:pPr>
      <w:r>
        <w:t xml:space="preserve">1. Summary/Abstract</w:t>
      </w:r>
    </w:p>
    <w:p>
      <w:pPr>
        <w:pStyle w:val="FirstParagraph"/>
      </w:pPr>
      <w:r>
        <w:t xml:space="preserve">The primary goal of this research project is to develop a predictive model to estimate medical insurance costs for individuals based on their health-related and personal attributes. This model will help in understanding the key factors influencing insurance charges and assist insurance companies in pricing policies more accurately.</w:t>
      </w:r>
    </w:p>
    <w:bookmarkEnd w:id="20"/>
    <w:bookmarkStart w:id="28" w:name="introduction"/>
    <w:p>
      <w:pPr>
        <w:pStyle w:val="Heading1"/>
      </w:pPr>
      <w:r>
        <w:t xml:space="preserve">2. Introduction</w:t>
      </w:r>
    </w:p>
    <w:bookmarkStart w:id="22" w:name="general-background-information"/>
    <w:p>
      <w:pPr>
        <w:pStyle w:val="Heading2"/>
      </w:pPr>
      <w:r>
        <w:t xml:space="preserve">2.1 General Background Information</w:t>
      </w:r>
    </w:p>
    <w:bookmarkStart w:id="21" w:name="X89c02aa0f98c9553a4a130221e53f4ddb22130b"/>
    <w:p>
      <w:pPr>
        <w:pStyle w:val="Heading3"/>
      </w:pPr>
      <w:r>
        <w:t xml:space="preserve">2.1.1 Importance of Predictive Modeling in Insurance</w:t>
      </w:r>
    </w:p>
    <w:p>
      <w:pPr>
        <w:pStyle w:val="FirstParagraph"/>
      </w:pPr>
      <w:r>
        <w:t xml:space="preserve">Predictive modeling plays a vital role in the insurance industry. Accurate predictions of insurance costs enable companies to:</w:t>
      </w:r>
    </w:p>
    <w:p>
      <w:pPr>
        <w:numPr>
          <w:ilvl w:val="0"/>
          <w:numId w:val="1001"/>
        </w:numPr>
      </w:pPr>
      <w:r>
        <w:t xml:space="preserve">Assess risk more effectively.</w:t>
      </w:r>
    </w:p>
    <w:p>
      <w:pPr>
        <w:numPr>
          <w:ilvl w:val="0"/>
          <w:numId w:val="1001"/>
        </w:numPr>
      </w:pPr>
      <w:r>
        <w:t xml:space="preserve">Set premiums that reflect the actual risk associated with individual policyholders.</w:t>
      </w:r>
    </w:p>
    <w:p>
      <w:pPr>
        <w:numPr>
          <w:ilvl w:val="0"/>
          <w:numId w:val="1001"/>
        </w:numPr>
      </w:pPr>
      <w:r>
        <w:t xml:space="preserve">Enhance customer satisfaction by offering personalized and fair pricing.</w:t>
      </w:r>
    </w:p>
    <w:p>
      <w:pPr>
        <w:pStyle w:val="FirstParagraph"/>
      </w:pPr>
      <w:r>
        <w:t xml:space="preserve">On the consumer side, individuals can benefit from understanding the factors that influence their insurance costs, allowing them to make informed choices about their health and financial planning.</w:t>
      </w:r>
    </w:p>
    <w:bookmarkEnd w:id="21"/>
    <w:bookmarkEnd w:id="22"/>
    <w:bookmarkStart w:id="23" w:name="description-of-data-and-data-source"/>
    <w:p>
      <w:pPr>
        <w:pStyle w:val="Heading2"/>
      </w:pPr>
      <w:r>
        <w:t xml:space="preserve">2.2 Description of data and data source</w:t>
      </w:r>
    </w:p>
    <w:p>
      <w:pPr>
        <w:pStyle w:val="FirstParagraph"/>
      </w:pPr>
      <w:r>
        <w:t xml:space="preserve">The dataset used for this analysis is sourced from Kaggle. The dataset comprises 2.7K rows and 7 columns and contains the following features:</w:t>
      </w:r>
    </w:p>
    <w:p>
      <w:pPr>
        <w:numPr>
          <w:ilvl w:val="0"/>
          <w:numId w:val="1002"/>
        </w:numPr>
      </w:pPr>
      <w:r>
        <w:rPr>
          <w:b/>
          <w:bCs/>
        </w:rPr>
        <w:t xml:space="preserve">Age</w:t>
      </w:r>
      <w:r>
        <w:t xml:space="preserve">: Age of the individual.</w:t>
      </w:r>
    </w:p>
    <w:p>
      <w:pPr>
        <w:numPr>
          <w:ilvl w:val="0"/>
          <w:numId w:val="1002"/>
        </w:numPr>
      </w:pPr>
      <w:r>
        <w:rPr>
          <w:b/>
          <w:bCs/>
        </w:rPr>
        <w:t xml:space="preserve">Sex</w:t>
      </w:r>
      <w:r>
        <w:t xml:space="preserve">: Gender of the individual (male/female).</w:t>
      </w:r>
    </w:p>
    <w:p>
      <w:pPr>
        <w:numPr>
          <w:ilvl w:val="0"/>
          <w:numId w:val="1002"/>
        </w:numPr>
      </w:pPr>
      <w:r>
        <w:rPr>
          <w:b/>
          <w:bCs/>
        </w:rPr>
        <w:t xml:space="preserve">BMI (Body Mass Index)</w:t>
      </w:r>
      <w:r>
        <w:t xml:space="preserve">: A measure of body fat based on height and weight.</w:t>
      </w:r>
    </w:p>
    <w:p>
      <w:pPr>
        <w:numPr>
          <w:ilvl w:val="0"/>
          <w:numId w:val="1002"/>
        </w:numPr>
      </w:pPr>
      <w:r>
        <w:rPr>
          <w:b/>
          <w:bCs/>
        </w:rPr>
        <w:t xml:space="preserve">Children</w:t>
      </w:r>
      <w:r>
        <w:t xml:space="preserve">: Number of children/dependents covered by the insurance plan.</w:t>
      </w:r>
    </w:p>
    <w:p>
      <w:pPr>
        <w:numPr>
          <w:ilvl w:val="0"/>
          <w:numId w:val="1002"/>
        </w:numPr>
      </w:pPr>
      <w:r>
        <w:rPr>
          <w:b/>
          <w:bCs/>
        </w:rPr>
        <w:t xml:space="preserve">Smoker</w:t>
      </w:r>
      <w:r>
        <w:t xml:space="preserve">: Smoking status of the individual (yes/no).</w:t>
      </w:r>
    </w:p>
    <w:p>
      <w:pPr>
        <w:numPr>
          <w:ilvl w:val="0"/>
          <w:numId w:val="1002"/>
        </w:numPr>
      </w:pPr>
      <w:r>
        <w:rPr>
          <w:b/>
          <w:bCs/>
        </w:rPr>
        <w:t xml:space="preserve">Region</w:t>
      </w:r>
      <w:r>
        <w:t xml:space="preserve">: Geographical region in the US where the individual resides (northeast, southeast, southwest, northwest).</w:t>
      </w:r>
    </w:p>
    <w:p>
      <w:pPr>
        <w:numPr>
          <w:ilvl w:val="0"/>
          <w:numId w:val="1002"/>
        </w:numPr>
      </w:pPr>
      <w:r>
        <w:rPr>
          <w:b/>
          <w:bCs/>
        </w:rPr>
        <w:t xml:space="preserve">Charges</w:t>
      </w:r>
      <w:r>
        <w:t xml:space="preserve">: Medical insurance costs billed by the insurance company (target variable).</w:t>
      </w:r>
    </w:p>
    <w:bookmarkEnd w:id="23"/>
    <w:bookmarkStart w:id="27" w:name="questionshypotheses-to-be-addressed"/>
    <w:p>
      <w:pPr>
        <w:pStyle w:val="Heading2"/>
      </w:pPr>
      <w:r>
        <w:t xml:space="preserve">2.3 Questions/Hypotheses to be addressed</w:t>
      </w:r>
    </w:p>
    <w:p>
      <w:pPr>
        <w:pStyle w:val="FirstParagraph"/>
      </w:pPr>
      <w:r>
        <w:t xml:space="preserve">The primary question we aim to answer using the</w:t>
      </w:r>
      <w:r>
        <w:t xml:space="preserve"> </w:t>
      </w:r>
      <w:r>
        <w:t xml:space="preserve">“</w:t>
      </w:r>
      <w:r>
        <w:t xml:space="preserve">Medical Insurance Cost Prediction</w:t>
      </w:r>
      <w:r>
        <w:t xml:space="preserve">”</w:t>
      </w:r>
      <w:r>
        <w:t xml:space="preserve"> </w:t>
      </w:r>
      <w:r>
        <w:t xml:space="preserve">dataset is:</w:t>
      </w:r>
    </w:p>
    <w:p>
      <w:pPr>
        <w:pStyle w:val="BodyText"/>
      </w:pPr>
      <w:r>
        <w:rPr>
          <w:b/>
          <w:bCs/>
        </w:rPr>
        <w:t xml:space="preserve">“</w:t>
      </w:r>
      <w:r>
        <w:rPr>
          <w:b/>
          <w:bCs/>
        </w:rPr>
        <w:t xml:space="preserve">What are the key factors influencing medical insurance costs, and how accurately can we predict these costs based on individuals’ demographic and health-related attributes?</w:t>
      </w:r>
      <w:r>
        <w:rPr>
          <w:b/>
          <w:bCs/>
        </w:rPr>
        <w:t xml:space="preserve">”</w:t>
      </w:r>
    </w:p>
    <w:bookmarkStart w:id="24" w:name="outcomes-of-interest"/>
    <w:p>
      <w:pPr>
        <w:pStyle w:val="Heading3"/>
      </w:pPr>
      <w:r>
        <w:t xml:space="preserve">2.3.1 Outcomes of Interest</w:t>
      </w:r>
    </w:p>
    <w:p>
      <w:pPr>
        <w:pStyle w:val="FirstParagraph"/>
      </w:pPr>
      <w:r>
        <w:t xml:space="preserve">The main outcome of interest in this analysis is:</w:t>
      </w:r>
    </w:p>
    <w:p>
      <w:pPr>
        <w:pStyle w:val="Compact"/>
        <w:numPr>
          <w:ilvl w:val="0"/>
          <w:numId w:val="1003"/>
        </w:numPr>
      </w:pPr>
      <w:r>
        <w:rPr>
          <w:b/>
          <w:bCs/>
        </w:rPr>
        <w:t xml:space="preserve">Medical Insurance Costs (charges)</w:t>
      </w:r>
      <w:r>
        <w:t xml:space="preserve">: The amount billed by the insurance company for an individual’s medical insurance.</w:t>
      </w:r>
    </w:p>
    <w:bookmarkEnd w:id="24"/>
    <w:bookmarkStart w:id="25" w:name="specific-predictors"/>
    <w:p>
      <w:pPr>
        <w:pStyle w:val="Heading3"/>
      </w:pPr>
      <w:r>
        <w:t xml:space="preserve">2.3.2 Specific Predictors</w:t>
      </w:r>
    </w:p>
    <w:p>
      <w:pPr>
        <w:pStyle w:val="FirstParagraph"/>
      </w:pPr>
      <w:r>
        <w:t xml:space="preserve">The specific predictors (independent variables) we will focus on include:</w:t>
      </w:r>
    </w:p>
    <w:p>
      <w:pPr>
        <w:numPr>
          <w:ilvl w:val="0"/>
          <w:numId w:val="1004"/>
        </w:numPr>
      </w:pPr>
      <w:r>
        <w:rPr>
          <w:b/>
          <w:bCs/>
        </w:rPr>
        <w:t xml:space="preserve">Age</w:t>
      </w:r>
      <w:r>
        <w:t xml:space="preserve">: How age influences insurance costs.</w:t>
      </w:r>
    </w:p>
    <w:p>
      <w:pPr>
        <w:numPr>
          <w:ilvl w:val="0"/>
          <w:numId w:val="1004"/>
        </w:numPr>
      </w:pPr>
      <w:r>
        <w:rPr>
          <w:b/>
          <w:bCs/>
        </w:rPr>
        <w:t xml:space="preserve">Sex</w:t>
      </w:r>
      <w:r>
        <w:t xml:space="preserve">: The impact of gender on insurance costs.</w:t>
      </w:r>
    </w:p>
    <w:p>
      <w:pPr>
        <w:numPr>
          <w:ilvl w:val="0"/>
          <w:numId w:val="1004"/>
        </w:numPr>
      </w:pPr>
      <w:r>
        <w:rPr>
          <w:b/>
          <w:bCs/>
        </w:rPr>
        <w:t xml:space="preserve">BMI (Body Mass Index)</w:t>
      </w:r>
      <w:r>
        <w:t xml:space="preserve">: The relationship between BMI and insurance costs.</w:t>
      </w:r>
    </w:p>
    <w:p>
      <w:pPr>
        <w:numPr>
          <w:ilvl w:val="0"/>
          <w:numId w:val="1004"/>
        </w:numPr>
      </w:pPr>
      <w:r>
        <w:rPr>
          <w:b/>
          <w:bCs/>
        </w:rPr>
        <w:t xml:space="preserve">Children</w:t>
      </w:r>
      <w:r>
        <w:t xml:space="preserve">: How the number of dependents affects insurance costs.</w:t>
      </w:r>
    </w:p>
    <w:p>
      <w:pPr>
        <w:numPr>
          <w:ilvl w:val="0"/>
          <w:numId w:val="1004"/>
        </w:numPr>
      </w:pPr>
      <w:r>
        <w:rPr>
          <w:b/>
          <w:bCs/>
        </w:rPr>
        <w:t xml:space="preserve">Smoker</w:t>
      </w:r>
      <w:r>
        <w:t xml:space="preserve">: The effect of smoking status on insurance costs.</w:t>
      </w:r>
    </w:p>
    <w:p>
      <w:pPr>
        <w:numPr>
          <w:ilvl w:val="0"/>
          <w:numId w:val="1004"/>
        </w:numPr>
      </w:pPr>
      <w:r>
        <w:rPr>
          <w:b/>
          <w:bCs/>
        </w:rPr>
        <w:t xml:space="preserve">Region</w:t>
      </w:r>
      <w:r>
        <w:t xml:space="preserve">: Regional differences in insurance costs within the US.</w:t>
      </w:r>
    </w:p>
    <w:bookmarkEnd w:id="25"/>
    <w:bookmarkStart w:id="26" w:name="relationspatterns-of-interest"/>
    <w:p>
      <w:pPr>
        <w:pStyle w:val="Heading3"/>
      </w:pPr>
      <w:r>
        <w:t xml:space="preserve">2.3.3 Relations/Patterns of Interest</w:t>
      </w:r>
    </w:p>
    <w:p>
      <w:pPr>
        <w:pStyle w:val="FirstParagraph"/>
      </w:pPr>
      <w:r>
        <w:t xml:space="preserve">I am looking for several key relationships and patterns in the data, including:</w:t>
      </w:r>
    </w:p>
    <w:p>
      <w:pPr>
        <w:numPr>
          <w:ilvl w:val="0"/>
          <w:numId w:val="1005"/>
        </w:numPr>
      </w:pPr>
      <w:r>
        <w:rPr>
          <w:b/>
          <w:bCs/>
        </w:rPr>
        <w:t xml:space="preserve">Age and Insurance Costs</w:t>
      </w:r>
      <w:r>
        <w:t xml:space="preserve">:Investigating whether older individuals tend to have higher medical insurance costs.</w:t>
      </w:r>
    </w:p>
    <w:p>
      <w:pPr>
        <w:numPr>
          <w:ilvl w:val="0"/>
          <w:numId w:val="1005"/>
        </w:numPr>
      </w:pPr>
      <w:r>
        <w:rPr>
          <w:b/>
          <w:bCs/>
        </w:rPr>
        <w:t xml:space="preserve">Gender Differences</w:t>
      </w:r>
      <w:r>
        <w:t xml:space="preserve">:Analyzing whether there is a significant difference in insurance costs between males and females.</w:t>
      </w:r>
    </w:p>
    <w:p>
      <w:pPr>
        <w:numPr>
          <w:ilvl w:val="0"/>
          <w:numId w:val="1005"/>
        </w:numPr>
      </w:pPr>
      <w:r>
        <w:rPr>
          <w:b/>
          <w:bCs/>
        </w:rPr>
        <w:t xml:space="preserve">BMI and Insurance Costs</w:t>
      </w:r>
      <w:r>
        <w:t xml:space="preserve">:Exploring the relationship between an individual’s BMI and their medical insurance costs.Identifying any nonlinear patterns where very high or very low BMI values might correlate with higher insurance costs.</w:t>
      </w:r>
    </w:p>
    <w:p>
      <w:pPr>
        <w:numPr>
          <w:ilvl w:val="0"/>
          <w:numId w:val="1005"/>
        </w:numPr>
      </w:pPr>
      <w:r>
        <w:rPr>
          <w:b/>
          <w:bCs/>
        </w:rPr>
        <w:t xml:space="preserve">Impact of Smoking</w:t>
      </w:r>
      <w:r>
        <w:t xml:space="preserve">:Assessing how smoking status (yes/no) affects insurance costs.Quantifying the cost difference between smokers and non-smokers.</w:t>
      </w:r>
    </w:p>
    <w:p>
      <w:pPr>
        <w:numPr>
          <w:ilvl w:val="0"/>
          <w:numId w:val="1005"/>
        </w:numPr>
      </w:pPr>
      <w:r>
        <w:rPr>
          <w:b/>
          <w:bCs/>
        </w:rPr>
        <w:t xml:space="preserve">Number of Children</w:t>
      </w:r>
      <w:r>
        <w:t xml:space="preserve">: Examining whether having more dependents (children) increases insurance costs.</w:t>
      </w:r>
    </w:p>
    <w:p>
      <w:pPr>
        <w:numPr>
          <w:ilvl w:val="0"/>
          <w:numId w:val="1005"/>
        </w:numPr>
      </w:pPr>
      <w:r>
        <w:rPr>
          <w:b/>
          <w:bCs/>
        </w:rPr>
        <w:t xml:space="preserve">Regional Variations</w:t>
      </w:r>
      <w:r>
        <w:t xml:space="preserve">: Identifying differences in insurance costs across different regions in the US (northeast, southeast, southwest, northwest).</w:t>
      </w:r>
    </w:p>
    <w:bookmarkEnd w:id="26"/>
    <w:bookmarkEnd w:id="27"/>
    <w:bookmarkEnd w:id="28"/>
    <w:bookmarkStart w:id="32" w:name="methods"/>
    <w:p>
      <w:pPr>
        <w:pStyle w:val="Heading1"/>
      </w:pPr>
      <w:r>
        <w:t xml:space="preserve">3. Methods</w:t>
      </w:r>
    </w:p>
    <w:p>
      <w:pPr>
        <w:pStyle w:val="FirstParagraph"/>
      </w:pPr>
      <w:r>
        <w:t xml:space="preserve">The methods used to clean, process and analyze the are as follows:</w:t>
      </w:r>
    </w:p>
    <w:p>
      <w:pPr>
        <w:pStyle w:val="Compact"/>
        <w:numPr>
          <w:ilvl w:val="0"/>
          <w:numId w:val="1006"/>
        </w:numPr>
      </w:pPr>
      <w:r>
        <w:rPr>
          <w:b/>
          <w:bCs/>
        </w:rPr>
        <w:t xml:space="preserve">Data Cleaning and Preprocessing:</w:t>
      </w:r>
    </w:p>
    <w:p>
      <w:pPr>
        <w:pStyle w:val="Compact"/>
        <w:numPr>
          <w:ilvl w:val="1"/>
          <w:numId w:val="1007"/>
        </w:numPr>
      </w:pPr>
      <w:r>
        <w:t xml:space="preserve">Load the data</w:t>
      </w:r>
    </w:p>
    <w:p>
      <w:pPr>
        <w:pStyle w:val="Compact"/>
        <w:numPr>
          <w:ilvl w:val="1"/>
          <w:numId w:val="1007"/>
        </w:numPr>
      </w:pPr>
      <w:r>
        <w:t xml:space="preserve">Convert categorical variable</w:t>
      </w:r>
    </w:p>
    <w:p>
      <w:pPr>
        <w:pStyle w:val="Compact"/>
        <w:numPr>
          <w:ilvl w:val="1"/>
          <w:numId w:val="1007"/>
        </w:numPr>
      </w:pPr>
      <w:r>
        <w:t xml:space="preserve">Identify missing values</w:t>
      </w:r>
    </w:p>
    <w:p>
      <w:pPr>
        <w:pStyle w:val="Compact"/>
        <w:numPr>
          <w:ilvl w:val="1"/>
          <w:numId w:val="1007"/>
        </w:numPr>
      </w:pPr>
      <w:r>
        <w:t xml:space="preserve">Find Outliers</w:t>
      </w:r>
    </w:p>
    <w:p>
      <w:pPr>
        <w:pStyle w:val="Compact"/>
        <w:numPr>
          <w:ilvl w:val="0"/>
          <w:numId w:val="1006"/>
        </w:numPr>
      </w:pPr>
      <w:r>
        <w:rPr>
          <w:b/>
          <w:bCs/>
        </w:rPr>
        <w:t xml:space="preserve">Exploratory Data Analysis:</w:t>
      </w:r>
    </w:p>
    <w:p>
      <w:pPr>
        <w:pStyle w:val="Compact"/>
        <w:numPr>
          <w:ilvl w:val="1"/>
          <w:numId w:val="1008"/>
        </w:numPr>
      </w:pPr>
      <w:r>
        <w:t xml:space="preserve">Summarize the data</w:t>
      </w:r>
    </w:p>
    <w:p>
      <w:pPr>
        <w:pStyle w:val="Compact"/>
        <w:numPr>
          <w:ilvl w:val="1"/>
          <w:numId w:val="1008"/>
        </w:numPr>
      </w:pPr>
      <w:r>
        <w:t xml:space="preserve">Visualize the data</w:t>
      </w:r>
    </w:p>
    <w:p>
      <w:pPr>
        <w:pStyle w:val="Compact"/>
        <w:numPr>
          <w:ilvl w:val="0"/>
          <w:numId w:val="1006"/>
        </w:numPr>
      </w:pPr>
      <w:r>
        <w:rPr>
          <w:b/>
          <w:bCs/>
        </w:rPr>
        <w:t xml:space="preserve">Model building and Analysis Approach:</w:t>
      </w:r>
    </w:p>
    <w:p>
      <w:pPr>
        <w:pStyle w:val="Compact"/>
        <w:numPr>
          <w:ilvl w:val="1"/>
          <w:numId w:val="1009"/>
        </w:numPr>
      </w:pPr>
      <w:r>
        <w:t xml:space="preserve">Train-Test split the data</w:t>
      </w:r>
    </w:p>
    <w:p>
      <w:pPr>
        <w:pStyle w:val="Compact"/>
        <w:numPr>
          <w:ilvl w:val="1"/>
          <w:numId w:val="1009"/>
        </w:numPr>
      </w:pPr>
      <w:r>
        <w:t xml:space="preserve">Linear Regression Model</w:t>
      </w:r>
    </w:p>
    <w:p>
      <w:pPr>
        <w:pStyle w:val="Compact"/>
        <w:numPr>
          <w:ilvl w:val="1"/>
          <w:numId w:val="1009"/>
        </w:numPr>
      </w:pPr>
      <w:r>
        <w:t xml:space="preserve">Random Forest Model</w:t>
      </w:r>
    </w:p>
    <w:p>
      <w:pPr>
        <w:pStyle w:val="Compact"/>
        <w:numPr>
          <w:ilvl w:val="1"/>
          <w:numId w:val="1009"/>
        </w:numPr>
      </w:pPr>
      <w:r>
        <w:t xml:space="preserve">Model Evaluation</w:t>
      </w:r>
    </w:p>
    <w:bookmarkStart w:id="30" w:name="data-import-and-cleaning"/>
    <w:p>
      <w:pPr>
        <w:pStyle w:val="Heading2"/>
      </w:pPr>
      <w:r>
        <w:t xml:space="preserve">3.1 Data import and cleaning</w:t>
      </w:r>
    </w:p>
    <w:p>
      <w:pPr>
        <w:pStyle w:val="FirstParagraph"/>
      </w:pPr>
      <w:r>
        <w:t xml:space="preserve">The dataset used in this analysis is sourced from Kaggle. The dataset was downloaded directly from Kaggle website. It can be accessed at the following URL:</w:t>
      </w:r>
      <w:r>
        <w:t xml:space="preserve"> </w:t>
      </w:r>
      <w:hyperlink r:id="rId29">
        <w:r>
          <w:rPr>
            <w:rStyle w:val="Hyperlink"/>
          </w:rPr>
          <w:t xml:space="preserve">Medical Insurance Cost Prediction</w:t>
        </w:r>
      </w:hyperlink>
      <w:r>
        <w:t xml:space="preserve">.</w:t>
      </w:r>
    </w:p>
    <w:p>
      <w:pPr>
        <w:pStyle w:val="BodyText"/>
      </w:pPr>
      <w:r>
        <w:t xml:space="preserve">The methods used to clean, process and analyze the are as follows:</w:t>
      </w:r>
    </w:p>
    <w:p>
      <w:pPr>
        <w:pStyle w:val="Compact"/>
        <w:numPr>
          <w:ilvl w:val="0"/>
          <w:numId w:val="1010"/>
        </w:numPr>
      </w:pPr>
      <w:r>
        <w:rPr>
          <w:b/>
          <w:bCs/>
        </w:rPr>
        <w:t xml:space="preserve">Data Cleaning and Preprocessing:</w:t>
      </w:r>
    </w:p>
    <w:p>
      <w:pPr>
        <w:pStyle w:val="Compact"/>
        <w:numPr>
          <w:ilvl w:val="1"/>
          <w:numId w:val="1011"/>
        </w:numPr>
      </w:pPr>
      <w:r>
        <w:t xml:space="preserve">Load the data (can be found in processingcode2.R)</w:t>
      </w:r>
    </w:p>
    <w:p>
      <w:pPr>
        <w:pStyle w:val="Compact"/>
        <w:numPr>
          <w:ilvl w:val="1"/>
          <w:numId w:val="1011"/>
        </w:numPr>
      </w:pPr>
      <w:r>
        <w:t xml:space="preserve">Convert categorical variable (can be found in processingcode2.R)</w:t>
      </w:r>
    </w:p>
    <w:p>
      <w:pPr>
        <w:pStyle w:val="Compact"/>
        <w:numPr>
          <w:ilvl w:val="1"/>
          <w:numId w:val="1011"/>
        </w:numPr>
      </w:pPr>
      <w:r>
        <w:t xml:space="preserve">Identify missing values (can be found in processingcode2.R)</w:t>
      </w:r>
    </w:p>
    <w:p>
      <w:pPr>
        <w:pStyle w:val="Compact"/>
        <w:numPr>
          <w:ilvl w:val="1"/>
          <w:numId w:val="1011"/>
        </w:numPr>
      </w:pPr>
      <w:r>
        <w:t xml:space="preserve">Find Outlier (can be found in eda2.R)</w:t>
      </w:r>
    </w:p>
    <w:p>
      <w:pPr>
        <w:pStyle w:val="Compact"/>
        <w:numPr>
          <w:ilvl w:val="0"/>
          <w:numId w:val="1010"/>
        </w:numPr>
      </w:pPr>
      <w:r>
        <w:rPr>
          <w:b/>
          <w:bCs/>
        </w:rPr>
        <w:t xml:space="preserve">Exploratory Data Analysis:</w:t>
      </w:r>
    </w:p>
    <w:p>
      <w:pPr>
        <w:pStyle w:val="Compact"/>
        <w:numPr>
          <w:ilvl w:val="1"/>
          <w:numId w:val="1012"/>
        </w:numPr>
      </w:pPr>
      <w:r>
        <w:t xml:space="preserve">Summarize the data (can be found in eda2.R)</w:t>
      </w:r>
    </w:p>
    <w:p>
      <w:pPr>
        <w:pStyle w:val="Compact"/>
        <w:numPr>
          <w:ilvl w:val="1"/>
          <w:numId w:val="1012"/>
        </w:numPr>
      </w:pPr>
      <w:r>
        <w:t xml:space="preserve">Visualize the data (can be found in eda2.R)</w:t>
      </w:r>
    </w:p>
    <w:p>
      <w:pPr>
        <w:pStyle w:val="Compact"/>
        <w:numPr>
          <w:ilvl w:val="0"/>
          <w:numId w:val="1010"/>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3"/>
        </w:numPr>
      </w:pPr>
      <w:r>
        <w:t xml:space="preserve">Train-Test split the data</w:t>
      </w:r>
    </w:p>
    <w:p>
      <w:pPr>
        <w:pStyle w:val="Compact"/>
        <w:numPr>
          <w:ilvl w:val="1"/>
          <w:numId w:val="1013"/>
        </w:numPr>
      </w:pPr>
      <w:r>
        <w:t xml:space="preserve">Linear Regression Model</w:t>
      </w:r>
    </w:p>
    <w:p>
      <w:pPr>
        <w:pStyle w:val="Compact"/>
        <w:numPr>
          <w:ilvl w:val="1"/>
          <w:numId w:val="1013"/>
        </w:numPr>
      </w:pPr>
      <w:r>
        <w:t xml:space="preserve">Random Forest Model</w:t>
      </w:r>
    </w:p>
    <w:p>
      <w:pPr>
        <w:pStyle w:val="Compact"/>
        <w:numPr>
          <w:ilvl w:val="1"/>
          <w:numId w:val="1013"/>
        </w:numPr>
      </w:pPr>
      <w:r>
        <w:t xml:space="preserve">Model Evaluation</w:t>
      </w:r>
    </w:p>
    <w:bookmarkEnd w:id="30"/>
    <w:bookmarkStart w:id="31" w:name="statistical-analysis"/>
    <w:p>
      <w:pPr>
        <w:pStyle w:val="Heading2"/>
      </w:pPr>
      <w:r>
        <w:t xml:space="preserve">3.2 Statistical analysis</w:t>
      </w:r>
    </w:p>
    <w:p>
      <w:pPr>
        <w:pStyle w:val="FirstParagraph"/>
      </w:pPr>
      <w:r>
        <w:t xml:space="preserve">The data will be built and analyzed as follows:</w:t>
      </w:r>
    </w:p>
    <w:p>
      <w:pPr>
        <w:pStyle w:val="Compact"/>
        <w:numPr>
          <w:ilvl w:val="0"/>
          <w:numId w:val="1014"/>
        </w:numPr>
      </w:pPr>
      <w:r>
        <w:rPr>
          <w:b/>
          <w:bCs/>
        </w:rPr>
        <w:t xml:space="preserve">Model building and Analysis Approach:</w:t>
      </w:r>
      <w:r>
        <w:rPr>
          <w:b/>
          <w:bCs/>
        </w:rPr>
        <w:t xml:space="preserve"> </w:t>
      </w:r>
      <w:r>
        <w:rPr>
          <w:b/>
          <w:bCs/>
          <w:i/>
          <w:iCs/>
        </w:rPr>
        <w:t xml:space="preserve">(Have not started yet)</w:t>
      </w:r>
    </w:p>
    <w:p>
      <w:pPr>
        <w:pStyle w:val="Compact"/>
        <w:numPr>
          <w:ilvl w:val="1"/>
          <w:numId w:val="1015"/>
        </w:numPr>
      </w:pPr>
      <w:r>
        <w:t xml:space="preserve">Train-Test split the data</w:t>
      </w:r>
    </w:p>
    <w:p>
      <w:pPr>
        <w:pStyle w:val="Compact"/>
        <w:numPr>
          <w:ilvl w:val="1"/>
          <w:numId w:val="1015"/>
        </w:numPr>
      </w:pPr>
      <w:r>
        <w:t xml:space="preserve">Linear Regression Model</w:t>
      </w:r>
    </w:p>
    <w:p>
      <w:pPr>
        <w:pStyle w:val="Compact"/>
        <w:numPr>
          <w:ilvl w:val="1"/>
          <w:numId w:val="1015"/>
        </w:numPr>
      </w:pPr>
      <w:r>
        <w:t xml:space="preserve">Random Forest Model</w:t>
      </w:r>
    </w:p>
    <w:p>
      <w:pPr>
        <w:pStyle w:val="Compact"/>
        <w:numPr>
          <w:ilvl w:val="1"/>
          <w:numId w:val="1015"/>
        </w:numPr>
      </w:pPr>
      <w:r>
        <w:t xml:space="preserve">Model Evaluation</w:t>
      </w:r>
    </w:p>
    <w:p>
      <w:r>
        <w:br w:type="page"/>
      </w:r>
    </w:p>
    <w:bookmarkEnd w:id="31"/>
    <w:bookmarkEnd w:id="32"/>
    <w:bookmarkStart w:id="80" w:name="results"/>
    <w:p>
      <w:pPr>
        <w:pStyle w:val="Heading1"/>
      </w:pPr>
      <w:r>
        <w:t xml:space="preserve">4. Results</w:t>
      </w:r>
    </w:p>
    <w:bookmarkStart w:id="66" w:name="exploratorydescriptive-analysis"/>
    <w:p>
      <w:pPr>
        <w:pStyle w:val="Heading2"/>
      </w:pPr>
      <w:r>
        <w:t xml:space="preserve">4.1 Exploratory/Descriptive analysis</w:t>
      </w:r>
    </w:p>
    <w:p>
      <w:pPr>
        <w:pStyle w:val="FirstParagraph"/>
      </w:pPr>
      <w:hyperlink w:anchor="tbl-summarytable">
        <w:r>
          <w:rPr>
            <w:rStyle w:val="Hyperlink"/>
          </w:rPr>
          <w:t xml:space="preserve">Table 1</w:t>
        </w:r>
      </w:hyperlink>
      <w:r>
        <w:t xml:space="preserve"> </w:t>
      </w:r>
      <w:r>
        <w:t xml:space="preserve">shows a summary of the data.</w:t>
      </w:r>
    </w:p>
    <w:tbl>
      <w:tblPr>
        <w:tblStyle w:val="Table"/>
        <w:tblW w:type="pct" w:w="5000"/>
        <w:tblLayout w:type="fixed"/>
        <w:tblLook w:firstRow="0" w:lastRow="0" w:firstColumn="0" w:lastColumn="0" w:noHBand="0" w:noVBand="0" w:val="0000"/>
      </w:tblPr>
      <w:tblGrid>
        <w:gridCol w:w="7920"/>
      </w:tblGrid>
      <w:tr>
        <w:tc>
          <w:tcPr/>
          <w:bookmarkStart w:id="33" w:name="tbl-summarytable"/>
          <w:p>
            <w:pPr>
              <w:jc w:val="center"/>
            </w:pPr>
            <w:pPr>
              <w:jc w:val="start"/>
              <w:spacing w:before="200"/>
              <w:pStyle w:val="ImageCaption"/>
            </w:pPr>
            <w:r>
              <w:t xml:space="preserve">Table 1: Data summary table.</w:t>
            </w:r>
          </w:p>
          <w:tbl>
            <w:tblPr>
              <w:tblStyle w:val="Table"/>
              <w:tblW w:type="pct" w:w="5000"/>
              <w:tblLayout w:type="fixed"/>
              <w:tblLook w:firstRow="1" w:lastRow="0" w:firstColumn="0" w:lastColumn="0" w:noHBand="0" w:noVBand="0" w:val="0020"/>
            </w:tblPr>
            <w:tblGrid>
              <w:gridCol w:w="252"/>
              <w:gridCol w:w="1179"/>
              <w:gridCol w:w="1011"/>
              <w:gridCol w:w="1179"/>
              <w:gridCol w:w="1179"/>
              <w:gridCol w:w="758"/>
              <w:gridCol w:w="1179"/>
              <w:gridCol w:w="1179"/>
            </w:tblGrid>
            <w:tr>
              <w:trPr>
                <w:tblHeader w:val="on"/>
              </w:trPr>
              <w:tc>
                <w:tcPr/>
                <w:p>
                  <w:pPr>
                    <w:pStyle w:val="Compact"/>
                  </w:pPr>
                </w:p>
              </w:tc>
              <w:tc>
                <w:tcPr/>
                <w:p>
                  <w:pPr>
                    <w:pStyle w:val="Compact"/>
                    <w:jc w:val="left"/>
                    <w:jc w:val="center"/>
                  </w:pPr>
                  <w:r>
                    <w:t xml:space="preserve">age</w:t>
                  </w:r>
                </w:p>
              </w:tc>
              <w:tc>
                <w:tcPr/>
                <w:p>
                  <w:pPr>
                    <w:pStyle w:val="Compact"/>
                    <w:jc w:val="left"/>
                    <w:jc w:val="center"/>
                  </w:pPr>
                  <w:r>
                    <w:t xml:space="preserve">sex</w:t>
                  </w:r>
                </w:p>
              </w:tc>
              <w:tc>
                <w:tcPr/>
                <w:p>
                  <w:pPr>
                    <w:pStyle w:val="Compact"/>
                    <w:jc w:val="left"/>
                    <w:jc w:val="center"/>
                  </w:pPr>
                  <w:r>
                    <w:t xml:space="preserve">bmi</w:t>
                  </w:r>
                </w:p>
              </w:tc>
              <w:tc>
                <w:tcPr/>
                <w:p>
                  <w:pPr>
                    <w:pStyle w:val="Compact"/>
                    <w:jc w:val="left"/>
                    <w:jc w:val="center"/>
                  </w:pPr>
                  <w:r>
                    <w:t xml:space="preserve">children</w:t>
                  </w:r>
                </w:p>
              </w:tc>
              <w:tc>
                <w:tcPr/>
                <w:p>
                  <w:pPr>
                    <w:pStyle w:val="Compact"/>
                    <w:jc w:val="left"/>
                    <w:jc w:val="center"/>
                  </w:pPr>
                  <w:r>
                    <w:t xml:space="preserve">smoker</w:t>
                  </w:r>
                </w:p>
              </w:tc>
              <w:tc>
                <w:tcPr/>
                <w:p>
                  <w:pPr>
                    <w:pStyle w:val="Compact"/>
                    <w:jc w:val="left"/>
                    <w:jc w:val="center"/>
                  </w:pPr>
                  <w:r>
                    <w:t xml:space="preserve">region</w:t>
                  </w:r>
                </w:p>
              </w:tc>
              <w:tc>
                <w:tcPr/>
                <w:p>
                  <w:pPr>
                    <w:pStyle w:val="Compact"/>
                    <w:jc w:val="left"/>
                    <w:jc w:val="center"/>
                  </w:pPr>
                  <w:r>
                    <w:t xml:space="preserve">charges</w:t>
                  </w:r>
                </w:p>
              </w:tc>
            </w:tr>
            <w:tr>
              <w:tc>
                <w:tcPr/>
                <w:p>
                  <w:pPr>
                    <w:pStyle w:val="Compact"/>
                  </w:pPr>
                </w:p>
              </w:tc>
              <w:tc>
                <w:tcPr/>
                <w:p>
                  <w:pPr>
                    <w:pStyle w:val="Compact"/>
                    <w:jc w:val="left"/>
                    <w:jc w:val="center"/>
                  </w:pPr>
                  <w:r>
                    <w:t xml:space="preserve">Min. :18.00</w:t>
                  </w:r>
                </w:p>
              </w:tc>
              <w:tc>
                <w:tcPr/>
                <w:p>
                  <w:pPr>
                    <w:pStyle w:val="Compact"/>
                    <w:jc w:val="left"/>
                    <w:jc w:val="center"/>
                  </w:pPr>
                  <w:r>
                    <w:t xml:space="preserve">female:1366</w:t>
                  </w:r>
                </w:p>
              </w:tc>
              <w:tc>
                <w:tcPr/>
                <w:p>
                  <w:pPr>
                    <w:pStyle w:val="Compact"/>
                    <w:jc w:val="left"/>
                    <w:jc w:val="center"/>
                  </w:pPr>
                  <w:r>
                    <w:t xml:space="preserve">Min. :15.96</w:t>
                  </w:r>
                </w:p>
              </w:tc>
              <w:tc>
                <w:tcPr/>
                <w:p>
                  <w:pPr>
                    <w:pStyle w:val="Compact"/>
                    <w:jc w:val="left"/>
                    <w:jc w:val="center"/>
                  </w:pPr>
                  <w:r>
                    <w:t xml:space="preserve">Min. :0.000</w:t>
                  </w:r>
                </w:p>
              </w:tc>
              <w:tc>
                <w:tcPr/>
                <w:p>
                  <w:pPr>
                    <w:pStyle w:val="Compact"/>
                    <w:jc w:val="left"/>
                    <w:jc w:val="center"/>
                  </w:pPr>
                  <w:r>
                    <w:t xml:space="preserve">no :2208</w:t>
                  </w:r>
                </w:p>
              </w:tc>
              <w:tc>
                <w:tcPr/>
                <w:p>
                  <w:pPr>
                    <w:pStyle w:val="Compact"/>
                    <w:jc w:val="left"/>
                    <w:jc w:val="center"/>
                  </w:pPr>
                  <w:r>
                    <w:t xml:space="preserve">northeast:658</w:t>
                  </w:r>
                </w:p>
              </w:tc>
              <w:tc>
                <w:tcPr/>
                <w:p>
                  <w:pPr>
                    <w:pStyle w:val="Compact"/>
                    <w:jc w:val="left"/>
                    <w:jc w:val="center"/>
                  </w:pPr>
                  <w:r>
                    <w:t xml:space="preserve">Min. : 1122</w:t>
                  </w:r>
                </w:p>
              </w:tc>
            </w:tr>
            <w:tr>
              <w:tc>
                <w:tcPr/>
                <w:p>
                  <w:pPr>
                    <w:pStyle w:val="Compact"/>
                  </w:pPr>
                </w:p>
              </w:tc>
              <w:tc>
                <w:tcPr/>
                <w:p>
                  <w:pPr>
                    <w:pStyle w:val="Compact"/>
                    <w:jc w:val="left"/>
                    <w:jc w:val="center"/>
                  </w:pPr>
                  <w:r>
                    <w:t xml:space="preserve">1st Qu.:26.00</w:t>
                  </w:r>
                </w:p>
              </w:tc>
              <w:tc>
                <w:tcPr/>
                <w:p>
                  <w:pPr>
                    <w:pStyle w:val="Compact"/>
                    <w:jc w:val="left"/>
                    <w:jc w:val="center"/>
                  </w:pPr>
                  <w:r>
                    <w:t xml:space="preserve">male :1406</w:t>
                  </w:r>
                </w:p>
              </w:tc>
              <w:tc>
                <w:tcPr/>
                <w:p>
                  <w:pPr>
                    <w:pStyle w:val="Compact"/>
                    <w:jc w:val="left"/>
                    <w:jc w:val="center"/>
                  </w:pPr>
                  <w:r>
                    <w:t xml:space="preserve">1st Qu.:26.22</w:t>
                  </w:r>
                </w:p>
              </w:tc>
              <w:tc>
                <w:tcPr/>
                <w:p>
                  <w:pPr>
                    <w:pStyle w:val="Compact"/>
                    <w:jc w:val="left"/>
                    <w:jc w:val="center"/>
                  </w:pPr>
                  <w:r>
                    <w:t xml:space="preserve">1st Qu.:0.000</w:t>
                  </w:r>
                </w:p>
              </w:tc>
              <w:tc>
                <w:tcPr/>
                <w:p>
                  <w:pPr>
                    <w:pStyle w:val="Compact"/>
                    <w:jc w:val="left"/>
                    <w:jc w:val="center"/>
                  </w:pPr>
                  <w:r>
                    <w:t xml:space="preserve">yes: 564</w:t>
                  </w:r>
                </w:p>
              </w:tc>
              <w:tc>
                <w:tcPr/>
                <w:p>
                  <w:pPr>
                    <w:pStyle w:val="Compact"/>
                    <w:jc w:val="left"/>
                    <w:jc w:val="center"/>
                  </w:pPr>
                  <w:r>
                    <w:t xml:space="preserve">northwest:664</w:t>
                  </w:r>
                </w:p>
              </w:tc>
              <w:tc>
                <w:tcPr/>
                <w:p>
                  <w:pPr>
                    <w:pStyle w:val="Compact"/>
                    <w:jc w:val="left"/>
                    <w:jc w:val="center"/>
                  </w:pPr>
                  <w:r>
                    <w:t xml:space="preserve">1st Qu.: 4688</w:t>
                  </w:r>
                </w:p>
              </w:tc>
            </w:tr>
            <w:tr>
              <w:tc>
                <w:tcPr/>
                <w:p>
                  <w:pPr>
                    <w:pStyle w:val="Compact"/>
                  </w:pPr>
                </w:p>
              </w:tc>
              <w:tc>
                <w:tcPr/>
                <w:p>
                  <w:pPr>
                    <w:pStyle w:val="Compact"/>
                    <w:jc w:val="left"/>
                    <w:jc w:val="center"/>
                  </w:pPr>
                  <w:r>
                    <w:t xml:space="preserve">Median :39.00</w:t>
                  </w:r>
                </w:p>
              </w:tc>
              <w:tc>
                <w:tcPr/>
                <w:p>
                  <w:pPr>
                    <w:pStyle w:val="Compact"/>
                    <w:jc w:val="left"/>
                    <w:jc w:val="center"/>
                  </w:pPr>
                  <w:r>
                    <w:t xml:space="preserve">NA</w:t>
                  </w:r>
                </w:p>
              </w:tc>
              <w:tc>
                <w:tcPr/>
                <w:p>
                  <w:pPr>
                    <w:pStyle w:val="Compact"/>
                    <w:jc w:val="left"/>
                    <w:jc w:val="center"/>
                  </w:pPr>
                  <w:r>
                    <w:t xml:space="preserve">Median :30.45</w:t>
                  </w:r>
                </w:p>
              </w:tc>
              <w:tc>
                <w:tcPr/>
                <w:p>
                  <w:pPr>
                    <w:pStyle w:val="Compact"/>
                    <w:jc w:val="left"/>
                    <w:jc w:val="center"/>
                  </w:pPr>
                  <w:r>
                    <w:t xml:space="preserve">Median :1.000</w:t>
                  </w:r>
                </w:p>
              </w:tc>
              <w:tc>
                <w:tcPr/>
                <w:p>
                  <w:pPr>
                    <w:pStyle w:val="Compact"/>
                    <w:jc w:val="left"/>
                    <w:jc w:val="center"/>
                  </w:pPr>
                  <w:r>
                    <w:t xml:space="preserve">NA</w:t>
                  </w:r>
                </w:p>
              </w:tc>
              <w:tc>
                <w:tcPr/>
                <w:p>
                  <w:pPr>
                    <w:pStyle w:val="Compact"/>
                    <w:jc w:val="left"/>
                    <w:jc w:val="center"/>
                  </w:pPr>
                  <w:r>
                    <w:t xml:space="preserve">southeast:766</w:t>
                  </w:r>
                </w:p>
              </w:tc>
              <w:tc>
                <w:tcPr/>
                <w:p>
                  <w:pPr>
                    <w:pStyle w:val="Compact"/>
                    <w:jc w:val="left"/>
                    <w:jc w:val="center"/>
                  </w:pPr>
                  <w:r>
                    <w:t xml:space="preserve">Median : 9333</w:t>
                  </w:r>
                </w:p>
              </w:tc>
            </w:tr>
            <w:tr>
              <w:tc>
                <w:tcPr/>
                <w:p>
                  <w:pPr>
                    <w:pStyle w:val="Compact"/>
                  </w:pPr>
                </w:p>
              </w:tc>
              <w:tc>
                <w:tcPr/>
                <w:p>
                  <w:pPr>
                    <w:pStyle w:val="Compact"/>
                    <w:jc w:val="left"/>
                    <w:jc w:val="center"/>
                  </w:pPr>
                  <w:r>
                    <w:t xml:space="preserve">Mean :39.11</w:t>
                  </w:r>
                </w:p>
              </w:tc>
              <w:tc>
                <w:tcPr/>
                <w:p>
                  <w:pPr>
                    <w:pStyle w:val="Compact"/>
                    <w:jc w:val="left"/>
                    <w:jc w:val="center"/>
                  </w:pPr>
                  <w:r>
                    <w:t xml:space="preserve">NA</w:t>
                  </w:r>
                </w:p>
              </w:tc>
              <w:tc>
                <w:tcPr/>
                <w:p>
                  <w:pPr>
                    <w:pStyle w:val="Compact"/>
                    <w:jc w:val="left"/>
                    <w:jc w:val="center"/>
                  </w:pPr>
                  <w:r>
                    <w:t xml:space="preserve">Mean :30.70</w:t>
                  </w:r>
                </w:p>
              </w:tc>
              <w:tc>
                <w:tcPr/>
                <w:p>
                  <w:pPr>
                    <w:pStyle w:val="Compact"/>
                    <w:jc w:val="left"/>
                    <w:jc w:val="center"/>
                  </w:pPr>
                  <w:r>
                    <w:t xml:space="preserve">Mean :1.102</w:t>
                  </w:r>
                </w:p>
              </w:tc>
              <w:tc>
                <w:tcPr/>
                <w:p>
                  <w:pPr>
                    <w:pStyle w:val="Compact"/>
                    <w:jc w:val="left"/>
                    <w:jc w:val="center"/>
                  </w:pPr>
                  <w:r>
                    <w:t xml:space="preserve">NA</w:t>
                  </w:r>
                </w:p>
              </w:tc>
              <w:tc>
                <w:tcPr/>
                <w:p>
                  <w:pPr>
                    <w:pStyle w:val="Compact"/>
                    <w:jc w:val="left"/>
                    <w:jc w:val="center"/>
                  </w:pPr>
                  <w:r>
                    <w:t xml:space="preserve">southwest:684</w:t>
                  </w:r>
                </w:p>
              </w:tc>
              <w:tc>
                <w:tcPr/>
                <w:p>
                  <w:pPr>
                    <w:pStyle w:val="Compact"/>
                    <w:jc w:val="left"/>
                    <w:jc w:val="center"/>
                  </w:pPr>
                  <w:r>
                    <w:t xml:space="preserve">Mean :13261</w:t>
                  </w:r>
                </w:p>
              </w:tc>
            </w:tr>
            <w:tr>
              <w:tc>
                <w:tcPr/>
                <w:p>
                  <w:pPr>
                    <w:pStyle w:val="Compact"/>
                  </w:pPr>
                </w:p>
              </w:tc>
              <w:tc>
                <w:tcPr/>
                <w:p>
                  <w:pPr>
                    <w:pStyle w:val="Compact"/>
                    <w:jc w:val="left"/>
                    <w:jc w:val="center"/>
                  </w:pPr>
                  <w:r>
                    <w:t xml:space="preserve">3rd Qu.:51.00</w:t>
                  </w:r>
                </w:p>
              </w:tc>
              <w:tc>
                <w:tcPr/>
                <w:p>
                  <w:pPr>
                    <w:pStyle w:val="Compact"/>
                    <w:jc w:val="left"/>
                    <w:jc w:val="center"/>
                  </w:pPr>
                  <w:r>
                    <w:t xml:space="preserve">NA</w:t>
                  </w:r>
                </w:p>
              </w:tc>
              <w:tc>
                <w:tcPr/>
                <w:p>
                  <w:pPr>
                    <w:pStyle w:val="Compact"/>
                    <w:jc w:val="left"/>
                    <w:jc w:val="center"/>
                  </w:pPr>
                  <w:r>
                    <w:t xml:space="preserve">3rd Qu.:34.77</w:t>
                  </w:r>
                </w:p>
              </w:tc>
              <w:tc>
                <w:tcPr/>
                <w:p>
                  <w:pPr>
                    <w:pStyle w:val="Compact"/>
                    <w:jc w:val="left"/>
                    <w:jc w:val="center"/>
                  </w:pPr>
                  <w:r>
                    <w:t xml:space="preserve">3rd Qu.:2.000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3rd Qu.:16578</w:t>
                  </w:r>
                </w:p>
              </w:tc>
            </w:tr>
            <w:tr>
              <w:tc>
                <w:tcPr/>
                <w:p>
                  <w:pPr>
                    <w:pStyle w:val="Compact"/>
                  </w:pPr>
                </w:p>
              </w:tc>
              <w:tc>
                <w:tcPr/>
                <w:p>
                  <w:pPr>
                    <w:pStyle w:val="Compact"/>
                    <w:jc w:val="left"/>
                    <w:jc w:val="center"/>
                  </w:pPr>
                  <w:r>
                    <w:t xml:space="preserve">Max. :64.00</w:t>
                  </w:r>
                </w:p>
              </w:tc>
              <w:tc>
                <w:tcPr/>
                <w:p>
                  <w:pPr>
                    <w:pStyle w:val="Compact"/>
                    <w:jc w:val="left"/>
                    <w:jc w:val="center"/>
                  </w:pPr>
                  <w:r>
                    <w:t xml:space="preserve">NA</w:t>
                  </w:r>
                </w:p>
              </w:tc>
              <w:tc>
                <w:tcPr/>
                <w:p>
                  <w:pPr>
                    <w:pStyle w:val="Compact"/>
                    <w:jc w:val="left"/>
                    <w:jc w:val="center"/>
                  </w:pPr>
                  <w:r>
                    <w:t xml:space="preserve">Max. :53.13</w:t>
                  </w:r>
                </w:p>
              </w:tc>
              <w:tc>
                <w:tcPr/>
                <w:p>
                  <w:pPr>
                    <w:pStyle w:val="Compact"/>
                    <w:jc w:val="left"/>
                    <w:jc w:val="center"/>
                  </w:pPr>
                  <w:r>
                    <w:t xml:space="preserve">Max. :5.000</w:t>
                  </w:r>
                </w:p>
              </w:tc>
              <w:tc>
                <w:tcPr/>
                <w:p>
                  <w:pPr>
                    <w:pStyle w:val="Compact"/>
                    <w:jc w:val="left"/>
                    <w:jc w:val="center"/>
                  </w:pPr>
                  <w:r>
                    <w:t xml:space="preserve">NA</w:t>
                  </w:r>
                </w:p>
              </w:tc>
              <w:tc>
                <w:tcPr/>
                <w:p>
                  <w:pPr>
                    <w:pStyle w:val="Compact"/>
                    <w:jc w:val="left"/>
                    <w:jc w:val="center"/>
                  </w:pPr>
                  <w:r>
                    <w:t xml:space="preserve">NA</w:t>
                  </w:r>
                </w:p>
              </w:tc>
              <w:tc>
                <w:tcPr/>
                <w:p>
                  <w:pPr>
                    <w:pStyle w:val="Compact"/>
                    <w:jc w:val="left"/>
                    <w:jc w:val="center"/>
                  </w:pPr>
                  <w:r>
                    <w:t xml:space="preserve">Max. :63770</w:t>
                  </w:r>
                </w:p>
              </w:tc>
            </w:tr>
          </w:tbl>
          <w:bookmarkEnd w:id="33"/>
          <w:p/>
        </w:tc>
      </w:tr>
    </w:tbl>
    <w:p>
      <w:r>
        <w:br w:type="page"/>
      </w:r>
    </w:p>
    <w:p>
      <w:pPr>
        <w:pStyle w:val="BodyText"/>
      </w:pPr>
      <w:hyperlink w:anchor="fig-outliers-bmi">
        <w:r>
          <w:rPr>
            <w:rStyle w:val="Hyperlink"/>
          </w:rPr>
          <w:t xml:space="preserve">Figure 1</w:t>
        </w:r>
      </w:hyperlink>
      <w:r>
        <w:t xml:space="preserve"> </w:t>
      </w:r>
      <w:r>
        <w:t xml:space="preserve">shows the outliers in BMI</w:t>
      </w:r>
    </w:p>
    <w:tbl>
      <w:tblPr>
        <w:tblStyle w:val="Table"/>
        <w:tblW w:type="pct" w:w="5000"/>
        <w:tblLayout w:type="fixed"/>
        <w:tblLook w:firstRow="0" w:lastRow="0" w:firstColumn="0" w:lastColumn="0" w:noHBand="0" w:noVBand="0" w:val="0000"/>
      </w:tblPr>
      <w:tblGrid>
        <w:gridCol w:w="7920"/>
      </w:tblGrid>
      <w:tr>
        <w:tc>
          <w:tcPr/>
          <w:bookmarkStart w:id="37" w:name="fig-outliers-bmi"/>
          <w:p>
            <w:pPr>
              <w:pStyle w:val="Compact"/>
              <w:jc w:val="center"/>
            </w:pPr>
            <w:r>
              <w:drawing>
                <wp:inline>
                  <wp:extent cx="5334000" cy="3295086"/>
                  <wp:effectExtent b="0" l="0" r="0" t="0"/>
                  <wp:docPr descr="" title="" id="35" name="Picture"/>
                  <a:graphic>
                    <a:graphicData uri="http://schemas.openxmlformats.org/drawingml/2006/picture">
                      <pic:pic>
                        <pic:nvPicPr>
                          <pic:cNvPr descr="../../results/figures/bmi_outliers.png" id="36" name="Picture"/>
                          <pic:cNvPicPr>
                            <a:picLocks noChangeArrowheads="1" noChangeAspect="1"/>
                          </pic:cNvPicPr>
                        </pic:nvPicPr>
                        <pic:blipFill>
                          <a:blip r:embed="rId3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BMI Outliers</w:t>
            </w:r>
          </w:p>
          <w:bookmarkEnd w:id="37"/>
        </w:tc>
      </w:tr>
    </w:tbl>
    <w:p>
      <w:pPr>
        <w:pStyle w:val="BodyText"/>
      </w:pPr>
      <w:r>
        <w:rPr>
          <w:b/>
          <w:bCs/>
        </w:rPr>
        <w:t xml:space="preserve">Observation:</w:t>
      </w:r>
      <w:r>
        <w:t xml:space="preserve"> </w:t>
      </w:r>
      <w:r>
        <w:t xml:space="preserve">There are several outliers with BMI values above 50, indicating that there are individuals with unusually high BMI compared to the rest of the dataset.@fig-outliers-charges shows the outliers in charges.</w:t>
      </w:r>
    </w:p>
    <w:p>
      <w:r>
        <w:br w:type="page"/>
      </w:r>
    </w:p>
    <w:p>
      <w:pPr>
        <w:pStyle w:val="BodyText"/>
      </w:pPr>
      <w:hyperlink w:anchor="fig-outliers-charges">
        <w:r>
          <w:rPr>
            <w:rStyle w:val="Hyperlink"/>
          </w:rPr>
          <w:t xml:space="preserve">Figure 2</w:t>
        </w:r>
      </w:hyperlink>
      <w:r>
        <w:t xml:space="preserve"> </w:t>
      </w:r>
      <w:r>
        <w:t xml:space="preserve">shows the outliers in Charges</w:t>
      </w:r>
    </w:p>
    <w:tbl>
      <w:tblPr>
        <w:tblStyle w:val="Table"/>
        <w:tblW w:type="pct" w:w="5000"/>
        <w:tblLayout w:type="fixed"/>
        <w:tblLook w:firstRow="0" w:lastRow="0" w:firstColumn="0" w:lastColumn="0" w:noHBand="0" w:noVBand="0" w:val="0000"/>
      </w:tblPr>
      <w:tblGrid>
        <w:gridCol w:w="7920"/>
      </w:tblGrid>
      <w:tr>
        <w:tc>
          <w:tcPr/>
          <w:bookmarkStart w:id="41" w:name="fig-outliers-charges"/>
          <w:p>
            <w:pPr>
              <w:pStyle w:val="Compact"/>
              <w:jc w:val="center"/>
            </w:pPr>
            <w:r>
              <w:drawing>
                <wp:inline>
                  <wp:extent cx="5334000" cy="3295086"/>
                  <wp:effectExtent b="0" l="0" r="0" t="0"/>
                  <wp:docPr descr="" title="" id="39" name="Picture"/>
                  <a:graphic>
                    <a:graphicData uri="http://schemas.openxmlformats.org/drawingml/2006/picture">
                      <pic:pic>
                        <pic:nvPicPr>
                          <pic:cNvPr descr="../../results/figures/charges-outliers.png" id="40" name="Picture"/>
                          <pic:cNvPicPr>
                            <a:picLocks noChangeArrowheads="1" noChangeAspect="1"/>
                          </pic:cNvPicPr>
                        </pic:nvPicPr>
                        <pic:blipFill>
                          <a:blip r:embed="rId3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Charges Outliers</w:t>
            </w:r>
          </w:p>
          <w:bookmarkEnd w:id="41"/>
        </w:tc>
      </w:tr>
    </w:tbl>
    <w:p>
      <w:pPr>
        <w:pStyle w:val="BodyText"/>
      </w:pPr>
      <w:r>
        <w:rPr>
          <w:b/>
          <w:bCs/>
        </w:rPr>
        <w:t xml:space="preserve">Observation:</w:t>
      </w:r>
      <w:r>
        <w:t xml:space="preserve"> </w:t>
      </w:r>
      <w:r>
        <w:t xml:space="preserve">There are numerous outliers with insurance charges above 40,000, indicating that there are individuals with unusually high insurance charges compared to the rest of the dataset.</w:t>
      </w:r>
    </w:p>
    <w:p>
      <w:r>
        <w:br w:type="page"/>
      </w:r>
    </w:p>
    <w:p>
      <w:pPr>
        <w:pStyle w:val="BodyText"/>
      </w:pPr>
      <w:hyperlink w:anchor="fig-charges">
        <w:r>
          <w:rPr>
            <w:rStyle w:val="Hyperlink"/>
          </w:rPr>
          <w:t xml:space="preserve">Figure 3</w:t>
        </w:r>
      </w:hyperlink>
      <w:r>
        <w:t xml:space="preserve"> </w:t>
      </w:r>
      <w:r>
        <w:t xml:space="preserve">shows histogram of insurance charges</w:t>
      </w:r>
    </w:p>
    <w:tbl>
      <w:tblPr>
        <w:tblStyle w:val="Table"/>
        <w:tblW w:type="pct" w:w="5000"/>
        <w:tblLayout w:type="fixed"/>
        <w:tblLook w:firstRow="0" w:lastRow="0" w:firstColumn="0" w:lastColumn="0" w:noHBand="0" w:noVBand="0" w:val="0000"/>
      </w:tblPr>
      <w:tblGrid>
        <w:gridCol w:w="7920"/>
      </w:tblGrid>
      <w:tr>
        <w:tc>
          <w:tcPr/>
          <w:bookmarkStart w:id="45" w:name="fig-charges"/>
          <w:p>
            <w:pPr>
              <w:pStyle w:val="Compact"/>
              <w:jc w:val="center"/>
            </w:pPr>
            <w:r>
              <w:drawing>
                <wp:inline>
                  <wp:extent cx="5334000" cy="3295086"/>
                  <wp:effectExtent b="0" l="0" r="0" t="0"/>
                  <wp:docPr descr="" title="" id="43" name="Picture"/>
                  <a:graphic>
                    <a:graphicData uri="http://schemas.openxmlformats.org/drawingml/2006/picture">
                      <pic:pic>
                        <pic:nvPicPr>
                          <pic:cNvPr descr="../../results/figures/Charges-histogram.png" id="44" name="Picture"/>
                          <pic:cNvPicPr>
                            <a:picLocks noChangeArrowheads="1" noChangeAspect="1"/>
                          </pic:cNvPicPr>
                        </pic:nvPicPr>
                        <pic:blipFill>
                          <a:blip r:embed="rId4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Insurance charges</w:t>
            </w:r>
          </w:p>
          <w:bookmarkEnd w:id="45"/>
        </w:tc>
      </w:tr>
    </w:tbl>
    <w:p>
      <w:pPr>
        <w:pStyle w:val="BodyText"/>
      </w:pPr>
      <w:r>
        <w:rPr>
          <w:b/>
          <w:bCs/>
        </w:rPr>
        <w:t xml:space="preserve">Observation:</w:t>
      </w:r>
      <w:r>
        <w:t xml:space="preserve"> </w:t>
      </w:r>
      <w:r>
        <w:t xml:space="preserve">The histogram shows a right-skewed distribution, indicating that most individuals have lower insurance charges, with fewer individuals having very high charges.</w:t>
      </w:r>
    </w:p>
    <w:p>
      <w:r>
        <w:br w:type="page"/>
      </w:r>
    </w:p>
    <w:p>
      <w:pPr>
        <w:pStyle w:val="BodyText"/>
      </w:pPr>
      <w:hyperlink w:anchor="fig-smoking">
        <w:r>
          <w:rPr>
            <w:rStyle w:val="Hyperlink"/>
          </w:rPr>
          <w:t xml:space="preserve">Figure 4</w:t>
        </w:r>
      </w:hyperlink>
      <w:r>
        <w:t xml:space="preserve"> </w:t>
      </w:r>
      <w:r>
        <w:t xml:space="preserve">shows box plot of insurance charges by smoking status</w:t>
      </w:r>
    </w:p>
    <w:tbl>
      <w:tblPr>
        <w:tblStyle w:val="Table"/>
        <w:tblW w:type="pct" w:w="5000"/>
        <w:tblLayout w:type="fixed"/>
        <w:tblLook w:firstRow="0" w:lastRow="0" w:firstColumn="0" w:lastColumn="0" w:noHBand="0" w:noVBand="0" w:val="0000"/>
      </w:tblPr>
      <w:tblGrid>
        <w:gridCol w:w="7920"/>
      </w:tblGrid>
      <w:tr>
        <w:tc>
          <w:tcPr/>
          <w:bookmarkStart w:id="49" w:name="fig-smoking"/>
          <w:p>
            <w:pPr>
              <w:pStyle w:val="Compact"/>
              <w:jc w:val="center"/>
            </w:pPr>
            <w:r>
              <w:drawing>
                <wp:inline>
                  <wp:extent cx="5334000" cy="3295086"/>
                  <wp:effectExtent b="0" l="0" r="0" t="0"/>
                  <wp:docPr descr="" title="" id="47" name="Picture"/>
                  <a:graphic>
                    <a:graphicData uri="http://schemas.openxmlformats.org/drawingml/2006/picture">
                      <pic:pic>
                        <pic:nvPicPr>
                          <pic:cNvPr descr="../../results/figures/charges-smoking-boxplot.png" id="48" name="Picture"/>
                          <pic:cNvPicPr>
                            <a:picLocks noChangeArrowheads="1" noChangeAspect="1"/>
                          </pic:cNvPicPr>
                        </pic:nvPicPr>
                        <pic:blipFill>
                          <a:blip r:embed="rId46"/>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Insurance Charges by smoking status.</w:t>
            </w:r>
          </w:p>
          <w:bookmarkEnd w:id="49"/>
        </w:tc>
      </w:tr>
    </w:tbl>
    <w:p>
      <w:pPr>
        <w:pStyle w:val="BodyText"/>
      </w:pPr>
      <w:r>
        <w:rPr>
          <w:b/>
          <w:bCs/>
        </w:rPr>
        <w:t xml:space="preserve">Observation:</w:t>
      </w:r>
      <w:r>
        <w:t xml:space="preserve"> </w:t>
      </w:r>
      <w:r>
        <w:t xml:space="preserve">There is a clear and substantial difference in insurance charges between smokers and non-smokers. Smokers have much higher charges on average. Charges for smokers are more variable than for non-smokers, with a wider range of values. High charges are more common among smokers and are not considered outliers, whereas for non-smokers, such high charges are less common and considered outliers.</w:t>
      </w:r>
    </w:p>
    <w:p>
      <w:r>
        <w:br w:type="page"/>
      </w:r>
    </w:p>
    <w:p>
      <w:pPr>
        <w:pStyle w:val="BodyText"/>
      </w:pPr>
      <w:hyperlink w:anchor="fig-region">
        <w:r>
          <w:rPr>
            <w:rStyle w:val="Hyperlink"/>
          </w:rPr>
          <w:t xml:space="preserve">Figure 5</w:t>
        </w:r>
      </w:hyperlink>
      <w:r>
        <w:t xml:space="preserve"> </w:t>
      </w:r>
      <w:r>
        <w:t xml:space="preserve">shows box plot of insurance charges by region</w:t>
      </w:r>
    </w:p>
    <w:tbl>
      <w:tblPr>
        <w:tblStyle w:val="Table"/>
        <w:tblW w:type="pct" w:w="5000"/>
        <w:tblLayout w:type="fixed"/>
        <w:tblLook w:firstRow="0" w:lastRow="0" w:firstColumn="0" w:lastColumn="0" w:noHBand="0" w:noVBand="0" w:val="0000"/>
      </w:tblPr>
      <w:tblGrid>
        <w:gridCol w:w="7920"/>
      </w:tblGrid>
      <w:tr>
        <w:tc>
          <w:tcPr/>
          <w:bookmarkStart w:id="53" w:name="fig-region"/>
          <w:p>
            <w:pPr>
              <w:pStyle w:val="Compact"/>
              <w:jc w:val="center"/>
            </w:pPr>
            <w:r>
              <w:drawing>
                <wp:inline>
                  <wp:extent cx="5334000" cy="3295086"/>
                  <wp:effectExtent b="0" l="0" r="0" t="0"/>
                  <wp:docPr descr="" title="" id="51" name="Picture"/>
                  <a:graphic>
                    <a:graphicData uri="http://schemas.openxmlformats.org/drawingml/2006/picture">
                      <pic:pic>
                        <pic:nvPicPr>
                          <pic:cNvPr descr="../../results/figures/charges-region-boxplot.png" id="52" name="Picture"/>
                          <pic:cNvPicPr>
                            <a:picLocks noChangeArrowheads="1" noChangeAspect="1"/>
                          </pic:cNvPicPr>
                        </pic:nvPicPr>
                        <pic:blipFill>
                          <a:blip r:embed="rId50"/>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Insurance Charges by Region.</w:t>
            </w:r>
          </w:p>
          <w:bookmarkEnd w:id="53"/>
        </w:tc>
      </w:tr>
    </w:tbl>
    <w:p>
      <w:pPr>
        <w:pStyle w:val="BodyText"/>
      </w:pPr>
      <w:r>
        <w:rPr>
          <w:b/>
          <w:bCs/>
        </w:rPr>
        <w:t xml:space="preserve">Observation:</w:t>
      </w:r>
      <w:r>
        <w:t xml:space="preserve"> </w:t>
      </w:r>
      <w:r>
        <w:t xml:space="preserve">The Southeast region has the highest median insurance charges, followed by the Northeast, Northwest, and Southwest. The Southwest region has the lowest median charges. All regions have numerous outliers with very high charges, particularly the Southeast and Northeast.</w:t>
      </w:r>
    </w:p>
    <w:p>
      <w:r>
        <w:br w:type="page"/>
      </w:r>
    </w:p>
    <w:p>
      <w:pPr>
        <w:pStyle w:val="BodyText"/>
      </w:pPr>
      <w:hyperlink w:anchor="fig-age">
        <w:r>
          <w:rPr>
            <w:rStyle w:val="Hyperlink"/>
          </w:rPr>
          <w:t xml:space="preserve">Figure 6</w:t>
        </w:r>
      </w:hyperlink>
      <w:r>
        <w:t xml:space="preserve"> </w:t>
      </w:r>
      <w:r>
        <w:t xml:space="preserve">shows scatter plot of insurance charges by age</w:t>
      </w:r>
    </w:p>
    <w:tbl>
      <w:tblPr>
        <w:tblStyle w:val="Table"/>
        <w:tblW w:type="pct" w:w="5000"/>
        <w:tblLayout w:type="fixed"/>
        <w:tblLook w:firstRow="0" w:lastRow="0" w:firstColumn="0" w:lastColumn="0" w:noHBand="0" w:noVBand="0" w:val="0000"/>
      </w:tblPr>
      <w:tblGrid>
        <w:gridCol w:w="7920"/>
      </w:tblGrid>
      <w:tr>
        <w:tc>
          <w:tcPr/>
          <w:bookmarkStart w:id="57" w:name="fig-age"/>
          <w:p>
            <w:pPr>
              <w:pStyle w:val="Compact"/>
              <w:jc w:val="center"/>
            </w:pPr>
            <w:r>
              <w:drawing>
                <wp:inline>
                  <wp:extent cx="5334000" cy="3295086"/>
                  <wp:effectExtent b="0" l="0" r="0" t="0"/>
                  <wp:docPr descr="" title="" id="55" name="Picture"/>
                  <a:graphic>
                    <a:graphicData uri="http://schemas.openxmlformats.org/drawingml/2006/picture">
                      <pic:pic>
                        <pic:nvPicPr>
                          <pic:cNvPr descr="../../results/figures/charge-age-boxplot.png" id="56" name="Picture"/>
                          <pic:cNvPicPr>
                            <a:picLocks noChangeArrowheads="1" noChangeAspect="1"/>
                          </pic:cNvPicPr>
                        </pic:nvPicPr>
                        <pic:blipFill>
                          <a:blip r:embed="rId54"/>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Insurance Charges by Age.</w:t>
            </w:r>
          </w:p>
          <w:bookmarkEnd w:id="57"/>
        </w:tc>
      </w:tr>
    </w:tbl>
    <w:p>
      <w:pPr>
        <w:pStyle w:val="BodyText"/>
      </w:pPr>
      <w:r>
        <w:rPr>
          <w:b/>
          <w:bCs/>
        </w:rPr>
        <w:t xml:space="preserve">Observation:</w:t>
      </w:r>
      <w:r>
        <w:t xml:space="preserve"> </w:t>
      </w:r>
      <w:r>
        <w:t xml:space="preserve">There is a clear upward trend in insurance charges as age increases. This suggests that insurance charges tend to increase with age. The relationship appears to be somewhat linear, with higher age associated with higher charges, but there is a noticeable spread in the data.</w:t>
      </w:r>
    </w:p>
    <w:p>
      <w:r>
        <w:br w:type="page"/>
      </w:r>
    </w:p>
    <w:p>
      <w:pPr>
        <w:pStyle w:val="BodyText"/>
      </w:pPr>
      <w:hyperlink w:anchor="fig-bmi">
        <w:r>
          <w:rPr>
            <w:rStyle w:val="Hyperlink"/>
          </w:rPr>
          <w:t xml:space="preserve">Figure 7</w:t>
        </w:r>
      </w:hyperlink>
      <w:r>
        <w:t xml:space="preserve"> </w:t>
      </w:r>
      <w:r>
        <w:t xml:space="preserve">shows scatter plot of insurance by BMI</w:t>
      </w:r>
    </w:p>
    <w:tbl>
      <w:tblPr>
        <w:tblStyle w:val="Table"/>
        <w:tblW w:type="pct" w:w="5000"/>
        <w:tblLayout w:type="fixed"/>
        <w:tblLook w:firstRow="0" w:lastRow="0" w:firstColumn="0" w:lastColumn="0" w:noHBand="0" w:noVBand="0" w:val="0000"/>
      </w:tblPr>
      <w:tblGrid>
        <w:gridCol w:w="7920"/>
      </w:tblGrid>
      <w:tr>
        <w:tc>
          <w:tcPr/>
          <w:bookmarkStart w:id="61" w:name="fig-bmi"/>
          <w:p>
            <w:pPr>
              <w:pStyle w:val="Compact"/>
              <w:jc w:val="center"/>
            </w:pPr>
            <w:r>
              <w:drawing>
                <wp:inline>
                  <wp:extent cx="5334000" cy="3295086"/>
                  <wp:effectExtent b="0" l="0" r="0" t="0"/>
                  <wp:docPr descr="" title="" id="59" name="Picture"/>
                  <a:graphic>
                    <a:graphicData uri="http://schemas.openxmlformats.org/drawingml/2006/picture">
                      <pic:pic>
                        <pic:nvPicPr>
                          <pic:cNvPr descr="../../results/figures/charge-bmi-scatter.png" id="60" name="Picture"/>
                          <pic:cNvPicPr>
                            <a:picLocks noChangeArrowheads="1" noChangeAspect="1"/>
                          </pic:cNvPicPr>
                        </pic:nvPicPr>
                        <pic:blipFill>
                          <a:blip r:embed="rId58"/>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Insurance Charges by BMI.</w:t>
            </w:r>
          </w:p>
          <w:bookmarkEnd w:id="61"/>
        </w:tc>
      </w:tr>
    </w:tbl>
    <w:p>
      <w:pPr>
        <w:pStyle w:val="BodyText"/>
      </w:pPr>
      <w:r>
        <w:rPr>
          <w:b/>
          <w:bCs/>
        </w:rPr>
        <w:t xml:space="preserve">Observation:</w:t>
      </w:r>
      <w:r>
        <w:t xml:space="preserve"> </w:t>
      </w:r>
      <w:r>
        <w:t xml:space="preserve">There is a noticeable upward trend in insurance charges as BMI increases. This suggests that individuals with higher BMI tend to have higher insurance charges. The relationship appears to be somewhat nonlinear, with higher charges associated with higher BMI values, but there is considerable spread in the data.</w:t>
      </w:r>
    </w:p>
    <w:p>
      <w:r>
        <w:br w:type="page"/>
      </w:r>
    </w:p>
    <w:p>
      <w:pPr>
        <w:pStyle w:val="BodyText"/>
      </w:pPr>
      <w:hyperlink w:anchor="fig-children">
        <w:r>
          <w:rPr>
            <w:rStyle w:val="Hyperlink"/>
          </w:rPr>
          <w:t xml:space="preserve">Figure 8</w:t>
        </w:r>
      </w:hyperlink>
      <w:r>
        <w:t xml:space="preserve"> </w:t>
      </w:r>
      <w:r>
        <w:t xml:space="preserve">shows bar graph of average insurance charges by number of children</w:t>
      </w:r>
    </w:p>
    <w:tbl>
      <w:tblPr>
        <w:tblStyle w:val="Table"/>
        <w:tblW w:type="pct" w:w="5000"/>
        <w:tblLayout w:type="fixed"/>
        <w:tblLook w:firstRow="0" w:lastRow="0" w:firstColumn="0" w:lastColumn="0" w:noHBand="0" w:noVBand="0" w:val="0000"/>
      </w:tblPr>
      <w:tblGrid>
        <w:gridCol w:w="7920"/>
      </w:tblGrid>
      <w:tr>
        <w:tc>
          <w:tcPr/>
          <w:bookmarkStart w:id="65" w:name="fig-children"/>
          <w:p>
            <w:pPr>
              <w:pStyle w:val="Compact"/>
              <w:jc w:val="center"/>
            </w:pPr>
            <w:r>
              <w:drawing>
                <wp:inline>
                  <wp:extent cx="5334000" cy="3295086"/>
                  <wp:effectExtent b="0" l="0" r="0" t="0"/>
                  <wp:docPr descr="" title="" id="63" name="Picture"/>
                  <a:graphic>
                    <a:graphicData uri="http://schemas.openxmlformats.org/drawingml/2006/picture">
                      <pic:pic>
                        <pic:nvPicPr>
                          <pic:cNvPr descr="../../results/figures/children-bar.png" id="64" name="Picture"/>
                          <pic:cNvPicPr>
                            <a:picLocks noChangeArrowheads="1" noChangeAspect="1"/>
                          </pic:cNvPicPr>
                        </pic:nvPicPr>
                        <pic:blipFill>
                          <a:blip r:embed="rId62"/>
                          <a:stretch>
                            <a:fillRect/>
                          </a:stretch>
                        </pic:blipFill>
                        <pic:spPr bwMode="auto">
                          <a:xfrm>
                            <a:off x="0" y="0"/>
                            <a:ext cx="5334000" cy="3295086"/>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Average Insurance Charges by Number of Children.</w:t>
            </w:r>
          </w:p>
          <w:bookmarkEnd w:id="65"/>
        </w:tc>
      </w:tr>
    </w:tbl>
    <w:p>
      <w:pPr>
        <w:pStyle w:val="BodyText"/>
      </w:pPr>
      <w:r>
        <w:rPr>
          <w:b/>
          <w:bCs/>
        </w:rPr>
        <w:t xml:space="preserve">Observation:</w:t>
      </w:r>
      <w:r>
        <w:t xml:space="preserve"> </w:t>
      </w:r>
      <w:r>
        <w:t xml:space="preserve">There is a general trend where insurance charges increase with the number of children up to three children, after which there is a slight decrease for four children, and a significant decrease for five children. The drop in average charges for households with five children could be due to various reasons such as discounts for larger families, different insurance plans, or data anomalies.</w:t>
      </w:r>
    </w:p>
    <w:p>
      <w:r>
        <w:br w:type="page"/>
      </w:r>
    </w:p>
    <w:bookmarkEnd w:id="66"/>
    <w:bookmarkStart w:id="68" w:name="basic-statistical-analysis"/>
    <w:p>
      <w:pPr>
        <w:pStyle w:val="Heading2"/>
      </w:pPr>
      <w:r>
        <w:t xml:space="preserve">4.2 Basic statistical analysis</w:t>
      </w:r>
    </w:p>
    <w:p>
      <w:pPr>
        <w:pStyle w:val="FirstParagraph"/>
      </w:pPr>
      <w:hyperlink w:anchor="tbl-resulttable1">
        <w:r>
          <w:rPr>
            <w:rStyle w:val="Hyperlink"/>
          </w:rPr>
          <w:t xml:space="preserve">Table 2</w:t>
        </w:r>
      </w:hyperlink>
      <w:r>
        <w:t xml:space="preserve"> </w:t>
      </w:r>
      <w:r>
        <w:t xml:space="preserve">shows a simple model with one predictor using linear regression analysis.</w:t>
      </w:r>
    </w:p>
    <w:tbl>
      <w:tblPr>
        <w:tblStyle w:val="Table"/>
        <w:tblW w:type="pct" w:w="5000"/>
        <w:tblLayout w:type="fixed"/>
        <w:tblLook w:firstRow="0" w:lastRow="0" w:firstColumn="0" w:lastColumn="0" w:noHBand="0" w:noVBand="0" w:val="0000"/>
      </w:tblPr>
      <w:tblGrid>
        <w:gridCol w:w="7920"/>
      </w:tblGrid>
      <w:tr>
        <w:tc>
          <w:tcPr/>
          <w:bookmarkStart w:id="67" w:name="tbl-resulttable1"/>
          <w:p>
            <w:pPr>
              <w:jc w:val="center"/>
            </w:pPr>
            <w:pPr>
              <w:jc w:val="start"/>
              <w:spacing w:before="200"/>
              <w:pStyle w:val="ImageCaption"/>
            </w:pPr>
            <w:r>
              <w:t xml:space="preserve">Table 2: Simple Models with One Predictor.</w:t>
            </w:r>
          </w:p>
          <w:tbl>
            <w:tblPr>
              <w:tblStyle w:val="Table"/>
              <w:tblW w:type="pct" w:w="5000"/>
              <w:tblLayout w:type="fixed"/>
              <w:tblLook w:firstRow="1" w:lastRow="0" w:firstColumn="0" w:lastColumn="0" w:noHBand="0" w:noVBand="0" w:val="0020"/>
            </w:tblPr>
            <w:tblGrid>
              <w:gridCol w:w="1147"/>
              <w:gridCol w:w="1836"/>
              <w:gridCol w:w="1262"/>
              <w:gridCol w:w="1262"/>
              <w:gridCol w:w="1262"/>
              <w:gridCol w:w="1147"/>
            </w:tblGrid>
            <w:tr>
              <w:trPr>
                <w:tblHeader w:val="on"/>
              </w:trPr>
              <w:tc>
                <w:tcPr/>
                <w:p>
                  <w:pPr>
                    <w:pStyle w:val="Compact"/>
                    <w:jc w:val="left"/>
                    <w:jc w:val="center"/>
                  </w:pPr>
                  <w:r>
                    <w:t xml:space="preserve">predictor</w:t>
                  </w:r>
                </w:p>
              </w:tc>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age</w:t>
                  </w:r>
                </w:p>
              </w:tc>
              <w:tc>
                <w:tcPr/>
                <w:p>
                  <w:pPr>
                    <w:pStyle w:val="Compact"/>
                    <w:jc w:val="left"/>
                    <w:jc w:val="center"/>
                  </w:pPr>
                  <w:r>
                    <w:t xml:space="preserve">(Intercept)</w:t>
                  </w:r>
                </w:p>
              </w:tc>
              <w:tc>
                <w:tcPr/>
                <w:p>
                  <w:pPr>
                    <w:pStyle w:val="Compact"/>
                    <w:jc w:val="right"/>
                    <w:jc w:val="center"/>
                  </w:pPr>
                  <w:r>
                    <w:t xml:space="preserve">3182.7705</w:t>
                  </w:r>
                </w:p>
              </w:tc>
              <w:tc>
                <w:tcPr/>
                <w:p>
                  <w:pPr>
                    <w:pStyle w:val="Compact"/>
                    <w:jc w:val="right"/>
                    <w:jc w:val="center"/>
                  </w:pPr>
                  <w:r>
                    <w:t xml:space="preserve">650.44959</w:t>
                  </w:r>
                </w:p>
              </w:tc>
              <w:tc>
                <w:tcPr/>
                <w:p>
                  <w:pPr>
                    <w:pStyle w:val="Compact"/>
                    <w:jc w:val="right"/>
                    <w:jc w:val="center"/>
                  </w:pPr>
                  <w:r>
                    <w:t xml:space="preserve">4.8931854</w:t>
                  </w:r>
                </w:p>
              </w:tc>
              <w:tc>
                <w:tcPr/>
                <w:p>
                  <w:pPr>
                    <w:pStyle w:val="Compact"/>
                    <w:jc w:val="right"/>
                    <w:jc w:val="center"/>
                  </w:pPr>
                  <w:r>
                    <w:t xml:space="preserve">0.0000010</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257.7010</w:t>
                  </w:r>
                </w:p>
              </w:tc>
              <w:tc>
                <w:tcPr/>
                <w:p>
                  <w:pPr>
                    <w:pStyle w:val="Compact"/>
                    <w:jc w:val="right"/>
                    <w:jc w:val="center"/>
                  </w:pPr>
                  <w:r>
                    <w:t xml:space="preserve">15.64837</w:t>
                  </w:r>
                </w:p>
              </w:tc>
              <w:tc>
                <w:tcPr/>
                <w:p>
                  <w:pPr>
                    <w:pStyle w:val="Compact"/>
                    <w:jc w:val="right"/>
                    <w:jc w:val="center"/>
                  </w:pPr>
                  <w:r>
                    <w:t xml:space="preserve">16.4682290</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left"/>
                    <w:jc w:val="center"/>
                  </w:pPr>
                  <w:r>
                    <w:t xml:space="preserve">(Intercept)</w:t>
                  </w:r>
                </w:p>
              </w:tc>
              <w:tc>
                <w:tcPr/>
                <w:p>
                  <w:pPr>
                    <w:pStyle w:val="Compact"/>
                    <w:jc w:val="right"/>
                    <w:jc w:val="center"/>
                  </w:pPr>
                  <w:r>
                    <w:t xml:space="preserve">1097.5183</w:t>
                  </w:r>
                </w:p>
              </w:tc>
              <w:tc>
                <w:tcPr/>
                <w:p>
                  <w:pPr>
                    <w:pStyle w:val="Compact"/>
                    <w:jc w:val="right"/>
                    <w:jc w:val="center"/>
                  </w:pPr>
                  <w:r>
                    <w:t xml:space="preserve">1155.49870</w:t>
                  </w:r>
                </w:p>
              </w:tc>
              <w:tc>
                <w:tcPr/>
                <w:p>
                  <w:pPr>
                    <w:pStyle w:val="Compact"/>
                    <w:jc w:val="right"/>
                    <w:jc w:val="center"/>
                  </w:pPr>
                  <w:r>
                    <w:t xml:space="preserve">0.9498222</w:t>
                  </w:r>
                </w:p>
              </w:tc>
              <w:tc>
                <w:tcPr/>
                <w:p>
                  <w:pPr>
                    <w:pStyle w:val="Compact"/>
                    <w:jc w:val="right"/>
                    <w:jc w:val="center"/>
                  </w:pPr>
                  <w:r>
                    <w:t xml:space="preserve">0.3422855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396.1993</w:t>
                  </w:r>
                </w:p>
              </w:tc>
              <w:tc>
                <w:tcPr/>
                <w:p>
                  <w:pPr>
                    <w:pStyle w:val="Compact"/>
                    <w:jc w:val="right"/>
                    <w:jc w:val="center"/>
                  </w:pPr>
                  <w:r>
                    <w:t xml:space="preserve">36.90861</w:t>
                  </w:r>
                </w:p>
              </w:tc>
              <w:tc>
                <w:tcPr/>
                <w:p>
                  <w:pPr>
                    <w:pStyle w:val="Compact"/>
                    <w:jc w:val="right"/>
                    <w:jc w:val="center"/>
                  </w:pPr>
                  <w:r>
                    <w:t xml:space="preserve">10.7346011</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(Intercept)</w:t>
                  </w:r>
                </w:p>
              </w:tc>
              <w:tc>
                <w:tcPr/>
                <w:p>
                  <w:pPr>
                    <w:pStyle w:val="Compact"/>
                    <w:jc w:val="right"/>
                    <w:jc w:val="center"/>
                  </w:pPr>
                  <w:r>
                    <w:t xml:space="preserve">12529.1303</w:t>
                  </w:r>
                </w:p>
              </w:tc>
              <w:tc>
                <w:tcPr/>
                <w:p>
                  <w:pPr>
                    <w:pStyle w:val="Compact"/>
                    <w:jc w:val="right"/>
                    <w:jc w:val="center"/>
                  </w:pPr>
                  <w:r>
                    <w:t xml:space="preserve">310.97832</w:t>
                  </w:r>
                </w:p>
              </w:tc>
              <w:tc>
                <w:tcPr/>
                <w:p>
                  <w:pPr>
                    <w:pStyle w:val="Compact"/>
                    <w:jc w:val="right"/>
                    <w:jc w:val="center"/>
                  </w:pPr>
                  <w:r>
                    <w:t xml:space="preserve">40.2894006</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664.6262</w:t>
                  </w:r>
                </w:p>
              </w:tc>
              <w:tc>
                <w:tcPr/>
                <w:p>
                  <w:pPr>
                    <w:pStyle w:val="Compact"/>
                    <w:jc w:val="right"/>
                    <w:jc w:val="center"/>
                  </w:pPr>
                  <w:r>
                    <w:t xml:space="preserve">189.64091</w:t>
                  </w:r>
                </w:p>
              </w:tc>
              <w:tc>
                <w:tcPr/>
                <w:p>
                  <w:pPr>
                    <w:pStyle w:val="Compact"/>
                    <w:jc w:val="right"/>
                    <w:jc w:val="center"/>
                  </w:pPr>
                  <w:r>
                    <w:t xml:space="preserve">3.5046560</w:t>
                  </w:r>
                </w:p>
              </w:tc>
              <w:tc>
                <w:tcPr/>
                <w:p>
                  <w:pPr>
                    <w:pStyle w:val="Compact"/>
                    <w:jc w:val="right"/>
                    <w:jc w:val="center"/>
                  </w:pPr>
                  <w:r>
                    <w:t xml:space="preserve">0.0004644</w:t>
                  </w:r>
                </w:p>
              </w:tc>
            </w:tr>
            <w:tr>
              <w:tc>
                <w:tcPr/>
                <w:p>
                  <w:pPr>
                    <w:pStyle w:val="Compact"/>
                    <w:jc w:val="left"/>
                    <w:jc w:val="center"/>
                  </w:pPr>
                  <w:r>
                    <w:t xml:space="preserve">sex</w:t>
                  </w:r>
                </w:p>
              </w:tc>
              <w:tc>
                <w:tcPr/>
                <w:p>
                  <w:pPr>
                    <w:pStyle w:val="Compact"/>
                    <w:jc w:val="left"/>
                    <w:jc w:val="center"/>
                  </w:pPr>
                  <w:r>
                    <w:t xml:space="preserve">(Intercept)</w:t>
                  </w:r>
                </w:p>
              </w:tc>
              <w:tc>
                <w:tcPr/>
                <w:p>
                  <w:pPr>
                    <w:pStyle w:val="Compact"/>
                    <w:jc w:val="right"/>
                    <w:jc w:val="center"/>
                  </w:pPr>
                  <w:r>
                    <w:t xml:space="preserve">12486.8320</w:t>
                  </w:r>
                </w:p>
              </w:tc>
              <w:tc>
                <w:tcPr/>
                <w:p>
                  <w:pPr>
                    <w:pStyle w:val="Compact"/>
                    <w:jc w:val="right"/>
                    <w:jc w:val="center"/>
                  </w:pPr>
                  <w:r>
                    <w:t xml:space="preserve">328.19612</w:t>
                  </w:r>
                </w:p>
              </w:tc>
              <w:tc>
                <w:tcPr/>
                <w:p>
                  <w:pPr>
                    <w:pStyle w:val="Compact"/>
                    <w:jc w:val="right"/>
                    <w:jc w:val="center"/>
                  </w:pPr>
                  <w:r>
                    <w:t xml:space="preserve">38.0468610</w:t>
                  </w:r>
                </w:p>
              </w:tc>
              <w:tc>
                <w:tcPr/>
                <w:p>
                  <w:pPr>
                    <w:pStyle w:val="Compact"/>
                    <w:jc w:val="right"/>
                    <w:jc w:val="center"/>
                  </w:pPr>
                  <w:r>
                    <w:t xml:space="preserve">0.0000000</w:t>
                  </w:r>
                </w:p>
              </w:tc>
            </w:tr>
            <w:tr>
              <w:tc>
                <w:tcPr/>
                <w:p>
                  <w:pPr>
                    <w:pStyle w:val="Compact"/>
                    <w:jc w:val="left"/>
                    <w:jc w:val="center"/>
                  </w:pPr>
                  <w:r>
                    <w:t xml:space="preserve">sex</w:t>
                  </w:r>
                </w:p>
              </w:tc>
              <w:tc>
                <w:tcPr/>
                <w:p>
                  <w:pPr>
                    <w:pStyle w:val="Compact"/>
                    <w:jc w:val="left"/>
                    <w:jc w:val="center"/>
                  </w:pPr>
                  <w:r>
                    <w:t xml:space="preserve">sexmale</w:t>
                  </w:r>
                </w:p>
              </w:tc>
              <w:tc>
                <w:tcPr/>
                <w:p>
                  <w:pPr>
                    <w:pStyle w:val="Compact"/>
                    <w:jc w:val="right"/>
                    <w:jc w:val="center"/>
                  </w:pPr>
                  <w:r>
                    <w:t xml:space="preserve">1527.0407</w:t>
                  </w:r>
                </w:p>
              </w:tc>
              <w:tc>
                <w:tcPr/>
                <w:p>
                  <w:pPr>
                    <w:pStyle w:val="Compact"/>
                    <w:jc w:val="right"/>
                    <w:jc w:val="center"/>
                  </w:pPr>
                  <w:r>
                    <w:t xml:space="preserve">460.82644</w:t>
                  </w:r>
                </w:p>
              </w:tc>
              <w:tc>
                <w:tcPr/>
                <w:p>
                  <w:pPr>
                    <w:pStyle w:val="Compact"/>
                    <w:jc w:val="right"/>
                    <w:jc w:val="center"/>
                  </w:pPr>
                  <w:r>
                    <w:t xml:space="preserve">3.3137004</w:t>
                  </w:r>
                </w:p>
              </w:tc>
              <w:tc>
                <w:tcPr/>
                <w:p>
                  <w:pPr>
                    <w:pStyle w:val="Compact"/>
                    <w:jc w:val="right"/>
                    <w:jc w:val="center"/>
                  </w:pPr>
                  <w:r>
                    <w:t xml:space="preserve">0.0009325</w:t>
                  </w:r>
                </w:p>
              </w:tc>
            </w:tr>
            <w:tr>
              <w:tc>
                <w:tcPr/>
                <w:p>
                  <w:pPr>
                    <w:pStyle w:val="Compact"/>
                    <w:jc w:val="left"/>
                    <w:jc w:val="center"/>
                  </w:pPr>
                  <w:r>
                    <w:t xml:space="preserve">smoker</w:t>
                  </w:r>
                </w:p>
              </w:tc>
              <w:tc>
                <w:tcPr/>
                <w:p>
                  <w:pPr>
                    <w:pStyle w:val="Compact"/>
                    <w:jc w:val="left"/>
                    <w:jc w:val="center"/>
                  </w:pPr>
                  <w:r>
                    <w:t xml:space="preserve">(Intercept)</w:t>
                  </w:r>
                </w:p>
              </w:tc>
              <w:tc>
                <w:tcPr/>
                <w:p>
                  <w:pPr>
                    <w:pStyle w:val="Compact"/>
                    <w:jc w:val="right"/>
                    <w:jc w:val="center"/>
                  </w:pPr>
                  <w:r>
                    <w:t xml:space="preserve">8417.8744</w:t>
                  </w:r>
                </w:p>
              </w:tc>
              <w:tc>
                <w:tcPr/>
                <w:p>
                  <w:pPr>
                    <w:pStyle w:val="Compact"/>
                    <w:jc w:val="right"/>
                    <w:jc w:val="center"/>
                  </w:pPr>
                  <w:r>
                    <w:t xml:space="preserve">158.98688</w:t>
                  </w:r>
                </w:p>
              </w:tc>
              <w:tc>
                <w:tcPr/>
                <w:p>
                  <w:pPr>
                    <w:pStyle w:val="Compact"/>
                    <w:jc w:val="right"/>
                    <w:jc w:val="center"/>
                  </w:pPr>
                  <w:r>
                    <w:t xml:space="preserve">52.9469743</w:t>
                  </w:r>
                </w:p>
              </w:tc>
              <w:tc>
                <w:tcPr/>
                <w:p>
                  <w:pPr>
                    <w:pStyle w:val="Compact"/>
                    <w:jc w:val="right"/>
                    <w:jc w:val="center"/>
                  </w:pPr>
                  <w:r>
                    <w:t xml:space="preserve">0.0000000</w:t>
                  </w:r>
                </w:p>
              </w:tc>
            </w:tr>
            <w:tr>
              <w:tc>
                <w:tcPr/>
                <w:p>
                  <w:pPr>
                    <w:pStyle w:val="Compact"/>
                    <w:jc w:val="left"/>
                    <w:jc w:val="center"/>
                  </w:pPr>
                  <w:r>
                    <w:t xml:space="preserve">smoker</w:t>
                  </w:r>
                </w:p>
              </w:tc>
              <w:tc>
                <w:tcPr/>
                <w:p>
                  <w:pPr>
                    <w:pStyle w:val="Compact"/>
                    <w:jc w:val="left"/>
                    <w:jc w:val="center"/>
                  </w:pPr>
                  <w:r>
                    <w:t xml:space="preserve">smokeryes</w:t>
                  </w:r>
                </w:p>
              </w:tc>
              <w:tc>
                <w:tcPr/>
                <w:p>
                  <w:pPr>
                    <w:pStyle w:val="Compact"/>
                    <w:jc w:val="right"/>
                    <w:jc w:val="center"/>
                  </w:pPr>
                  <w:r>
                    <w:t xml:space="preserve">23805.2654</w:t>
                  </w:r>
                </w:p>
              </w:tc>
              <w:tc>
                <w:tcPr/>
                <w:p>
                  <w:pPr>
                    <w:pStyle w:val="Compact"/>
                    <w:jc w:val="right"/>
                    <w:jc w:val="center"/>
                  </w:pPr>
                  <w:r>
                    <w:t xml:space="preserve">352.46691</w:t>
                  </w:r>
                </w:p>
              </w:tc>
              <w:tc>
                <w:tcPr/>
                <w:p>
                  <w:pPr>
                    <w:pStyle w:val="Compact"/>
                    <w:jc w:val="right"/>
                    <w:jc w:val="center"/>
                  </w:pPr>
                  <w:r>
                    <w:t xml:space="preserve">67.5390070</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(Intercept)</w:t>
                  </w:r>
                </w:p>
              </w:tc>
              <w:tc>
                <w:tcPr/>
                <w:p>
                  <w:pPr>
                    <w:pStyle w:val="Compact"/>
                    <w:jc w:val="right"/>
                    <w:jc w:val="center"/>
                  </w:pPr>
                  <w:r>
                    <w:t xml:space="preserve">13475.8747</w:t>
                  </w:r>
                </w:p>
              </w:tc>
              <w:tc>
                <w:tcPr/>
                <w:p>
                  <w:pPr>
                    <w:pStyle w:val="Compact"/>
                    <w:jc w:val="right"/>
                    <w:jc w:val="center"/>
                  </w:pPr>
                  <w:r>
                    <w:t xml:space="preserve">472.25777</w:t>
                  </w:r>
                </w:p>
              </w:tc>
              <w:tc>
                <w:tcPr/>
                <w:p>
                  <w:pPr>
                    <w:pStyle w:val="Compact"/>
                    <w:jc w:val="right"/>
                    <w:jc w:val="center"/>
                  </w:pPr>
                  <w:r>
                    <w:t xml:space="preserve">28.5349983</w:t>
                  </w:r>
                </w:p>
              </w:tc>
              <w:tc>
                <w:tcPr/>
                <w:p>
                  <w:pPr>
                    <w:pStyle w:val="Compact"/>
                    <w:jc w:val="right"/>
                    <w:jc w:val="center"/>
                  </w:pPr>
                  <w:r>
                    <w:t xml:space="preserve">0.0000000</w:t>
                  </w:r>
                </w:p>
              </w:tc>
            </w:tr>
            <w:tr>
              <w:tc>
                <w:tcPr/>
                <w:p>
                  <w:pPr>
                    <w:pStyle w:val="Compact"/>
                    <w:jc w:val="left"/>
                    <w:jc w:val="center"/>
                  </w:pPr>
                  <w:r>
                    <w:t xml:space="preserve">region</w:t>
                  </w:r>
                </w:p>
              </w:tc>
              <w:tc>
                <w:tcPr/>
                <w:p>
                  <w:pPr>
                    <w:pStyle w:val="Compact"/>
                    <w:jc w:val="left"/>
                    <w:jc w:val="center"/>
                  </w:pPr>
                  <w:r>
                    <w:t xml:space="preserve">regionnorthwest</w:t>
                  </w:r>
                </w:p>
              </w:tc>
              <w:tc>
                <w:tcPr/>
                <w:p>
                  <w:pPr>
                    <w:pStyle w:val="Compact"/>
                    <w:jc w:val="right"/>
                    <w:jc w:val="center"/>
                  </w:pPr>
                  <w:r>
                    <w:t xml:space="preserve">-1012.7454</w:t>
                  </w:r>
                </w:p>
              </w:tc>
              <w:tc>
                <w:tcPr/>
                <w:p>
                  <w:pPr>
                    <w:pStyle w:val="Compact"/>
                    <w:jc w:val="right"/>
                    <w:jc w:val="center"/>
                  </w:pPr>
                  <w:r>
                    <w:t xml:space="preserve">666.36289</w:t>
                  </w:r>
                </w:p>
              </w:tc>
              <w:tc>
                <w:tcPr/>
                <w:p>
                  <w:pPr>
                    <w:pStyle w:val="Compact"/>
                    <w:jc w:val="right"/>
                    <w:jc w:val="center"/>
                  </w:pPr>
                  <w:r>
                    <w:t xml:space="preserve">-1.5198107</w:t>
                  </w:r>
                </w:p>
              </w:tc>
              <w:tc>
                <w:tcPr/>
                <w:p>
                  <w:pPr>
                    <w:pStyle w:val="Compact"/>
                    <w:jc w:val="right"/>
                    <w:jc w:val="center"/>
                  </w:pPr>
                  <w:r>
                    <w:t xml:space="preserve">0.1286728</w:t>
                  </w:r>
                </w:p>
              </w:tc>
            </w:tr>
            <w:tr>
              <w:tc>
                <w:tcPr/>
                <w:p>
                  <w:pPr>
                    <w:pStyle w:val="Compact"/>
                    <w:jc w:val="left"/>
                    <w:jc w:val="center"/>
                  </w:pPr>
                  <w:r>
                    <w:t xml:space="preserve">region</w:t>
                  </w:r>
                </w:p>
              </w:tc>
              <w:tc>
                <w:tcPr/>
                <w:p>
                  <w:pPr>
                    <w:pStyle w:val="Compact"/>
                    <w:jc w:val="left"/>
                    <w:jc w:val="center"/>
                  </w:pPr>
                  <w:r>
                    <w:t xml:space="preserve">regionsoutheast</w:t>
                  </w:r>
                </w:p>
              </w:tc>
              <w:tc>
                <w:tcPr/>
                <w:p>
                  <w:pPr>
                    <w:pStyle w:val="Compact"/>
                    <w:jc w:val="right"/>
                    <w:jc w:val="center"/>
                  </w:pPr>
                  <w:r>
                    <w:t xml:space="preserve">1272.9030</w:t>
                  </w:r>
                </w:p>
              </w:tc>
              <w:tc>
                <w:tcPr/>
                <w:p>
                  <w:pPr>
                    <w:pStyle w:val="Compact"/>
                    <w:jc w:val="right"/>
                    <w:jc w:val="center"/>
                  </w:pPr>
                  <w:r>
                    <w:t xml:space="preserve">643.90193</w:t>
                  </w:r>
                </w:p>
              </w:tc>
              <w:tc>
                <w:tcPr/>
                <w:p>
                  <w:pPr>
                    <w:pStyle w:val="Compact"/>
                    <w:jc w:val="right"/>
                    <w:jc w:val="center"/>
                  </w:pPr>
                  <w:r>
                    <w:t xml:space="preserve">1.9768585</w:t>
                  </w:r>
                </w:p>
              </w:tc>
              <w:tc>
                <w:tcPr/>
                <w:p>
                  <w:pPr>
                    <w:pStyle w:val="Compact"/>
                    <w:jc w:val="right"/>
                    <w:jc w:val="center"/>
                  </w:pPr>
                  <w:r>
                    <w:t xml:space="preserve">0.0481567</w:t>
                  </w:r>
                </w:p>
              </w:tc>
            </w:tr>
            <w:tr>
              <w:tc>
                <w:tcPr/>
                <w:p>
                  <w:pPr>
                    <w:pStyle w:val="Compact"/>
                    <w:jc w:val="left"/>
                    <w:jc w:val="center"/>
                  </w:pPr>
                  <w:r>
                    <w:t xml:space="preserve">region</w:t>
                  </w:r>
                </w:p>
              </w:tc>
              <w:tc>
                <w:tcPr/>
                <w:p>
                  <w:pPr>
                    <w:pStyle w:val="Compact"/>
                    <w:jc w:val="left"/>
                    <w:jc w:val="center"/>
                  </w:pPr>
                  <w:r>
                    <w:t xml:space="preserve">regionsouthwest</w:t>
                  </w:r>
                </w:p>
              </w:tc>
              <w:tc>
                <w:tcPr/>
                <w:p>
                  <w:pPr>
                    <w:pStyle w:val="Compact"/>
                    <w:jc w:val="right"/>
                    <w:jc w:val="center"/>
                  </w:pPr>
                  <w:r>
                    <w:t xml:space="preserve">-1311.6783</w:t>
                  </w:r>
                </w:p>
              </w:tc>
              <w:tc>
                <w:tcPr/>
                <w:p>
                  <w:pPr>
                    <w:pStyle w:val="Compact"/>
                    <w:jc w:val="right"/>
                    <w:jc w:val="center"/>
                  </w:pPr>
                  <w:r>
                    <w:t xml:space="preserve">661.49615</w:t>
                  </w:r>
                </w:p>
              </w:tc>
              <w:tc>
                <w:tcPr/>
                <w:p>
                  <w:pPr>
                    <w:pStyle w:val="Compact"/>
                    <w:jc w:val="right"/>
                    <w:jc w:val="center"/>
                  </w:pPr>
                  <w:r>
                    <w:t xml:space="preserve">-1.9828964</w:t>
                  </w:r>
                </w:p>
              </w:tc>
              <w:tc>
                <w:tcPr/>
                <w:p>
                  <w:pPr>
                    <w:pStyle w:val="Compact"/>
                    <w:jc w:val="right"/>
                    <w:jc w:val="center"/>
                  </w:pPr>
                  <w:r>
                    <w:t xml:space="preserve">0.0474777</w:t>
                  </w:r>
                </w:p>
              </w:tc>
            </w:tr>
          </w:tbl>
          <w:bookmarkEnd w:id="67"/>
          <w:p/>
        </w:tc>
      </w:tr>
    </w:tbl>
    <w:p>
      <w:pPr>
        <w:pStyle w:val="BodyText"/>
      </w:pPr>
      <w:r>
        <w:rPr>
          <w:b/>
          <w:bCs/>
        </w:rPr>
        <w:t xml:space="preserve">Observation:</w:t>
      </w:r>
    </w:p>
    <w:p>
      <w:pPr>
        <w:numPr>
          <w:ilvl w:val="0"/>
          <w:numId w:val="1016"/>
        </w:numPr>
      </w:pPr>
      <w:r>
        <w:t xml:space="preserve">Age, BMI, number of children, sex, smoking status, and living in the Southeast and Southwest regions are significant predictors of insurance charges.</w:t>
      </w:r>
    </w:p>
    <w:p>
      <w:pPr>
        <w:numPr>
          <w:ilvl w:val="0"/>
          <w:numId w:val="1016"/>
        </w:numPr>
      </w:pPr>
      <w:r>
        <w:t xml:space="preserve">Smoking status has the largest effect on insurance charges, significantly increasing them.</w:t>
      </w:r>
    </w:p>
    <w:p>
      <w:pPr>
        <w:numPr>
          <w:ilvl w:val="0"/>
          <w:numId w:val="1016"/>
        </w:numPr>
      </w:pPr>
      <w:r>
        <w:t xml:space="preserve">The intercept for BMI and living in the Northwest region are not significant predictors of insurance charges in these models.</w:t>
      </w:r>
    </w:p>
    <w:p>
      <w:r>
        <w:br w:type="page"/>
      </w:r>
    </w:p>
    <w:bookmarkEnd w:id="68"/>
    <w:bookmarkStart w:id="79" w:name="full-analysis"/>
    <w:p>
      <w:pPr>
        <w:pStyle w:val="Heading2"/>
      </w:pPr>
      <w:r>
        <w:t xml:space="preserve">4.3 Full analysis</w:t>
      </w:r>
    </w:p>
    <w:p>
      <w:pPr>
        <w:pStyle w:val="FirstParagraph"/>
      </w:pPr>
      <w:hyperlink w:anchor="tbl-resulttable2">
        <w:r>
          <w:rPr>
            <w:rStyle w:val="Hyperlink"/>
          </w:rPr>
          <w:t xml:space="preserve">Table 3</w:t>
        </w:r>
      </w:hyperlink>
      <w:r>
        <w:t xml:space="preserve"> </w:t>
      </w:r>
      <w:r>
        <w:t xml:space="preserve">shows linear regression analysis charges is analyzed across all predictors.</w:t>
      </w:r>
    </w:p>
    <w:tbl>
      <w:tblPr>
        <w:tblStyle w:val="Table"/>
        <w:tblW w:type="pct" w:w="5000"/>
        <w:tblLayout w:type="fixed"/>
        <w:tblLook w:firstRow="0" w:lastRow="0" w:firstColumn="0" w:lastColumn="0" w:noHBand="0" w:noVBand="0" w:val="0000"/>
      </w:tblPr>
      <w:tblGrid>
        <w:gridCol w:w="7920"/>
      </w:tblGrid>
      <w:tr>
        <w:tc>
          <w:tcPr/>
          <w:bookmarkStart w:id="69" w:name="tbl-resulttable2"/>
          <w:p>
            <w:pPr>
              <w:jc w:val="center"/>
            </w:pPr>
            <w:pPr>
              <w:jc w:val="start"/>
              <w:spacing w:before="200"/>
              <w:pStyle w:val="ImageCaption"/>
            </w:pPr>
            <w:r>
              <w:t xml:space="preserve">Table 3: Linear Regression Analysis.</w:t>
            </w:r>
          </w:p>
          <w:tbl>
            <w:tblPr>
              <w:tblStyle w:val="Table"/>
              <w:tblW w:type="auto" w:w="0"/>
              <w:tblLook w:firstRow="1" w:lastRow="0" w:firstColumn="0" w:lastColumn="0" w:noHBand="0" w:noVBand="0" w:val="0020"/>
            </w:tblPr>
            <w:tblGrid>
              <w:gridCol w:w="1584"/>
              <w:gridCol w:w="1584"/>
              <w:gridCol w:w="1584"/>
              <w:gridCol w:w="1584"/>
              <w:gridCol w:w="1584"/>
            </w:tblGrid>
            <w:tr>
              <w:trPr>
                <w:tblHeader w:val="on"/>
              </w:trPr>
              <w:tc>
                <w:tcPr/>
                <w:p>
                  <w:pPr>
                    <w:pStyle w:val="Compact"/>
                    <w:jc w:val="left"/>
                    <w:jc w:val="center"/>
                  </w:pPr>
                  <w:r>
                    <w:t xml:space="preserve">term</w:t>
                  </w:r>
                </w:p>
              </w:tc>
              <w:tc>
                <w:tcPr/>
                <w:p>
                  <w:pPr>
                    <w:pStyle w:val="Compact"/>
                    <w:jc w:val="right"/>
                    <w:jc w:val="center"/>
                  </w:pPr>
                  <w:r>
                    <w:t xml:space="preserve">estimate</w:t>
                  </w:r>
                </w:p>
              </w:tc>
              <w:tc>
                <w:tcPr/>
                <w:p>
                  <w:pPr>
                    <w:pStyle w:val="Compact"/>
                    <w:jc w:val="right"/>
                    <w:jc w:val="center"/>
                  </w:pPr>
                  <w:r>
                    <w:t xml:space="preserve">std.error</w:t>
                  </w:r>
                </w:p>
              </w:tc>
              <w:tc>
                <w:tcPr/>
                <w:p>
                  <w:pPr>
                    <w:pStyle w:val="Compact"/>
                    <w:jc w:val="right"/>
                    <w:jc w:val="center"/>
                  </w:pPr>
                  <w:r>
                    <w:t xml:space="preserve">statistic</w:t>
                  </w:r>
                </w:p>
              </w:tc>
              <w:tc>
                <w:tcPr/>
                <w:p>
                  <w:pPr>
                    <w:pStyle w:val="Compact"/>
                    <w:jc w:val="right"/>
                    <w:jc w:val="center"/>
                  </w:pPr>
                  <w:r>
                    <w:t xml:space="preserve">p.value</w:t>
                  </w:r>
                </w:p>
              </w:tc>
            </w:tr>
            <w:tr>
              <w:tc>
                <w:tcPr/>
                <w:p>
                  <w:pPr>
                    <w:pStyle w:val="Compact"/>
                    <w:jc w:val="left"/>
                    <w:jc w:val="center"/>
                  </w:pPr>
                  <w:r>
                    <w:t xml:space="preserve">(Intercept)</w:t>
                  </w:r>
                </w:p>
              </w:tc>
              <w:tc>
                <w:tcPr/>
                <w:p>
                  <w:pPr>
                    <w:pStyle w:val="Compact"/>
                    <w:jc w:val="right"/>
                    <w:jc w:val="center"/>
                  </w:pPr>
                  <w:r>
                    <w:t xml:space="preserve">-1.184037e+04</w:t>
                  </w:r>
                </w:p>
              </w:tc>
              <w:tc>
                <w:tcPr/>
                <w:p>
                  <w:pPr>
                    <w:pStyle w:val="Compact"/>
                    <w:jc w:val="right"/>
                    <w:jc w:val="center"/>
                  </w:pPr>
                  <w:r>
                    <w:t xml:space="preserve">757.390243</w:t>
                  </w:r>
                </w:p>
              </w:tc>
              <w:tc>
                <w:tcPr/>
                <w:p>
                  <w:pPr>
                    <w:pStyle w:val="Compact"/>
                    <w:jc w:val="right"/>
                    <w:jc w:val="center"/>
                  </w:pPr>
                  <w:r>
                    <w:t xml:space="preserve">-15.6331202</w:t>
                  </w:r>
                </w:p>
              </w:tc>
              <w:tc>
                <w:tcPr/>
                <w:p>
                  <w:pPr>
                    <w:pStyle w:val="Compact"/>
                    <w:jc w:val="right"/>
                    <w:jc w:val="center"/>
                  </w:pPr>
                  <w:r>
                    <w:t xml:space="preserve">0.0000000</w:t>
                  </w:r>
                </w:p>
              </w:tc>
            </w:tr>
            <w:tr>
              <w:tc>
                <w:tcPr/>
                <w:p>
                  <w:pPr>
                    <w:pStyle w:val="Compact"/>
                    <w:jc w:val="left"/>
                    <w:jc w:val="center"/>
                  </w:pPr>
                  <w:r>
                    <w:t xml:space="preserve">age</w:t>
                  </w:r>
                </w:p>
              </w:tc>
              <w:tc>
                <w:tcPr/>
                <w:p>
                  <w:pPr>
                    <w:pStyle w:val="Compact"/>
                    <w:jc w:val="right"/>
                    <w:jc w:val="center"/>
                  </w:pPr>
                  <w:r>
                    <w:t xml:space="preserve">2.526119e+02</w:t>
                  </w:r>
                </w:p>
              </w:tc>
              <w:tc>
                <w:tcPr/>
                <w:p>
                  <w:pPr>
                    <w:pStyle w:val="Compact"/>
                    <w:jc w:val="right"/>
                    <w:jc w:val="center"/>
                  </w:pPr>
                  <w:r>
                    <w:t xml:space="preserve">9.072504</w:t>
                  </w:r>
                </w:p>
              </w:tc>
              <w:tc>
                <w:tcPr/>
                <w:p>
                  <w:pPr>
                    <w:pStyle w:val="Compact"/>
                    <w:jc w:val="right"/>
                    <w:jc w:val="center"/>
                  </w:pPr>
                  <w:r>
                    <w:t xml:space="preserve">27.8436841</w:t>
                  </w:r>
                </w:p>
              </w:tc>
              <w:tc>
                <w:tcPr/>
                <w:p>
                  <w:pPr>
                    <w:pStyle w:val="Compact"/>
                    <w:jc w:val="right"/>
                    <w:jc w:val="center"/>
                  </w:pPr>
                  <w:r>
                    <w:t xml:space="preserve">0.0000000</w:t>
                  </w:r>
                </w:p>
              </w:tc>
            </w:tr>
            <w:tr>
              <w:tc>
                <w:tcPr/>
                <w:p>
                  <w:pPr>
                    <w:pStyle w:val="Compact"/>
                    <w:jc w:val="left"/>
                    <w:jc w:val="center"/>
                  </w:pPr>
                  <w:r>
                    <w:t xml:space="preserve">bmi</w:t>
                  </w:r>
                </w:p>
              </w:tc>
              <w:tc>
                <w:tcPr/>
                <w:p>
                  <w:pPr>
                    <w:pStyle w:val="Compact"/>
                    <w:jc w:val="right"/>
                    <w:jc w:val="center"/>
                  </w:pPr>
                  <w:r>
                    <w:t xml:space="preserve">3.364993e+02</w:t>
                  </w:r>
                </w:p>
              </w:tc>
              <w:tc>
                <w:tcPr/>
                <w:p>
                  <w:pPr>
                    <w:pStyle w:val="Compact"/>
                    <w:jc w:val="right"/>
                    <w:jc w:val="center"/>
                  </w:pPr>
                  <w:r>
                    <w:t xml:space="preserve">21.859169</w:t>
                  </w:r>
                </w:p>
              </w:tc>
              <w:tc>
                <w:tcPr/>
                <w:p>
                  <w:pPr>
                    <w:pStyle w:val="Compact"/>
                    <w:jc w:val="right"/>
                    <w:jc w:val="center"/>
                  </w:pPr>
                  <w:r>
                    <w:t xml:space="preserve">15.3939664</w:t>
                  </w:r>
                </w:p>
              </w:tc>
              <w:tc>
                <w:tcPr/>
                <w:p>
                  <w:pPr>
                    <w:pStyle w:val="Compact"/>
                    <w:jc w:val="right"/>
                    <w:jc w:val="center"/>
                  </w:pPr>
                  <w:r>
                    <w:t xml:space="preserve">0.0000000</w:t>
                  </w:r>
                </w:p>
              </w:tc>
            </w:tr>
            <w:tr>
              <w:tc>
                <w:tcPr/>
                <w:p>
                  <w:pPr>
                    <w:pStyle w:val="Compact"/>
                    <w:jc w:val="left"/>
                    <w:jc w:val="center"/>
                  </w:pPr>
                  <w:r>
                    <w:t xml:space="preserve">children</w:t>
                  </w:r>
                </w:p>
              </w:tc>
              <w:tc>
                <w:tcPr/>
                <w:p>
                  <w:pPr>
                    <w:pStyle w:val="Compact"/>
                    <w:jc w:val="right"/>
                    <w:jc w:val="center"/>
                  </w:pPr>
                  <w:r>
                    <w:t xml:space="preserve">4.550461e+02</w:t>
                  </w:r>
                </w:p>
              </w:tc>
              <w:tc>
                <w:tcPr/>
                <w:p>
                  <w:pPr>
                    <w:pStyle w:val="Compact"/>
                    <w:jc w:val="right"/>
                    <w:jc w:val="center"/>
                  </w:pPr>
                  <w:r>
                    <w:t xml:space="preserve">105.022395</w:t>
                  </w:r>
                </w:p>
              </w:tc>
              <w:tc>
                <w:tcPr/>
                <w:p>
                  <w:pPr>
                    <w:pStyle w:val="Compact"/>
                    <w:jc w:val="right"/>
                    <w:jc w:val="center"/>
                  </w:pPr>
                  <w:r>
                    <w:t xml:space="preserve">4.3328479</w:t>
                  </w:r>
                </w:p>
              </w:tc>
              <w:tc>
                <w:tcPr/>
                <w:p>
                  <w:pPr>
                    <w:pStyle w:val="Compact"/>
                    <w:jc w:val="right"/>
                    <w:jc w:val="center"/>
                  </w:pPr>
                  <w:r>
                    <w:t xml:space="preserve">0.0000154</w:t>
                  </w:r>
                </w:p>
              </w:tc>
            </w:tr>
            <w:tr>
              <w:tc>
                <w:tcPr/>
                <w:p>
                  <w:pPr>
                    <w:pStyle w:val="Compact"/>
                    <w:jc w:val="left"/>
                    <w:jc w:val="center"/>
                  </w:pPr>
                  <w:r>
                    <w:t xml:space="preserve">sexmale</w:t>
                  </w:r>
                </w:p>
              </w:tc>
              <w:tc>
                <w:tcPr/>
                <w:p>
                  <w:pPr>
                    <w:pStyle w:val="Compact"/>
                    <w:jc w:val="right"/>
                    <w:jc w:val="center"/>
                  </w:pPr>
                  <w:r>
                    <w:t xml:space="preserve">8.252665e-01</w:t>
                  </w:r>
                </w:p>
              </w:tc>
              <w:tc>
                <w:tcPr/>
                <w:p>
                  <w:pPr>
                    <w:pStyle w:val="Compact"/>
                    <w:jc w:val="right"/>
                    <w:jc w:val="center"/>
                  </w:pPr>
                  <w:r>
                    <w:t xml:space="preserve">255.209406</w:t>
                  </w:r>
                </w:p>
              </w:tc>
              <w:tc>
                <w:tcPr/>
                <w:p>
                  <w:pPr>
                    <w:pStyle w:val="Compact"/>
                    <w:jc w:val="right"/>
                    <w:jc w:val="center"/>
                  </w:pPr>
                  <w:r>
                    <w:t xml:space="preserve">0.0032337</w:t>
                  </w:r>
                </w:p>
              </w:tc>
              <w:tc>
                <w:tcPr/>
                <w:p>
                  <w:pPr>
                    <w:pStyle w:val="Compact"/>
                    <w:jc w:val="right"/>
                    <w:jc w:val="center"/>
                  </w:pPr>
                  <w:r>
                    <w:t xml:space="preserve">0.9974202</w:t>
                  </w:r>
                </w:p>
              </w:tc>
            </w:tr>
            <w:tr>
              <w:tc>
                <w:tcPr/>
                <w:p>
                  <w:pPr>
                    <w:pStyle w:val="Compact"/>
                    <w:jc w:val="left"/>
                    <w:jc w:val="center"/>
                  </w:pPr>
                  <w:r>
                    <w:t xml:space="preserve">smokeryes</w:t>
                  </w:r>
                </w:p>
              </w:tc>
              <w:tc>
                <w:tcPr/>
                <w:p>
                  <w:pPr>
                    <w:pStyle w:val="Compact"/>
                    <w:jc w:val="right"/>
                    <w:jc w:val="center"/>
                  </w:pPr>
                  <w:r>
                    <w:t xml:space="preserve">2.415304e+04</w:t>
                  </w:r>
                </w:p>
              </w:tc>
              <w:tc>
                <w:tcPr/>
                <w:p>
                  <w:pPr>
                    <w:pStyle w:val="Compact"/>
                    <w:jc w:val="right"/>
                    <w:jc w:val="center"/>
                  </w:pPr>
                  <w:r>
                    <w:t xml:space="preserve">317.486710</w:t>
                  </w:r>
                </w:p>
              </w:tc>
              <w:tc>
                <w:tcPr/>
                <w:p>
                  <w:pPr>
                    <w:pStyle w:val="Compact"/>
                    <w:jc w:val="right"/>
                    <w:jc w:val="center"/>
                  </w:pPr>
                  <w:r>
                    <w:t xml:space="preserve">76.0757369</w:t>
                  </w:r>
                </w:p>
              </w:tc>
              <w:tc>
                <w:tcPr/>
                <w:p>
                  <w:pPr>
                    <w:pStyle w:val="Compact"/>
                    <w:jc w:val="right"/>
                    <w:jc w:val="center"/>
                  </w:pPr>
                  <w:r>
                    <w:t xml:space="preserve">0.0000000</w:t>
                  </w:r>
                </w:p>
              </w:tc>
            </w:tr>
            <w:tr>
              <w:tc>
                <w:tcPr/>
                <w:p>
                  <w:pPr>
                    <w:pStyle w:val="Compact"/>
                    <w:jc w:val="left"/>
                    <w:jc w:val="center"/>
                  </w:pPr>
                  <w:r>
                    <w:t xml:space="preserve">regionnorthwest</w:t>
                  </w:r>
                </w:p>
              </w:tc>
              <w:tc>
                <w:tcPr/>
                <w:p>
                  <w:pPr>
                    <w:pStyle w:val="Compact"/>
                    <w:jc w:val="right"/>
                    <w:jc w:val="center"/>
                  </w:pPr>
                  <w:r>
                    <w:t xml:space="preserve">-2.197996e+02</w:t>
                  </w:r>
                </w:p>
              </w:tc>
              <w:tc>
                <w:tcPr/>
                <w:p>
                  <w:pPr>
                    <w:pStyle w:val="Compact"/>
                    <w:jc w:val="right"/>
                    <w:jc w:val="center"/>
                  </w:pPr>
                  <w:r>
                    <w:t xml:space="preserve">368.749286</w:t>
                  </w:r>
                </w:p>
              </w:tc>
              <w:tc>
                <w:tcPr/>
                <w:p>
                  <w:pPr>
                    <w:pStyle w:val="Compact"/>
                    <w:jc w:val="right"/>
                    <w:jc w:val="center"/>
                  </w:pPr>
                  <w:r>
                    <w:t xml:space="preserve">-0.5960679</w:t>
                  </w:r>
                </w:p>
              </w:tc>
              <w:tc>
                <w:tcPr/>
                <w:p>
                  <w:pPr>
                    <w:pStyle w:val="Compact"/>
                    <w:jc w:val="right"/>
                    <w:jc w:val="center"/>
                  </w:pPr>
                  <w:r>
                    <w:t xml:space="preserve">0.5511909</w:t>
                  </w:r>
                </w:p>
              </w:tc>
            </w:tr>
            <w:tr>
              <w:tc>
                <w:tcPr/>
                <w:p>
                  <w:pPr>
                    <w:pStyle w:val="Compact"/>
                    <w:jc w:val="left"/>
                    <w:jc w:val="center"/>
                  </w:pPr>
                  <w:r>
                    <w:t xml:space="preserve">regionsoutheast</w:t>
                  </w:r>
                </w:p>
              </w:tc>
              <w:tc>
                <w:tcPr/>
                <w:p>
                  <w:pPr>
                    <w:pStyle w:val="Compact"/>
                    <w:jc w:val="right"/>
                    <w:jc w:val="center"/>
                  </w:pPr>
                  <w:r>
                    <w:t xml:space="preserve">-1.020635e+03</w:t>
                  </w:r>
                </w:p>
              </w:tc>
              <w:tc>
                <w:tcPr/>
                <w:p>
                  <w:pPr>
                    <w:pStyle w:val="Compact"/>
                    <w:jc w:val="right"/>
                    <w:jc w:val="center"/>
                  </w:pPr>
                  <w:r>
                    <w:t xml:space="preserve">369.922657</w:t>
                  </w:r>
                </w:p>
              </w:tc>
              <w:tc>
                <w:tcPr/>
                <w:p>
                  <w:pPr>
                    <w:pStyle w:val="Compact"/>
                    <w:jc w:val="right"/>
                    <w:jc w:val="center"/>
                  </w:pPr>
                  <w:r>
                    <w:t xml:space="preserve">-2.7590496</w:t>
                  </w:r>
                </w:p>
              </w:tc>
              <w:tc>
                <w:tcPr/>
                <w:p>
                  <w:pPr>
                    <w:pStyle w:val="Compact"/>
                    <w:jc w:val="right"/>
                    <w:jc w:val="center"/>
                  </w:pPr>
                  <w:r>
                    <w:t xml:space="preserve">0.0058447</w:t>
                  </w:r>
                </w:p>
              </w:tc>
            </w:tr>
            <w:tr>
              <w:tc>
                <w:tcPr/>
                <w:p>
                  <w:pPr>
                    <w:pStyle w:val="Compact"/>
                    <w:jc w:val="left"/>
                    <w:jc w:val="center"/>
                  </w:pPr>
                  <w:r>
                    <w:t xml:space="preserve">regionsouthwest</w:t>
                  </w:r>
                </w:p>
              </w:tc>
              <w:tc>
                <w:tcPr/>
                <w:p>
                  <w:pPr>
                    <w:pStyle w:val="Compact"/>
                    <w:jc w:val="right"/>
                    <w:jc w:val="center"/>
                  </w:pPr>
                  <w:r>
                    <w:t xml:space="preserve">-7.674076e+02</w:t>
                  </w:r>
                </w:p>
              </w:tc>
              <w:tc>
                <w:tcPr/>
                <w:p>
                  <w:pPr>
                    <w:pStyle w:val="Compact"/>
                    <w:jc w:val="right"/>
                    <w:jc w:val="center"/>
                  </w:pPr>
                  <w:r>
                    <w:t xml:space="preserve">366.387191</w:t>
                  </w:r>
                </w:p>
              </w:tc>
              <w:tc>
                <w:tcPr/>
                <w:p>
                  <w:pPr>
                    <w:pStyle w:val="Compact"/>
                    <w:jc w:val="right"/>
                    <w:jc w:val="center"/>
                  </w:pPr>
                  <w:r>
                    <w:t xml:space="preserve">-2.0945263</w:t>
                  </w:r>
                </w:p>
              </w:tc>
              <w:tc>
                <w:tcPr/>
                <w:p>
                  <w:pPr>
                    <w:pStyle w:val="Compact"/>
                    <w:jc w:val="right"/>
                    <w:jc w:val="center"/>
                  </w:pPr>
                  <w:r>
                    <w:t xml:space="preserve">0.0363267</w:t>
                  </w:r>
                </w:p>
              </w:tc>
            </w:tr>
          </w:tbl>
          <w:bookmarkEnd w:id="69"/>
          <w:p/>
        </w:tc>
      </w:tr>
    </w:tbl>
    <w:p>
      <w:pPr>
        <w:pStyle w:val="BodyText"/>
      </w:pPr>
      <w:r>
        <w:rPr>
          <w:b/>
          <w:bCs/>
        </w:rPr>
        <w:t xml:space="preserve">Observation:</w:t>
      </w:r>
      <w:r>
        <w:t xml:space="preserve"> </w:t>
      </w:r>
      <w:r>
        <w:t xml:space="preserve">After the data was split into training and testing, the linear regression analysis was conducted.</w:t>
      </w:r>
    </w:p>
    <w:p>
      <w:pPr>
        <w:numPr>
          <w:ilvl w:val="0"/>
          <w:numId w:val="1017"/>
        </w:numPr>
      </w:pPr>
      <w:r>
        <w:t xml:space="preserve">Age, BMI, number of children, smoking status, and living in the Southeast or Southwest regions are significant predictors of insurance charges.</w:t>
      </w:r>
    </w:p>
    <w:p>
      <w:pPr>
        <w:numPr>
          <w:ilvl w:val="0"/>
          <w:numId w:val="1017"/>
        </w:numPr>
      </w:pPr>
      <w:r>
        <w:t xml:space="preserve">Smoking status still has the largest effect on insurance charges, significantly increasing them.</w:t>
      </w:r>
    </w:p>
    <w:p>
      <w:pPr>
        <w:numPr>
          <w:ilvl w:val="0"/>
          <w:numId w:val="1017"/>
        </w:numPr>
      </w:pPr>
      <w:r>
        <w:t xml:space="preserve">Sex and living in the Northwest region are not significant predictors of insurance charges in this model.</w:t>
      </w:r>
    </w:p>
    <w:p>
      <w:r>
        <w:br w:type="page"/>
      </w:r>
    </w:p>
    <w:p>
      <w:pPr>
        <w:pStyle w:val="FirstParagraph"/>
      </w:pPr>
      <w:hyperlink w:anchor="fig-linear">
        <w:r>
          <w:rPr>
            <w:rStyle w:val="Hyperlink"/>
          </w:rPr>
          <w:t xml:space="preserve">Figure 9</w:t>
        </w:r>
      </w:hyperlink>
      <w:r>
        <w:t xml:space="preserve"> </w:t>
      </w:r>
      <w:r>
        <w:t xml:space="preserve">helps visualize which features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3" w:name="fig-linear"/>
          <w:p>
            <w:pPr>
              <w:pStyle w:val="Compact"/>
              <w:jc w:val="center"/>
            </w:pPr>
            <w:r>
              <w:drawing>
                <wp:inline>
                  <wp:extent cx="5334000" cy="5071482"/>
                  <wp:effectExtent b="0" l="0" r="0" t="0"/>
                  <wp:docPr descr="" title="" id="71" name="Picture"/>
                  <a:graphic>
                    <a:graphicData uri="http://schemas.openxmlformats.org/drawingml/2006/picture">
                      <pic:pic>
                        <pic:nvPicPr>
                          <pic:cNvPr descr="../../results/figures/linear_regression_plot.png" id="72" name="Picture"/>
                          <pic:cNvPicPr>
                            <a:picLocks noChangeArrowheads="1" noChangeAspect="1"/>
                          </pic:cNvPicPr>
                        </pic:nvPicPr>
                        <pic:blipFill>
                          <a:blip r:embed="rId70"/>
                          <a:stretch>
                            <a:fillRect/>
                          </a:stretch>
                        </pic:blipFill>
                        <pic:spPr bwMode="auto">
                          <a:xfrm>
                            <a:off x="0" y="0"/>
                            <a:ext cx="5334000" cy="50714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Linear Regression Coefficients.</w:t>
            </w:r>
          </w:p>
          <w:bookmarkEnd w:id="73"/>
        </w:tc>
      </w:tr>
    </w:tbl>
    <w:p>
      <w:r>
        <w:br w:type="page"/>
      </w:r>
    </w:p>
    <w:p>
      <w:pPr>
        <w:pStyle w:val="BodyText"/>
      </w:pPr>
      <w:hyperlink w:anchor="tbl-resulttable3">
        <w:r>
          <w:rPr>
            <w:rStyle w:val="Hyperlink"/>
          </w:rPr>
          <w:t xml:space="preserve">Table 4</w:t>
        </w:r>
      </w:hyperlink>
      <w:r>
        <w:t xml:space="preserve"> </w:t>
      </w:r>
      <w:r>
        <w:t xml:space="preserve">helps to capture complex interaction between features.</w:t>
      </w:r>
    </w:p>
    <w:tbl>
      <w:tblPr>
        <w:tblStyle w:val="Table"/>
        <w:tblW w:type="pct" w:w="5000"/>
        <w:tblLayout w:type="fixed"/>
        <w:tblLook w:firstRow="0" w:lastRow="0" w:firstColumn="0" w:lastColumn="0" w:noHBand="0" w:noVBand="0" w:val="0000"/>
      </w:tblPr>
      <w:tblGrid>
        <w:gridCol w:w="7920"/>
      </w:tblGrid>
      <w:tr>
        <w:tc>
          <w:tcPr/>
          <w:bookmarkStart w:id="74" w:name="tbl-resulttable3"/>
          <w:p>
            <w:pPr>
              <w:jc w:val="center"/>
            </w:pPr>
            <w:pPr>
              <w:jc w:val="start"/>
              <w:spacing w:before="200"/>
              <w:pStyle w:val="ImageCaption"/>
            </w:pPr>
            <w:r>
              <w:t xml:space="preserve">Table 4: Random Forest Analysis.</w:t>
            </w:r>
          </w:p>
          <w:tbl>
            <w:tblPr>
              <w:tblStyle w:val="Table"/>
              <w:tblW w:type="auto" w:w="0"/>
              <w:tblLook w:firstRow="1" w:lastRow="0" w:firstColumn="0" w:lastColumn="0" w:noHBand="0" w:noVBand="0" w:val="0020"/>
            </w:tblPr>
            <w:tblGrid>
              <w:gridCol w:w="2640"/>
              <w:gridCol w:w="2640"/>
              <w:gridCol w:w="2640"/>
            </w:tblGrid>
            <w:tr>
              <w:trPr>
                <w:tblHeader w:val="on"/>
              </w:trPr>
              <w:tc>
                <w:tcPr/>
                <w:p>
                  <w:pPr>
                    <w:pStyle w:val="Compact"/>
                  </w:pPr>
                </w:p>
              </w:tc>
              <w:tc>
                <w:tcPr/>
                <w:p>
                  <w:pPr>
                    <w:pStyle w:val="Compact"/>
                    <w:jc w:val="left"/>
                    <w:jc w:val="center"/>
                  </w:pPr>
                  <w:r>
                    <w:t xml:space="preserve">Feature</w:t>
                  </w:r>
                </w:p>
              </w:tc>
              <w:tc>
                <w:tcPr/>
                <w:p>
                  <w:pPr>
                    <w:pStyle w:val="Compact"/>
                    <w:jc w:val="right"/>
                    <w:jc w:val="center"/>
                  </w:pPr>
                  <w:r>
                    <w:t xml:space="preserve">Importance</w:t>
                  </w:r>
                </w:p>
              </w:tc>
            </w:tr>
            <w:tr>
              <w:tc>
                <w:tcPr/>
                <w:p>
                  <w:pPr>
                    <w:pStyle w:val="Compact"/>
                    <w:jc w:val="left"/>
                    <w:jc w:val="center"/>
                  </w:pPr>
                  <w:r>
                    <w:t xml:space="preserve">age</w:t>
                  </w:r>
                </w:p>
              </w:tc>
              <w:tc>
                <w:tcPr/>
                <w:p>
                  <w:pPr>
                    <w:pStyle w:val="Compact"/>
                    <w:jc w:val="left"/>
                    <w:jc w:val="center"/>
                  </w:pPr>
                  <w:r>
                    <w:t xml:space="preserve">age</w:t>
                  </w:r>
                </w:p>
              </w:tc>
              <w:tc>
                <w:tcPr/>
                <w:p>
                  <w:pPr>
                    <w:pStyle w:val="Compact"/>
                    <w:jc w:val="right"/>
                    <w:jc w:val="center"/>
                  </w:pPr>
                  <w:r>
                    <w:t xml:space="preserve">41276698254</w:t>
                  </w:r>
                </w:p>
              </w:tc>
            </w:tr>
            <w:tr>
              <w:tc>
                <w:tcPr/>
                <w:p>
                  <w:pPr>
                    <w:pStyle w:val="Compact"/>
                    <w:jc w:val="left"/>
                    <w:jc w:val="center"/>
                  </w:pPr>
                  <w:r>
                    <w:t xml:space="preserve">sex</w:t>
                  </w:r>
                </w:p>
              </w:tc>
              <w:tc>
                <w:tcPr/>
                <w:p>
                  <w:pPr>
                    <w:pStyle w:val="Compact"/>
                    <w:jc w:val="left"/>
                    <w:jc w:val="center"/>
                  </w:pPr>
                  <w:r>
                    <w:t xml:space="preserve">sex</w:t>
                  </w:r>
                </w:p>
              </w:tc>
              <w:tc>
                <w:tcPr/>
                <w:p>
                  <w:pPr>
                    <w:pStyle w:val="Compact"/>
                    <w:jc w:val="right"/>
                    <w:jc w:val="center"/>
                  </w:pPr>
                  <w:r>
                    <w:t xml:space="preserve">2333500565</w:t>
                  </w:r>
                </w:p>
              </w:tc>
            </w:tr>
            <w:tr>
              <w:tc>
                <w:tcPr/>
                <w:p>
                  <w:pPr>
                    <w:pStyle w:val="Compact"/>
                    <w:jc w:val="left"/>
                    <w:jc w:val="center"/>
                  </w:pPr>
                  <w:r>
                    <w:t xml:space="preserve">bmi</w:t>
                  </w:r>
                </w:p>
              </w:tc>
              <w:tc>
                <w:tcPr/>
                <w:p>
                  <w:pPr>
                    <w:pStyle w:val="Compact"/>
                    <w:jc w:val="left"/>
                    <w:jc w:val="center"/>
                  </w:pPr>
                  <w:r>
                    <w:t xml:space="preserve">bmi</w:t>
                  </w:r>
                </w:p>
              </w:tc>
              <w:tc>
                <w:tcPr/>
                <w:p>
                  <w:pPr>
                    <w:pStyle w:val="Compact"/>
                    <w:jc w:val="right"/>
                    <w:jc w:val="center"/>
                  </w:pPr>
                  <w:r>
                    <w:t xml:space="preserve">45657041834</w:t>
                  </w:r>
                </w:p>
              </w:tc>
            </w:tr>
            <w:tr>
              <w:tc>
                <w:tcPr/>
                <w:p>
                  <w:pPr>
                    <w:pStyle w:val="Compact"/>
                    <w:jc w:val="left"/>
                    <w:jc w:val="center"/>
                  </w:pPr>
                  <w:r>
                    <w:t xml:space="preserve">children</w:t>
                  </w:r>
                </w:p>
              </w:tc>
              <w:tc>
                <w:tcPr/>
                <w:p>
                  <w:pPr>
                    <w:pStyle w:val="Compact"/>
                    <w:jc w:val="left"/>
                    <w:jc w:val="center"/>
                  </w:pPr>
                  <w:r>
                    <w:t xml:space="preserve">children</w:t>
                  </w:r>
                </w:p>
              </w:tc>
              <w:tc>
                <w:tcPr/>
                <w:p>
                  <w:pPr>
                    <w:pStyle w:val="Compact"/>
                    <w:jc w:val="right"/>
                    <w:jc w:val="center"/>
                  </w:pPr>
                  <w:r>
                    <w:t xml:space="preserve">6364617046</w:t>
                  </w:r>
                </w:p>
              </w:tc>
            </w:tr>
            <w:tr>
              <w:tc>
                <w:tcPr/>
                <w:p>
                  <w:pPr>
                    <w:pStyle w:val="Compact"/>
                    <w:jc w:val="left"/>
                    <w:jc w:val="center"/>
                  </w:pPr>
                  <w:r>
                    <w:t xml:space="preserve">smoker</w:t>
                  </w:r>
                </w:p>
              </w:tc>
              <w:tc>
                <w:tcPr/>
                <w:p>
                  <w:pPr>
                    <w:pStyle w:val="Compact"/>
                    <w:jc w:val="left"/>
                    <w:jc w:val="center"/>
                  </w:pPr>
                  <w:r>
                    <w:t xml:space="preserve">smoker</w:t>
                  </w:r>
                </w:p>
              </w:tc>
              <w:tc>
                <w:tcPr/>
                <w:p>
                  <w:pPr>
                    <w:pStyle w:val="Compact"/>
                    <w:jc w:val="right"/>
                    <w:jc w:val="center"/>
                  </w:pPr>
                  <w:r>
                    <w:t xml:space="preserve">205835757547</w:t>
                  </w:r>
                </w:p>
              </w:tc>
            </w:tr>
            <w:tr>
              <w:tc>
                <w:tcPr/>
                <w:p>
                  <w:pPr>
                    <w:pStyle w:val="Compact"/>
                    <w:jc w:val="left"/>
                    <w:jc w:val="center"/>
                  </w:pPr>
                  <w:r>
                    <w:t xml:space="preserve">region</w:t>
                  </w:r>
                </w:p>
              </w:tc>
              <w:tc>
                <w:tcPr/>
                <w:p>
                  <w:pPr>
                    <w:pStyle w:val="Compact"/>
                    <w:jc w:val="left"/>
                    <w:jc w:val="center"/>
                  </w:pPr>
                  <w:r>
                    <w:t xml:space="preserve">region</w:t>
                  </w:r>
                </w:p>
              </w:tc>
              <w:tc>
                <w:tcPr/>
                <w:p>
                  <w:pPr>
                    <w:pStyle w:val="Compact"/>
                    <w:jc w:val="right"/>
                    <w:jc w:val="center"/>
                  </w:pPr>
                  <w:r>
                    <w:t xml:space="preserve">6128386015</w:t>
                  </w:r>
                </w:p>
              </w:tc>
            </w:tr>
          </w:tbl>
          <w:bookmarkEnd w:id="74"/>
          <w:p/>
        </w:tc>
      </w:tr>
    </w:tbl>
    <w:p>
      <w:pPr>
        <w:pStyle w:val="BodyText"/>
      </w:pPr>
      <w:r>
        <w:rPr>
          <w:b/>
          <w:bCs/>
        </w:rPr>
        <w:t xml:space="preserve">Observation:</w:t>
      </w:r>
    </w:p>
    <w:p>
      <w:pPr>
        <w:numPr>
          <w:ilvl w:val="0"/>
          <w:numId w:val="1018"/>
        </w:numPr>
      </w:pPr>
      <w:r>
        <w:t xml:space="preserve">Smoking status, BMI, and age are the most important predictors of insurance charges, followed by the number of children and region. Sex has the least importance.</w:t>
      </w:r>
    </w:p>
    <w:p>
      <w:pPr>
        <w:numPr>
          <w:ilvl w:val="0"/>
          <w:numId w:val="1018"/>
        </w:numPr>
      </w:pPr>
      <w:r>
        <w:t xml:space="preserve">The importance rankings from the random forest analysis are consistent with the findings from the linear regression models, where smoking status, age, and BMI were significant predictors.</w:t>
      </w:r>
    </w:p>
    <w:p>
      <w:r>
        <w:br w:type="page"/>
      </w:r>
    </w:p>
    <w:p>
      <w:pPr>
        <w:pStyle w:val="FirstParagraph"/>
      </w:pPr>
      <w:hyperlink w:anchor="fig-randomforest">
        <w:r>
          <w:rPr>
            <w:rStyle w:val="Hyperlink"/>
          </w:rPr>
          <w:t xml:space="preserve">Figure 10</w:t>
        </w:r>
      </w:hyperlink>
      <w:r>
        <w:t xml:space="preserve"> </w:t>
      </w:r>
      <w:r>
        <w:t xml:space="preserve">helps visualize how each feature have a significant effect on charges.</w:t>
      </w:r>
    </w:p>
    <w:tbl>
      <w:tblPr>
        <w:tblStyle w:val="Table"/>
        <w:tblW w:type="pct" w:w="5000"/>
        <w:tblLayout w:type="fixed"/>
        <w:tblLook w:firstRow="0" w:lastRow="0" w:firstColumn="0" w:lastColumn="0" w:noHBand="0" w:noVBand="0" w:val="0000"/>
      </w:tblPr>
      <w:tblGrid>
        <w:gridCol w:w="7920"/>
      </w:tblGrid>
      <w:tr>
        <w:tc>
          <w:tcPr/>
          <w:bookmarkStart w:id="78" w:name="fig-randomforest"/>
          <w:p>
            <w:pPr>
              <w:pStyle w:val="Compact"/>
              <w:jc w:val="center"/>
            </w:pPr>
            <w:r>
              <w:drawing>
                <wp:inline>
                  <wp:extent cx="5334000" cy="5334000"/>
                  <wp:effectExtent b="0" l="0" r="0" t="0"/>
                  <wp:docPr descr="" title="" id="76" name="Picture"/>
                  <a:graphic>
                    <a:graphicData uri="http://schemas.openxmlformats.org/drawingml/2006/picture">
                      <pic:pic>
                        <pic:nvPicPr>
                          <pic:cNvPr descr="../../results/figures/random_forest_importance_plot.png" id="77" name="Picture"/>
                          <pic:cNvPicPr>
                            <a:picLocks noChangeArrowheads="1" noChangeAspect="1"/>
                          </pic:cNvPicPr>
                        </pic:nvPicPr>
                        <pic:blipFill>
                          <a:blip r:embed="rId75"/>
                          <a:stretch>
                            <a:fillRect/>
                          </a:stretch>
                        </pic:blipFill>
                        <pic:spPr bwMode="auto">
                          <a:xfrm>
                            <a:off x="0" y="0"/>
                            <a:ext cx="5334000" cy="5334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Random Forest Feature Importance.</w:t>
            </w:r>
          </w:p>
          <w:bookmarkEnd w:id="78"/>
        </w:tc>
      </w:tr>
    </w:tbl>
    <w:p>
      <w:r>
        <w:br w:type="page"/>
      </w:r>
    </w:p>
    <w:bookmarkEnd w:id="79"/>
    <w:bookmarkEnd w:id="80"/>
    <w:bookmarkStart w:id="89" w:name="discussion"/>
    <w:p>
      <w:pPr>
        <w:pStyle w:val="Heading1"/>
      </w:pPr>
      <w:r>
        <w:t xml:space="preserve">5. Discussion</w:t>
      </w:r>
    </w:p>
    <w:bookmarkStart w:id="84" w:name="summary-and-interpretation"/>
    <w:p>
      <w:pPr>
        <w:pStyle w:val="Heading2"/>
      </w:pPr>
      <w:r>
        <w:t xml:space="preserve">5.1 Summary and Interpretation</w:t>
      </w:r>
    </w:p>
    <w:bookmarkStart w:id="81" w:name="what-was-done"/>
    <w:p>
      <w:pPr>
        <w:pStyle w:val="Heading3"/>
      </w:pPr>
      <w:r>
        <w:t xml:space="preserve">5.1.1 What was done:</w:t>
      </w:r>
    </w:p>
    <w:p>
      <w:pPr>
        <w:numPr>
          <w:ilvl w:val="0"/>
          <w:numId w:val="1019"/>
        </w:numPr>
      </w:pPr>
      <w:r>
        <w:rPr>
          <w:b/>
          <w:bCs/>
        </w:rPr>
        <w:t xml:space="preserve">Data Loading and Preparation</w:t>
      </w:r>
      <w:r>
        <w:t xml:space="preserve">:</w:t>
      </w:r>
    </w:p>
    <w:p>
      <w:pPr>
        <w:numPr>
          <w:ilvl w:val="1"/>
          <w:numId w:val="1020"/>
        </w:numPr>
      </w:pPr>
      <w:r>
        <w:t xml:space="preserve">Loaded the insurance dataset from a CSV file.</w:t>
      </w:r>
    </w:p>
    <w:p>
      <w:pPr>
        <w:numPr>
          <w:ilvl w:val="1"/>
          <w:numId w:val="1020"/>
        </w:numPr>
      </w:pPr>
      <w:r>
        <w:t xml:space="preserve">Performed exploratory data analysis to understand the distribution and relationships within the data.</w:t>
      </w:r>
    </w:p>
    <w:p>
      <w:pPr>
        <w:numPr>
          <w:ilvl w:val="1"/>
          <w:numId w:val="1020"/>
        </w:numPr>
      </w:pPr>
      <w:r>
        <w:t xml:space="preserve">Conducted data cleaning processes, such as handling missing values and transforming variables.</w:t>
      </w:r>
    </w:p>
    <w:p>
      <w:pPr>
        <w:numPr>
          <w:ilvl w:val="0"/>
          <w:numId w:val="1019"/>
        </w:numPr>
      </w:pPr>
      <w:r>
        <w:rPr>
          <w:b/>
          <w:bCs/>
        </w:rPr>
        <w:t xml:space="preserve">Exploratory Data Analysis (EDA)</w:t>
      </w:r>
      <w:r>
        <w:t xml:space="preserve">:</w:t>
      </w:r>
    </w:p>
    <w:p>
      <w:pPr>
        <w:numPr>
          <w:ilvl w:val="1"/>
          <w:numId w:val="1021"/>
        </w:numPr>
      </w:pPr>
      <w:r>
        <w:t xml:space="preserve">Visualized the distribution of insurance charges using histograms and box plots.</w:t>
      </w:r>
    </w:p>
    <w:p>
      <w:pPr>
        <w:numPr>
          <w:ilvl w:val="1"/>
          <w:numId w:val="1021"/>
        </w:numPr>
      </w:pPr>
      <w:r>
        <w:t xml:space="preserve">Examined the relationships between insurance charges and various predictors, including age, BMI, number of children, smoking status, and region.</w:t>
      </w:r>
    </w:p>
    <w:p>
      <w:pPr>
        <w:numPr>
          <w:ilvl w:val="0"/>
          <w:numId w:val="1019"/>
        </w:numPr>
      </w:pPr>
      <w:r>
        <w:rPr>
          <w:b/>
          <w:bCs/>
        </w:rPr>
        <w:t xml:space="preserve">Statistical Modeling</w:t>
      </w:r>
      <w:r>
        <w:t xml:space="preserve">:</w:t>
      </w:r>
    </w:p>
    <w:p>
      <w:pPr>
        <w:numPr>
          <w:ilvl w:val="1"/>
          <w:numId w:val="1022"/>
        </w:numPr>
      </w:pPr>
      <w:r>
        <w:t xml:space="preserve">Built simple linear regression models to explore the impact of individual predictors on insurance charges.</w:t>
      </w:r>
    </w:p>
    <w:p>
      <w:pPr>
        <w:numPr>
          <w:ilvl w:val="1"/>
          <w:numId w:val="1022"/>
        </w:numPr>
      </w:pPr>
      <w:r>
        <w:t xml:space="preserve">Developed a multiple linear regression model to understand the combined effect of multiple predictors on insurance charges.</w:t>
      </w:r>
    </w:p>
    <w:p>
      <w:pPr>
        <w:numPr>
          <w:ilvl w:val="1"/>
          <w:numId w:val="1022"/>
        </w:numPr>
      </w:pPr>
      <w:r>
        <w:t xml:space="preserve">Conducted a random forest analysis to determine the importance of different features in predicting insurance charges.</w:t>
      </w:r>
    </w:p>
    <w:p>
      <w:pPr>
        <w:numPr>
          <w:ilvl w:val="0"/>
          <w:numId w:val="1019"/>
        </w:numPr>
      </w:pPr>
      <w:r>
        <w:rPr>
          <w:b/>
          <w:bCs/>
        </w:rPr>
        <w:t xml:space="preserve">Visualization</w:t>
      </w:r>
      <w:r>
        <w:t xml:space="preserve">:</w:t>
      </w:r>
    </w:p>
    <w:p>
      <w:pPr>
        <w:pStyle w:val="Compact"/>
        <w:numPr>
          <w:ilvl w:val="1"/>
          <w:numId w:val="1023"/>
        </w:numPr>
      </w:pPr>
      <w:r>
        <w:t xml:space="preserve">Created various plots, including scatter plots, bar charts, and box plots, to visualize the relationships between predictors and insurance charges.</w:t>
      </w:r>
    </w:p>
    <w:bookmarkEnd w:id="81"/>
    <w:bookmarkStart w:id="82" w:name="what-was-found"/>
    <w:p>
      <w:pPr>
        <w:pStyle w:val="Heading3"/>
      </w:pPr>
      <w:r>
        <w:t xml:space="preserve">5.1.2 What was found:</w:t>
      </w:r>
    </w:p>
    <w:p>
      <w:pPr>
        <w:numPr>
          <w:ilvl w:val="0"/>
          <w:numId w:val="1024"/>
        </w:numPr>
      </w:pPr>
      <w:r>
        <w:rPr>
          <w:b/>
          <w:bCs/>
        </w:rPr>
        <w:t xml:space="preserve">Key Predictors</w:t>
      </w:r>
      <w:r>
        <w:t xml:space="preserve">:</w:t>
      </w:r>
    </w:p>
    <w:p>
      <w:pPr>
        <w:numPr>
          <w:ilvl w:val="1"/>
          <w:numId w:val="1025"/>
        </w:numPr>
      </w:pPr>
      <w:r>
        <w:rPr>
          <w:b/>
          <w:bCs/>
        </w:rPr>
        <w:t xml:space="preserve">Smoking Status</w:t>
      </w:r>
      <w:r>
        <w:t xml:space="preserve">: The most influential predictor, with smokers incurring significantly higher insurance charges compared to non-smokers.</w:t>
      </w:r>
    </w:p>
    <w:p>
      <w:pPr>
        <w:numPr>
          <w:ilvl w:val="1"/>
          <w:numId w:val="1025"/>
        </w:numPr>
      </w:pPr>
      <w:r>
        <w:rPr>
          <w:b/>
          <w:bCs/>
        </w:rPr>
        <w:t xml:space="preserve">BMI</w:t>
      </w:r>
      <w:r>
        <w:t xml:space="preserve">: A strong positive relationship with insurance charges, indicating higher charges for individuals with higher BMI.</w:t>
      </w:r>
    </w:p>
    <w:p>
      <w:pPr>
        <w:numPr>
          <w:ilvl w:val="1"/>
          <w:numId w:val="1025"/>
        </w:numPr>
      </w:pPr>
      <w:r>
        <w:rPr>
          <w:b/>
          <w:bCs/>
        </w:rPr>
        <w:t xml:space="preserve">Age</w:t>
      </w:r>
      <w:r>
        <w:t xml:space="preserve">: A positive relationship with insurance charges, with charges increasing as age increases.</w:t>
      </w:r>
    </w:p>
    <w:p>
      <w:pPr>
        <w:numPr>
          <w:ilvl w:val="1"/>
          <w:numId w:val="1025"/>
        </w:numPr>
      </w:pPr>
      <w:r>
        <w:rPr>
          <w:b/>
          <w:bCs/>
        </w:rPr>
        <w:t xml:space="preserve">Number of Children</w:t>
      </w:r>
      <w:r>
        <w:t xml:space="preserve">: A significant positive impact on insurance charges, although the effect was smaller compared to smoking status, BMI, and age.</w:t>
      </w:r>
    </w:p>
    <w:p>
      <w:pPr>
        <w:numPr>
          <w:ilvl w:val="1"/>
          <w:numId w:val="1025"/>
        </w:numPr>
      </w:pPr>
      <w:r>
        <w:rPr>
          <w:b/>
          <w:bCs/>
        </w:rPr>
        <w:t xml:space="preserve">Region</w:t>
      </w:r>
      <w:r>
        <w:t xml:space="preserve">: Regional differences were observed, with the Southeast region associated with higher charges and the Southwest region associated with lower charges.</w:t>
      </w:r>
    </w:p>
    <w:p>
      <w:pPr>
        <w:numPr>
          <w:ilvl w:val="1"/>
          <w:numId w:val="1025"/>
        </w:numPr>
      </w:pPr>
      <w:r>
        <w:rPr>
          <w:b/>
          <w:bCs/>
        </w:rPr>
        <w:t xml:space="preserve">Sex</w:t>
      </w:r>
      <w:r>
        <w:t xml:space="preserve">: The impact of sex on insurance charges was negligible.</w:t>
      </w:r>
    </w:p>
    <w:p>
      <w:pPr>
        <w:numPr>
          <w:ilvl w:val="0"/>
          <w:numId w:val="1024"/>
        </w:numPr>
      </w:pPr>
      <w:r>
        <w:rPr>
          <w:b/>
          <w:bCs/>
        </w:rPr>
        <w:t xml:space="preserve">Feature Importance</w:t>
      </w:r>
      <w:r>
        <w:t xml:space="preserve">:</w:t>
      </w:r>
    </w:p>
    <w:p>
      <w:pPr>
        <w:numPr>
          <w:ilvl w:val="1"/>
          <w:numId w:val="1026"/>
        </w:numPr>
      </w:pPr>
      <w:r>
        <w:t xml:space="preserve">The random forest analysis confirmed that smoking status, BMI, and age were the most important features in predicting insurance charges.</w:t>
      </w:r>
    </w:p>
    <w:p>
      <w:pPr>
        <w:numPr>
          <w:ilvl w:val="1"/>
          <w:numId w:val="1026"/>
        </w:numPr>
      </w:pPr>
      <w:r>
        <w:t xml:space="preserve">The number of children and region also contributed to the predictions, while sex had the least importance.</w:t>
      </w:r>
    </w:p>
    <w:bookmarkEnd w:id="82"/>
    <w:bookmarkStart w:id="83" w:name="what-it-means"/>
    <w:p>
      <w:pPr>
        <w:pStyle w:val="Heading3"/>
      </w:pPr>
      <w:r>
        <w:t xml:space="preserve">5.1.3 What it means:</w:t>
      </w:r>
    </w:p>
    <w:p>
      <w:pPr>
        <w:numPr>
          <w:ilvl w:val="0"/>
          <w:numId w:val="1027"/>
        </w:numPr>
      </w:pPr>
      <w:r>
        <w:rPr>
          <w:b/>
          <w:bCs/>
        </w:rPr>
        <w:t xml:space="preserve">Policy and Pricing</w:t>
      </w:r>
      <w:r>
        <w:t xml:space="preserve">:</w:t>
      </w:r>
    </w:p>
    <w:p>
      <w:pPr>
        <w:numPr>
          <w:ilvl w:val="1"/>
          <w:numId w:val="1028"/>
        </w:numPr>
      </w:pPr>
      <w:r>
        <w:t xml:space="preserve">The findings highlight the importance of considering multiple factors when setting insurance premiums. Smoking status, BMI, and age are critical factors that significantly impact insurance costs.</w:t>
      </w:r>
    </w:p>
    <w:p>
      <w:pPr>
        <w:numPr>
          <w:ilvl w:val="1"/>
          <w:numId w:val="1028"/>
        </w:numPr>
      </w:pPr>
      <w:r>
        <w:t xml:space="preserve">Insurance companies can use these insights to adjust premiums more accurately based on the risk profile of individuals.</w:t>
      </w:r>
    </w:p>
    <w:p>
      <w:pPr>
        <w:numPr>
          <w:ilvl w:val="0"/>
          <w:numId w:val="1027"/>
        </w:numPr>
      </w:pPr>
      <w:r>
        <w:rPr>
          <w:b/>
          <w:bCs/>
        </w:rPr>
        <w:t xml:space="preserve">Health Interventions</w:t>
      </w:r>
      <w:r>
        <w:t xml:space="preserve">:</w:t>
      </w:r>
    </w:p>
    <w:p>
      <w:pPr>
        <w:numPr>
          <w:ilvl w:val="1"/>
          <w:numId w:val="1029"/>
        </w:numPr>
      </w:pPr>
      <w:r>
        <w:t xml:space="preserve">The strong association between smoking and higher insurance charges underscores the need for targeted health interventions to reduce smoking rates, which could, in turn, lower insurance costs.</w:t>
      </w:r>
    </w:p>
    <w:p>
      <w:pPr>
        <w:numPr>
          <w:ilvl w:val="1"/>
          <w:numId w:val="1029"/>
        </w:numPr>
      </w:pPr>
      <w:r>
        <w:t xml:space="preserve">Addressing obesity through health programs could also help reduce insurance charges associated with higher BMI.</w:t>
      </w:r>
    </w:p>
    <w:p>
      <w:pPr>
        <w:numPr>
          <w:ilvl w:val="0"/>
          <w:numId w:val="1027"/>
        </w:numPr>
      </w:pPr>
      <w:r>
        <w:rPr>
          <w:b/>
          <w:bCs/>
        </w:rPr>
        <w:t xml:space="preserve">Regional Considerations</w:t>
      </w:r>
      <w:r>
        <w:t xml:space="preserve">:</w:t>
      </w:r>
    </w:p>
    <w:p>
      <w:pPr>
        <w:pStyle w:val="Compact"/>
        <w:numPr>
          <w:ilvl w:val="1"/>
          <w:numId w:val="1030"/>
        </w:numPr>
      </w:pPr>
      <w:r>
        <w:t xml:space="preserve">Regional differences in insurance charges suggest that localized strategies might be necessary to address specific regional health challenges and cost structures.</w:t>
      </w:r>
    </w:p>
    <w:p>
      <w:pPr>
        <w:numPr>
          <w:ilvl w:val="0"/>
          <w:numId w:val="1027"/>
        </w:numPr>
      </w:pPr>
      <w:r>
        <w:rPr>
          <w:b/>
          <w:bCs/>
        </w:rPr>
        <w:t xml:space="preserve">Further Research</w:t>
      </w:r>
      <w:r>
        <w:t xml:space="preserve">:</w:t>
      </w:r>
    </w:p>
    <w:p>
      <w:pPr>
        <w:numPr>
          <w:ilvl w:val="1"/>
          <w:numId w:val="1031"/>
        </w:numPr>
      </w:pPr>
      <w:r>
        <w:t xml:space="preserve">Future studies could explore the interactions between these key predictors to understand their combined effects on insurance charges.</w:t>
      </w:r>
    </w:p>
    <w:p>
      <w:pPr>
        <w:numPr>
          <w:ilvl w:val="1"/>
          <w:numId w:val="1031"/>
        </w:numPr>
      </w:pPr>
      <w:r>
        <w:t xml:space="preserve">Additional data could be collected to validate these findings and explore other potential predictors.</w:t>
      </w:r>
    </w:p>
    <w:bookmarkEnd w:id="83"/>
    <w:bookmarkEnd w:id="84"/>
    <w:bookmarkStart w:id="87" w:name="strengths-and-limitations"/>
    <w:p>
      <w:pPr>
        <w:pStyle w:val="Heading2"/>
      </w:pPr>
      <w:r>
        <w:t xml:space="preserve">5.2 Strengths and Limitations</w:t>
      </w:r>
    </w:p>
    <w:bookmarkStart w:id="85" w:name="strengths"/>
    <w:p>
      <w:pPr>
        <w:pStyle w:val="Heading3"/>
      </w:pPr>
      <w:r>
        <w:t xml:space="preserve">5.2.1 Strengths:</w:t>
      </w:r>
    </w:p>
    <w:p>
      <w:pPr>
        <w:numPr>
          <w:ilvl w:val="0"/>
          <w:numId w:val="1032"/>
        </w:numPr>
      </w:pPr>
      <w:r>
        <w:rPr>
          <w:b/>
          <w:bCs/>
        </w:rPr>
        <w:t xml:space="preserve">Comprehensive Exploratory Data Analysis (EDA)</w:t>
      </w:r>
      <w:r>
        <w:t xml:space="preserve">:</w:t>
      </w:r>
    </w:p>
    <w:p>
      <w:pPr>
        <w:numPr>
          <w:ilvl w:val="1"/>
          <w:numId w:val="1033"/>
        </w:numPr>
      </w:pPr>
      <w:r>
        <w:t xml:space="preserve">Detailed EDA helped in understanding the distribution and relationships within the data.</w:t>
      </w:r>
    </w:p>
    <w:p>
      <w:pPr>
        <w:numPr>
          <w:ilvl w:val="1"/>
          <w:numId w:val="1033"/>
        </w:numPr>
      </w:pPr>
      <w:r>
        <w:t xml:space="preserve">Visualizations such as histograms, box plots, scatter plots, and bar charts provided clear insights into the data and highlighted important patterns.</w:t>
      </w:r>
    </w:p>
    <w:p>
      <w:pPr>
        <w:numPr>
          <w:ilvl w:val="0"/>
          <w:numId w:val="1032"/>
        </w:numPr>
      </w:pPr>
      <w:r>
        <w:rPr>
          <w:b/>
          <w:bCs/>
        </w:rPr>
        <w:t xml:space="preserve">Use of Multiple Statistical Methods</w:t>
      </w:r>
      <w:r>
        <w:t xml:space="preserve">:</w:t>
      </w:r>
    </w:p>
    <w:p>
      <w:pPr>
        <w:numPr>
          <w:ilvl w:val="1"/>
          <w:numId w:val="1034"/>
        </w:numPr>
      </w:pPr>
      <w:r>
        <w:t xml:space="preserve">Employed both linear regression and random forest models to analyze the data.</w:t>
      </w:r>
    </w:p>
    <w:p>
      <w:pPr>
        <w:numPr>
          <w:ilvl w:val="1"/>
          <w:numId w:val="1034"/>
        </w:numPr>
      </w:pPr>
      <w:r>
        <w:t xml:space="preserve">Linear regression provided insights into the individual and combined effects of predictors.</w:t>
      </w:r>
    </w:p>
    <w:p>
      <w:pPr>
        <w:numPr>
          <w:ilvl w:val="1"/>
          <w:numId w:val="1034"/>
        </w:numPr>
      </w:pPr>
      <w:r>
        <w:t xml:space="preserve">Random forest analysis helped in identifying the importance of different features.</w:t>
      </w:r>
    </w:p>
    <w:p>
      <w:pPr>
        <w:numPr>
          <w:ilvl w:val="0"/>
          <w:numId w:val="1032"/>
        </w:numPr>
      </w:pPr>
      <w:r>
        <w:rPr>
          <w:b/>
          <w:bCs/>
        </w:rPr>
        <w:t xml:space="preserve">Handling of Categorical Variables</w:t>
      </w:r>
      <w:r>
        <w:t xml:space="preserve">:</w:t>
      </w:r>
    </w:p>
    <w:p>
      <w:pPr>
        <w:numPr>
          <w:ilvl w:val="1"/>
          <w:numId w:val="1035"/>
        </w:numPr>
      </w:pPr>
      <w:r>
        <w:t xml:space="preserve">Effectively transformed and factored categorical variables to ensure accurate modeling.</w:t>
      </w:r>
    </w:p>
    <w:p>
      <w:pPr>
        <w:numPr>
          <w:ilvl w:val="1"/>
          <w:numId w:val="1035"/>
        </w:numPr>
      </w:pPr>
      <w:r>
        <w:t xml:space="preserve">Considered regional differences and the impact of smoking status, which are critical factors in insurance pricing.</w:t>
      </w:r>
    </w:p>
    <w:p>
      <w:pPr>
        <w:numPr>
          <w:ilvl w:val="0"/>
          <w:numId w:val="1032"/>
        </w:numPr>
      </w:pPr>
      <w:r>
        <w:rPr>
          <w:b/>
          <w:bCs/>
        </w:rPr>
        <w:t xml:space="preserve">Feature Importance Analysis</w:t>
      </w:r>
      <w:r>
        <w:t xml:space="preserve">:</w:t>
      </w:r>
    </w:p>
    <w:p>
      <w:pPr>
        <w:pStyle w:val="Compact"/>
        <w:numPr>
          <w:ilvl w:val="1"/>
          <w:numId w:val="1036"/>
        </w:numPr>
      </w:pPr>
      <w:r>
        <w:t xml:space="preserve">The random forest feature importance analysis provided a clear ranking of predictors, confirming the results of the linear regression models.</w:t>
      </w:r>
    </w:p>
    <w:p>
      <w:pPr>
        <w:numPr>
          <w:ilvl w:val="0"/>
          <w:numId w:val="1032"/>
        </w:numPr>
      </w:pPr>
      <w:r>
        <w:rPr>
          <w:b/>
          <w:bCs/>
        </w:rPr>
        <w:t xml:space="preserve">Clear and Informative Visualizations</w:t>
      </w:r>
      <w:r>
        <w:t xml:space="preserve">:</w:t>
      </w:r>
    </w:p>
    <w:p>
      <w:pPr>
        <w:pStyle w:val="Compact"/>
        <w:numPr>
          <w:ilvl w:val="1"/>
          <w:numId w:val="1037"/>
        </w:numPr>
      </w:pPr>
      <w:r>
        <w:t xml:space="preserve">Created visualizations that were easy to interpret and clearly illustrated the relationships between variables and insurance charges.</w:t>
      </w:r>
    </w:p>
    <w:p>
      <w:pPr>
        <w:numPr>
          <w:ilvl w:val="0"/>
          <w:numId w:val="1032"/>
        </w:numPr>
      </w:pPr>
      <w:r>
        <w:rPr>
          <w:b/>
          <w:bCs/>
        </w:rPr>
        <w:t xml:space="preserve">Thorough Interpretation</w:t>
      </w:r>
      <w:r>
        <w:t xml:space="preserve">:</w:t>
      </w:r>
    </w:p>
    <w:p>
      <w:pPr>
        <w:pStyle w:val="Compact"/>
        <w:numPr>
          <w:ilvl w:val="1"/>
          <w:numId w:val="1038"/>
        </w:numPr>
      </w:pPr>
      <w:r>
        <w:t xml:space="preserve">Provided detailed interpretations of the results, explaining the significance and impact of each predictor on insurance charges.</w:t>
      </w:r>
    </w:p>
    <w:bookmarkEnd w:id="85"/>
    <w:bookmarkStart w:id="86" w:name="limitations"/>
    <w:p>
      <w:pPr>
        <w:pStyle w:val="Heading3"/>
      </w:pPr>
      <w:r>
        <w:t xml:space="preserve">5.2.2 Limitations:</w:t>
      </w:r>
    </w:p>
    <w:p>
      <w:pPr>
        <w:numPr>
          <w:ilvl w:val="0"/>
          <w:numId w:val="1039"/>
        </w:numPr>
      </w:pPr>
      <w:r>
        <w:rPr>
          <w:b/>
          <w:bCs/>
        </w:rPr>
        <w:t xml:space="preserve">Assumptions of Linear Regression</w:t>
      </w:r>
      <w:r>
        <w:t xml:space="preserve">:</w:t>
      </w:r>
    </w:p>
    <w:p>
      <w:pPr>
        <w:numPr>
          <w:ilvl w:val="1"/>
          <w:numId w:val="1040"/>
        </w:numPr>
      </w:pPr>
      <w:r>
        <w:t xml:space="preserve">Linear regression models assume linear relationships between predictors and the outcome, which may not fully capture more complex, non-linear relationships.</w:t>
      </w:r>
    </w:p>
    <w:p>
      <w:pPr>
        <w:numPr>
          <w:ilvl w:val="1"/>
          <w:numId w:val="1040"/>
        </w:numPr>
      </w:pPr>
      <w:r>
        <w:t xml:space="preserve">Assumes independence of observations, which might not hold true in real-world data.</w:t>
      </w:r>
    </w:p>
    <w:p>
      <w:pPr>
        <w:numPr>
          <w:ilvl w:val="0"/>
          <w:numId w:val="1039"/>
        </w:numPr>
      </w:pPr>
      <w:r>
        <w:rPr>
          <w:b/>
          <w:bCs/>
        </w:rPr>
        <w:t xml:space="preserve">Potential Overfitting with Random Forest</w:t>
      </w:r>
      <w:r>
        <w:t xml:space="preserve">:</w:t>
      </w:r>
    </w:p>
    <w:p>
      <w:pPr>
        <w:numPr>
          <w:ilvl w:val="1"/>
          <w:numId w:val="1041"/>
        </w:numPr>
      </w:pPr>
      <w:r>
        <w:t xml:space="preserve">Random forest models can be prone to overfitting, especially with a small dataset or highly correlated features.</w:t>
      </w:r>
    </w:p>
    <w:p>
      <w:pPr>
        <w:numPr>
          <w:ilvl w:val="1"/>
          <w:numId w:val="1041"/>
        </w:numPr>
      </w:pPr>
      <w:r>
        <w:t xml:space="preserve">Overfitting might lead to overly optimistic feature importance scores that do not generalize well to new data.</w:t>
      </w:r>
    </w:p>
    <w:p>
      <w:pPr>
        <w:numPr>
          <w:ilvl w:val="0"/>
          <w:numId w:val="1039"/>
        </w:numPr>
      </w:pPr>
      <w:r>
        <w:rPr>
          <w:b/>
          <w:bCs/>
        </w:rPr>
        <w:t xml:space="preserve">Outliers and Data Distribution</w:t>
      </w:r>
      <w:r>
        <w:t xml:space="preserve">:</w:t>
      </w:r>
    </w:p>
    <w:p>
      <w:pPr>
        <w:numPr>
          <w:ilvl w:val="1"/>
          <w:numId w:val="1042"/>
        </w:numPr>
      </w:pPr>
      <w:r>
        <w:t xml:space="preserve">The dataset contains outliers, particularly in insurance charges, which can impact the results of linear regression models.</w:t>
      </w:r>
    </w:p>
    <w:p>
      <w:pPr>
        <w:numPr>
          <w:ilvl w:val="1"/>
          <w:numId w:val="1042"/>
        </w:numPr>
      </w:pPr>
      <w:r>
        <w:t xml:space="preserve">The skewed distribution of insurance charges might affect the assumptions of normality in linear regression.</w:t>
      </w:r>
    </w:p>
    <w:p>
      <w:pPr>
        <w:numPr>
          <w:ilvl w:val="0"/>
          <w:numId w:val="1039"/>
        </w:numPr>
      </w:pPr>
      <w:r>
        <w:rPr>
          <w:b/>
          <w:bCs/>
        </w:rPr>
        <w:t xml:space="preserve">Limited Dataset</w:t>
      </w:r>
      <w:r>
        <w:t xml:space="preserve">:</w:t>
      </w:r>
    </w:p>
    <w:p>
      <w:pPr>
        <w:numPr>
          <w:ilvl w:val="1"/>
          <w:numId w:val="1043"/>
        </w:numPr>
      </w:pPr>
      <w:r>
        <w:t xml:space="preserve">The analysis was conducted on a specific insurance dataset, which may limit the generalizability of the findings to other datasets or populations.</w:t>
      </w:r>
    </w:p>
    <w:p>
      <w:pPr>
        <w:numPr>
          <w:ilvl w:val="1"/>
          <w:numId w:val="1043"/>
        </w:numPr>
      </w:pPr>
      <w:r>
        <w:t xml:space="preserve">Potential biases in the dataset could affect the results and their applicability.</w:t>
      </w:r>
    </w:p>
    <w:p>
      <w:r>
        <w:br w:type="page"/>
      </w:r>
    </w:p>
    <w:bookmarkEnd w:id="86"/>
    <w:bookmarkEnd w:id="87"/>
    <w:bookmarkStart w:id="88" w:name="conclusions"/>
    <w:p>
      <w:pPr>
        <w:pStyle w:val="Heading2"/>
      </w:pPr>
      <w:r>
        <w:t xml:space="preserve">5.3 Conclusions</w:t>
      </w:r>
    </w:p>
    <w:p>
      <w:pPr>
        <w:pStyle w:val="FirstParagraph"/>
      </w:pPr>
      <w:r>
        <w:t xml:space="preserve">The analysis highlights the significant factors affecting insurance charges and provides valuable insights for insurance pricing and policy formulation. By focusing on key predictors such as smoking status, BMI, age, number of children, and region, and considering their combined effects, insurance companies can develop more accurate and equitable pricing strategies. Additionally, public health interventions targeting smoking and obesity can help reduce overall insurance costs. Continued research and validation are essential to further refine these insights and ensure their applicability across diverse populations and datasets.</w:t>
      </w:r>
    </w:p>
    <w:p>
      <w:pPr>
        <w:pStyle w:val="BodyText"/>
      </w:pPr>
      <w:r>
        <w:t xml:space="preserve">A few online resources that helped with my research:</w:t>
      </w:r>
    </w:p>
    <w:p>
      <w:pPr>
        <w:pStyle w:val="BodyText"/>
      </w:pPr>
      <w:r>
        <w:t xml:space="preserve">This website</w:t>
      </w:r>
      <w:r>
        <w:t xml:space="preserve"> </w:t>
      </w:r>
      <w:r>
        <w:t xml:space="preserve">(Care Health Insurance 2020)</w:t>
      </w:r>
      <w:r>
        <w:t xml:space="preserve"> </w:t>
      </w:r>
      <w:r>
        <w:t xml:space="preserve">discusses the challenges smokers face in obtaining health insurance, highlighting how smoking affects premium costs..</w:t>
      </w:r>
    </w:p>
    <w:p>
      <w:pPr>
        <w:pStyle w:val="BodyText"/>
      </w:pPr>
      <w:r>
        <w:t xml:space="preserve">This Experian website</w:t>
      </w:r>
      <w:r>
        <w:t xml:space="preserve"> </w:t>
      </w:r>
      <w:r>
        <w:t xml:space="preserve">(Martin 2022)</w:t>
      </w:r>
      <w:r>
        <w:t xml:space="preserve"> </w:t>
      </w:r>
      <w:r>
        <w:t xml:space="preserve">explains various factors that affect health insurance premium costs, including age, location, tobacco use, type of plan, and individual vs. family enrollment. It provides insights on how these factors influence the overall cost of health insurance for consumers..</w:t>
      </w:r>
    </w:p>
    <w:p>
      <w:pPr>
        <w:pStyle w:val="BodyText"/>
      </w:pPr>
      <w:r>
        <w:t xml:space="preserve">The article</w:t>
      </w:r>
      <w:r>
        <w:t xml:space="preserve"> </w:t>
      </w:r>
      <w:r>
        <w:t xml:space="preserve">(Choi and Blackburn 2018)</w:t>
      </w:r>
      <w:r>
        <w:t xml:space="preserve"> </w:t>
      </w:r>
      <w:r>
        <w:t xml:space="preserve">examines how household socio-demographic characteristics influence health insurance premiums and medical expenses. Using data from the 2014 Consumer Expenditure Survey, the study identifies that age, marital status, educational attainment, and family income are significant predictors of higher spending on health insurance premiums and medical expenses. .</w:t>
      </w:r>
    </w:p>
    <w:p>
      <w:r>
        <w:br w:type="page"/>
      </w:r>
    </w:p>
    <w:bookmarkEnd w:id="88"/>
    <w:bookmarkEnd w:id="89"/>
    <w:bookmarkStart w:id="97" w:name="references"/>
    <w:p>
      <w:pPr>
        <w:pStyle w:val="Heading1"/>
      </w:pPr>
      <w:r>
        <w:t xml:space="preserve">6. References</w:t>
      </w:r>
    </w:p>
    <w:bookmarkStart w:id="96" w:name="refs"/>
    <w:bookmarkStart w:id="91" w:name="ref-careinsurance_smoker"/>
    <w:p>
      <w:pPr>
        <w:pStyle w:val="Bibliography"/>
      </w:pPr>
      <w:r>
        <w:t xml:space="preserve">Care Health Insurance. 2020.</w:t>
      </w:r>
      <w:r>
        <w:t xml:space="preserve"> </w:t>
      </w:r>
      <w:r>
        <w:t xml:space="preserve">“Must-Know Facts Before Choosing Health Insurance for Smokers.”</w:t>
      </w:r>
      <w:r>
        <w:t xml:space="preserve"> </w:t>
      </w:r>
      <w:hyperlink r:id="rId90">
        <w:r>
          <w:rPr>
            <w:rStyle w:val="Hyperlink"/>
          </w:rPr>
          <w:t xml:space="preserve">https://www.careinsurance.com/blog/health-insurance-articles/health-insurance-for-smoker</w:t>
        </w:r>
      </w:hyperlink>
      <w:r>
        <w:t xml:space="preserve">.</w:t>
      </w:r>
    </w:p>
    <w:bookmarkEnd w:id="91"/>
    <w:bookmarkStart w:id="93" w:name="ref-choi_blackburn_2018"/>
    <w:p>
      <w:pPr>
        <w:pStyle w:val="Bibliography"/>
      </w:pPr>
      <w:r>
        <w:t xml:space="preserve">Choi, Shinae, and Justin Blackburn. 2018.</w:t>
      </w:r>
      <w:r>
        <w:t xml:space="preserve"> </w:t>
      </w:r>
      <w:r>
        <w:t xml:space="preserve">“Patterns and Factors Associated with Medical Expenses and Health Insurance Premium Payments.”</w:t>
      </w:r>
      <w:r>
        <w:t xml:space="preserve"> </w:t>
      </w:r>
      <w:r>
        <w:rPr>
          <w:i/>
          <w:iCs/>
        </w:rPr>
        <w:t xml:space="preserve">Journal of Financial Counseling and Planning</w:t>
      </w:r>
      <w:r>
        <w:t xml:space="preserve"> </w:t>
      </w:r>
      <w:r>
        <w:t xml:space="preserve">29 (1): 6–18.</w:t>
      </w:r>
      <w:r>
        <w:t xml:space="preserve"> </w:t>
      </w:r>
      <w:hyperlink r:id="rId92">
        <w:r>
          <w:rPr>
            <w:rStyle w:val="Hyperlink"/>
          </w:rPr>
          <w:t xml:space="preserve">https://doi.org/10.1891/1052-3073.29.1.6</w:t>
        </w:r>
      </w:hyperlink>
      <w:r>
        <w:t xml:space="preserve">.</w:t>
      </w:r>
    </w:p>
    <w:bookmarkEnd w:id="93"/>
    <w:bookmarkStart w:id="95" w:name="ref-experian_premium_factors"/>
    <w:p>
      <w:pPr>
        <w:pStyle w:val="Bibliography"/>
      </w:pPr>
      <w:r>
        <w:t xml:space="preserve">Martin, Allison. 2022.</w:t>
      </w:r>
      <w:r>
        <w:t xml:space="preserve"> </w:t>
      </w:r>
      <w:r>
        <w:t xml:space="preserve">“5 Factors That Affect Your Health Insurance Premium Costs.”</w:t>
      </w:r>
      <w:r>
        <w:t xml:space="preserve"> </w:t>
      </w:r>
      <w:hyperlink r:id="rId94">
        <w:r>
          <w:rPr>
            <w:rStyle w:val="Hyperlink"/>
          </w:rPr>
          <w:t xml:space="preserve">https://www.experian.com/blogs/ask-experian/factors-that-affect-health-insurance-premium-costs/</w:t>
        </w:r>
      </w:hyperlink>
      <w:r>
        <w:t xml:space="preserve">.</w:t>
      </w:r>
    </w:p>
    <w:bookmarkEnd w:id="95"/>
    <w:bookmarkEnd w:id="96"/>
    <w:bookmarkEnd w:id="9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b/>
      <w:color w:val="d73a49"/>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b/>
      <w:color w:val="ff5555"/>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34" Target="media/rId34.png" /><Relationship Type="http://schemas.openxmlformats.org/officeDocument/2006/relationships/image" Id="rId54" Target="media/rId54.png" /><Relationship Type="http://schemas.openxmlformats.org/officeDocument/2006/relationships/image" Id="rId58" Target="media/rId58.png" /><Relationship Type="http://schemas.openxmlformats.org/officeDocument/2006/relationships/image" Id="rId38" Target="media/rId38.png" /><Relationship Type="http://schemas.openxmlformats.org/officeDocument/2006/relationships/image" Id="rId50" Target="media/rId50.png" /><Relationship Type="http://schemas.openxmlformats.org/officeDocument/2006/relationships/image" Id="rId46" Target="media/rId46.png" /><Relationship Type="http://schemas.openxmlformats.org/officeDocument/2006/relationships/image" Id="rId62" Target="media/rId62.png" /><Relationship Type="http://schemas.openxmlformats.org/officeDocument/2006/relationships/image" Id="rId70" Target="media/rId70.png" /><Relationship Type="http://schemas.openxmlformats.org/officeDocument/2006/relationships/image" Id="rId75" Target="media/rId75.png" /><Relationship Type="http://schemas.openxmlformats.org/officeDocument/2006/relationships/hyperlink" Id="rId92" Target="https://doi.org/10.1891/1052-3073.29.1.6" TargetMode="External" /><Relationship Type="http://schemas.openxmlformats.org/officeDocument/2006/relationships/hyperlink" Id="rId90" Target="https://www.careinsurance.com/blog/health-insurance-articles/health-insurance-for-smoker" TargetMode="External" /><Relationship Type="http://schemas.openxmlformats.org/officeDocument/2006/relationships/hyperlink" Id="rId94" Target="https://www.experian.com/blogs/ask-experian/factors-that-affect-health-insurance-premium-costs/" TargetMode="External" /><Relationship Type="http://schemas.openxmlformats.org/officeDocument/2006/relationships/hyperlink" Id="rId29" Target="https://www.kaggle.com/datasets/rahulvyasm/medical-insurance-cost-prediction" TargetMode="External" /></Relationships>
</file>

<file path=word/_rels/footnotes.xml.rels><?xml version="1.0" encoding="UTF-8"?><Relationships xmlns="http://schemas.openxmlformats.org/package/2006/relationships"><Relationship Type="http://schemas.openxmlformats.org/officeDocument/2006/relationships/hyperlink" Id="rId92" Target="https://doi.org/10.1891/1052-3073.29.1.6" TargetMode="External" /><Relationship Type="http://schemas.openxmlformats.org/officeDocument/2006/relationships/hyperlink" Id="rId90" Target="https://www.careinsurance.com/blog/health-insurance-articles/health-insurance-for-smoker" TargetMode="External" /><Relationship Type="http://schemas.openxmlformats.org/officeDocument/2006/relationships/hyperlink" Id="rId94" Target="https://www.experian.com/blogs/ask-experian/factors-that-affect-health-insurance-premium-costs/" TargetMode="External" /><Relationship Type="http://schemas.openxmlformats.org/officeDocument/2006/relationships/hyperlink" Id="rId29" Target="https://www.kaggle.com/datasets/rahulvyasm/medical-insurance-cost-prediction"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Analysis Project</dc:title>
  <dc:creator>Rinu Thomas</dc:creator>
  <cp:keywords/>
  <dcterms:created xsi:type="dcterms:W3CDTF">2024-08-07T12:59:27Z</dcterms:created>
  <dcterms:modified xsi:type="dcterms:W3CDTF">2024-08-07T12:59:27Z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date">
    <vt:lpwstr>2024-08-07</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subtitle">
    <vt:lpwstr>DA-6833</vt:lpwstr>
  </property>
  <property fmtid="{D5CDD505-2E9C-101B-9397-08002B2CF9AE}" pid="12" name="toc-title">
    <vt:lpwstr>Table of contents</vt:lpwstr>
  </property>
</Properties>
</file>