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2024-07-16</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t xml:space="preserve">Observation: There are several outliers with BMI values above 50, indicating that there are individuals with unusually high BMI compared to the rest of the dataset.@fig-outliers-charges 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t xml:space="preserve">Observation: There are numerous outliers with insurance charges above 40,000, indicating that there are individuals with unusually high insurance charges compared to the rest of the dataset.</w:t>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t xml:space="preserve">Observation: The histogram shows a right-skewed distribution, indicating that most individuals have lower insurance charges, with fewer individuals having very high charges.</w:t>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t xml:space="preserve">Observation: 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t xml:space="preserve">Observation: The Southeast region has the highest median insurance charges, followed by the Northeast, Northwest, and Southwest. The Southwest region has the lowest median charges. All regions have numerous outliers with very high charges, particularly the Southeast and Northeast.</w:t>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t xml:space="preserve">Observation: 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t xml:space="preserve">Observation: 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t xml:space="preserve">Observation: 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t xml:space="preserve">Observation: 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90" w:name="discussion"/>
    <w:p>
      <w:pPr>
        <w:pStyle w:val="Heading1"/>
      </w:pPr>
      <w:r>
        <w:t xml:space="preserve">5. Discussion</w:t>
      </w:r>
    </w:p>
    <w:bookmarkStart w:id="84" w:name="summary-and-interpretation"/>
    <w:p>
      <w:pPr>
        <w:pStyle w:val="Heading2"/>
      </w:pPr>
      <w:r>
        <w:t xml:space="preserve">5.1 Summary and Interpretation</w:t>
      </w:r>
    </w:p>
    <w:p>
      <w:pPr>
        <w:pStyle w:val="FirstParagraph"/>
      </w:pPr>
      <w:r>
        <w:rPr>
          <w:i/>
          <w:iCs/>
        </w:rPr>
        <w:t xml:space="preserve">Summarize what you did, what you found and what it means.</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p>
      <w:pPr>
        <w:pStyle w:val="FirstParagraph"/>
      </w:pPr>
      <w:r>
        <w:rPr>
          <w:i/>
          <w:iCs/>
        </w:rPr>
        <w:t xml:space="preserve">Discuss what you perceive as strengths and limitations of your analysis.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9" w:name="conclusions"/>
    <w:p>
      <w:pPr>
        <w:pStyle w:val="Heading2"/>
      </w:pPr>
      <w:r>
        <w:t xml:space="preserve">5.3 Conclusions</w:t>
      </w:r>
    </w:p>
    <w:p>
      <w:pPr>
        <w:pStyle w:val="FirstParagraph"/>
      </w:pPr>
      <w:r>
        <w:rPr>
          <w:i/>
          <w:iCs/>
        </w:rPr>
        <w:t xml:space="preserve">What are the main take-home messages?</w:t>
      </w:r>
    </w:p>
    <w:p>
      <w:pPr>
        <w:pStyle w:val="BodyText"/>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rPr>
          <w:i/>
          <w:iCs/>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These papers</w:t>
      </w:r>
      <w:r>
        <w:t xml:space="preserve"> </w:t>
      </w:r>
      <w:r>
        <w:t xml:space="preserve">(McKay, Ebell, Billings, et al., 2020; McKay, Ebell, Dale, Shen, &amp; Handel, 2020)</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88">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89"/>
    <w:bookmarkEnd w:id="90"/>
    <w:bookmarkStart w:id="98" w:name="references"/>
    <w:p>
      <w:pPr>
        <w:pStyle w:val="Heading1"/>
      </w:pPr>
      <w:r>
        <w:t xml:space="preserve">6. References</w:t>
      </w:r>
    </w:p>
    <w:bookmarkStart w:id="97" w:name="refs"/>
    <w:bookmarkStart w:id="92" w:name="ref-leek2015"/>
    <w:p>
      <w:pPr>
        <w:pStyle w:val="Bibliography"/>
      </w:pPr>
      <w:r>
        <w:t xml:space="preserve">Leek, J. T., &amp; Peng, R. D. (2015). Statistics.</w:t>
      </w:r>
      <w:r>
        <w:t xml:space="preserve"> </w:t>
      </w:r>
      <w:r>
        <w:t xml:space="preserve">What</w:t>
      </w:r>
      <w:r>
        <w:t xml:space="preserve"> </w:t>
      </w:r>
      <w:r>
        <w:t xml:space="preserve">is the question?</w:t>
      </w:r>
      <w:r>
        <w:t xml:space="preserve"> </w:t>
      </w:r>
      <w:r>
        <w:rPr>
          <w:i/>
          <w:iCs/>
        </w:rPr>
        <w:t xml:space="preserve">Science (New York, N.Y.)</w:t>
      </w:r>
      <w:r>
        <w:t xml:space="preserve">,</w:t>
      </w:r>
      <w:r>
        <w:t xml:space="preserve"> </w:t>
      </w:r>
      <w:r>
        <w:rPr>
          <w:i/>
          <w:iCs/>
        </w:rPr>
        <w:t xml:space="preserve">347</w:t>
      </w:r>
      <w:r>
        <w:t xml:space="preserve">(6228), 1314–1315.</w:t>
      </w:r>
      <w:r>
        <w:t xml:space="preserve"> </w:t>
      </w:r>
      <w:hyperlink r:id="rId91">
        <w:r>
          <w:rPr>
            <w:rStyle w:val="Hyperlink"/>
          </w:rPr>
          <w:t xml:space="preserve">https://doi.org/10.1126/science.aaa6146</w:t>
        </w:r>
      </w:hyperlink>
    </w:p>
    <w:bookmarkEnd w:id="92"/>
    <w:bookmarkStart w:id="94" w:name="ref-mckay2020"/>
    <w:p>
      <w:pPr>
        <w:pStyle w:val="Bibliography"/>
      </w:pPr>
      <w:r>
        <w:t xml:space="preserve">McKay, B., Ebell, M., Billings, W. Z., Dale, A. P., Shen, Y., &amp; Handel, A. (2020). Associations</w:t>
      </w:r>
      <w:r>
        <w:t xml:space="preserve"> </w:t>
      </w:r>
      <w:r>
        <w:t xml:space="preserve">Between Relative Viral Load</w:t>
      </w:r>
      <w:r>
        <w:t xml:space="preserve"> </w:t>
      </w:r>
      <w:r>
        <w:t xml:space="preserve">at</w:t>
      </w:r>
      <w:r>
        <w:t xml:space="preserve"> </w:t>
      </w:r>
      <w:r>
        <w:t xml:space="preserve">Diagnosis</w:t>
      </w:r>
      <w:r>
        <w:t xml:space="preserve"> </w:t>
      </w:r>
      <w:r>
        <w:t xml:space="preserve">and</w:t>
      </w:r>
      <w:r>
        <w:t xml:space="preserve"> </w:t>
      </w:r>
      <w:r>
        <w:t xml:space="preserve">Influenza A Symptoms</w:t>
      </w:r>
      <w:r>
        <w:t xml:space="preserve"> </w:t>
      </w:r>
      <w:r>
        <w:t xml:space="preserve">and</w:t>
      </w:r>
      <w:r>
        <w:t xml:space="preserve"> </w:t>
      </w:r>
      <w:r>
        <w:t xml:space="preserve">Recovery</w:t>
      </w:r>
      <w:r>
        <w:t xml:space="preserve">.</w:t>
      </w:r>
      <w:r>
        <w:t xml:space="preserve"> </w:t>
      </w:r>
      <w:r>
        <w:rPr>
          <w:i/>
          <w:iCs/>
        </w:rPr>
        <w:t xml:space="preserve">Open Forum Infectious Diseases</w:t>
      </w:r>
      <w:r>
        <w:t xml:space="preserve">,</w:t>
      </w:r>
      <w:r>
        <w:t xml:space="preserve"> </w:t>
      </w:r>
      <w:r>
        <w:rPr>
          <w:i/>
          <w:iCs/>
        </w:rPr>
        <w:t xml:space="preserve">7</w:t>
      </w:r>
      <w:r>
        <w:t xml:space="preserve">(11), ofaa494.</w:t>
      </w:r>
      <w:r>
        <w:t xml:space="preserve"> </w:t>
      </w:r>
      <w:hyperlink r:id="rId93">
        <w:r>
          <w:rPr>
            <w:rStyle w:val="Hyperlink"/>
          </w:rPr>
          <w:t xml:space="preserve">https://doi.org/10.1093/ofid/ofaa494</w:t>
        </w:r>
      </w:hyperlink>
    </w:p>
    <w:bookmarkEnd w:id="94"/>
    <w:bookmarkStart w:id="96" w:name="ref-mckay2020a"/>
    <w:p>
      <w:pPr>
        <w:pStyle w:val="Bibliography"/>
      </w:pPr>
      <w:r>
        <w:t xml:space="preserve">McKay, B., Ebell, M., Dale, A. P., Shen, Y., &amp; Handel, A. (2020). Virulence-mediated infectiousness and activity trade-offs and their impact on transmission potential of influenza patients.</w:t>
      </w:r>
      <w:r>
        <w:t xml:space="preserve"> </w:t>
      </w:r>
      <w:r>
        <w:rPr>
          <w:i/>
          <w:iCs/>
        </w:rPr>
        <w:t xml:space="preserve">Proceedings. Biological Sciences</w:t>
      </w:r>
      <w:r>
        <w:t xml:space="preserve">,</w:t>
      </w:r>
      <w:r>
        <w:t xml:space="preserve"> </w:t>
      </w:r>
      <w:r>
        <w:rPr>
          <w:i/>
          <w:iCs/>
        </w:rPr>
        <w:t xml:space="preserve">287</w:t>
      </w:r>
      <w:r>
        <w:t xml:space="preserve">(1927), 20200496.</w:t>
      </w:r>
      <w:r>
        <w:t xml:space="preserve"> </w:t>
      </w:r>
      <w:hyperlink r:id="rId95">
        <w:r>
          <w:rPr>
            <w:rStyle w:val="Hyperlink"/>
          </w:rPr>
          <w:t xml:space="preserve">https://doi.org/10.1098/rspb.2020.0496</w:t>
        </w:r>
      </w:hyperlink>
    </w:p>
    <w:bookmarkEnd w:id="96"/>
    <w:bookmarkEnd w:id="97"/>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3" Target="https://doi.org/10.1093/ofid/ofaa494" TargetMode="External" /><Relationship Type="http://schemas.openxmlformats.org/officeDocument/2006/relationships/hyperlink" Id="rId95" Target="https://doi.org/10.1098/rspb.2020.0496" TargetMode="External" /><Relationship Type="http://schemas.openxmlformats.org/officeDocument/2006/relationships/hyperlink" Id="rId91"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8"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93" Target="https://doi.org/10.1093/ofid/ofaa494" TargetMode="External" /><Relationship Type="http://schemas.openxmlformats.org/officeDocument/2006/relationships/hyperlink" Id="rId95" Target="https://doi.org/10.1098/rspb.2020.0496" TargetMode="External" /><Relationship Type="http://schemas.openxmlformats.org/officeDocument/2006/relationships/hyperlink" Id="rId91" Target="https://doi.org/10.1126/science.aaa6146" TargetMode="External" /><Relationship Type="http://schemas.openxmlformats.org/officeDocument/2006/relationships/hyperlink" Id="rId29" Target="https://www.kaggle.com/datasets/rahulvyasm/medical-insurance-cost-prediction" TargetMode="External" /><Relationship Type="http://schemas.openxmlformats.org/officeDocument/2006/relationships/hyperlink" Id="rId88"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2024-07-16T13:49:15Z</dcterms:created>
  <dcterms:modified xsi:type="dcterms:W3CDTF">2024-07-16T13:49:15Z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2024-07-16</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DA-6833</vt:lpwstr>
  </property>
  <property fmtid="{D5CDD505-2E9C-101B-9397-08002B2CF9AE}" pid="13" name="toc-title">
    <vt:lpwstr>Table of contents</vt:lpwstr>
  </property>
</Properties>
</file>