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4.png" ContentType="image/png"/>
  <Override PartName="/word/media/rId54.png" ContentType="image/png"/>
  <Override PartName="/word/media/rId58.png" ContentType="image/png"/>
  <Override PartName="/word/media/rId38.png" ContentType="image/png"/>
  <Override PartName="/word/media/rId50.png" ContentType="image/png"/>
  <Override PartName="/word/media/rId46.png" ContentType="image/png"/>
  <Override PartName="/word/media/rId62.png" ContentType="image/png"/>
  <Override PartName="/word/media/rId70.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Analysis</w:t>
      </w:r>
      <w:r>
        <w:t xml:space="preserve"> </w:t>
      </w:r>
      <w:r>
        <w:t xml:space="preserve">Project</w:t>
      </w:r>
    </w:p>
    <w:p>
      <w:pPr>
        <w:pStyle w:val="Subtitle"/>
      </w:pPr>
      <w:r>
        <w:t xml:space="preserve">DA-6833</w:t>
      </w:r>
    </w:p>
    <w:p>
      <w:pPr>
        <w:pStyle w:val="Author"/>
      </w:pPr>
      <w:r>
        <w:t xml:space="preserve">Rinu</w:t>
      </w:r>
      <w:r>
        <w:t xml:space="preserve"> </w:t>
      </w:r>
      <w:r>
        <w:t xml:space="preserve">Thomas</w:t>
      </w:r>
    </w:p>
    <w:p>
      <w:pPr>
        <w:pStyle w:val="Date"/>
      </w:pPr>
      <w:r>
        <w:t xml:space="preserve">2024-06-22</w:t>
      </w:r>
    </w:p>
    <w:bookmarkStart w:id="20" w:name="summaryabstract"/>
    <w:p>
      <w:pPr>
        <w:pStyle w:val="Heading1"/>
      </w:pPr>
      <w:r>
        <w:t xml:space="preserve">1. Summary/Abstract</w:t>
      </w:r>
    </w:p>
    <w:p>
      <w:pPr>
        <w:pStyle w:val="FirstParagraph"/>
      </w:pPr>
      <w:r>
        <w:t xml:space="preserve">The primary goal of this research project is to develop a predictive model to estimate medical insurance costs for individuals based on their health-related and personal attributes. This model will help in understanding the key factors influencing insurance charges and assist insurance companies in pricing policies more accurately.</w:t>
      </w:r>
    </w:p>
    <w:bookmarkEnd w:id="20"/>
    <w:bookmarkStart w:id="28" w:name="introduction"/>
    <w:p>
      <w:pPr>
        <w:pStyle w:val="Heading1"/>
      </w:pPr>
      <w:r>
        <w:t xml:space="preserve">2. Introduction</w:t>
      </w:r>
    </w:p>
    <w:bookmarkStart w:id="22" w:name="general-background-information"/>
    <w:p>
      <w:pPr>
        <w:pStyle w:val="Heading2"/>
      </w:pPr>
      <w:r>
        <w:t xml:space="preserve">2.1 General Background Information</w:t>
      </w:r>
    </w:p>
    <w:bookmarkStart w:id="21" w:name="X89c02aa0f98c9553a4a130221e53f4ddb22130b"/>
    <w:p>
      <w:pPr>
        <w:pStyle w:val="Heading3"/>
      </w:pPr>
      <w:r>
        <w:t xml:space="preserve">2.1.1 Importance of Predictive Modeling in Insurance</w:t>
      </w:r>
    </w:p>
    <w:p>
      <w:pPr>
        <w:pStyle w:val="FirstParagraph"/>
      </w:pPr>
      <w:r>
        <w:t xml:space="preserve">Predictive modeling plays a vital role in the insurance industry. Accurate predictions of insurance costs enable companies to:</w:t>
      </w:r>
    </w:p>
    <w:p>
      <w:pPr>
        <w:numPr>
          <w:ilvl w:val="0"/>
          <w:numId w:val="1001"/>
        </w:numPr>
      </w:pPr>
      <w:r>
        <w:t xml:space="preserve">Assess risk more effectively.</w:t>
      </w:r>
    </w:p>
    <w:p>
      <w:pPr>
        <w:numPr>
          <w:ilvl w:val="0"/>
          <w:numId w:val="1001"/>
        </w:numPr>
      </w:pPr>
      <w:r>
        <w:t xml:space="preserve">Set premiums that reflect the actual risk associated with individual policyholders.</w:t>
      </w:r>
    </w:p>
    <w:p>
      <w:pPr>
        <w:numPr>
          <w:ilvl w:val="0"/>
          <w:numId w:val="1001"/>
        </w:numPr>
      </w:pPr>
      <w:r>
        <w:t xml:space="preserve">Enhance customer satisfaction by offering personalized and fair pricing.</w:t>
      </w:r>
    </w:p>
    <w:p>
      <w:pPr>
        <w:pStyle w:val="FirstParagraph"/>
      </w:pPr>
      <w:r>
        <w:t xml:space="preserve">On the consumer side, individuals can benefit from understanding the factors that influence their insurance costs, allowing them to make informed choices about their health and financial planning.</w:t>
      </w:r>
    </w:p>
    <w:bookmarkEnd w:id="21"/>
    <w:bookmarkEnd w:id="22"/>
    <w:bookmarkStart w:id="23" w:name="description-of-data-and-data-source"/>
    <w:p>
      <w:pPr>
        <w:pStyle w:val="Heading2"/>
      </w:pPr>
      <w:r>
        <w:t xml:space="preserve">2.2 Description of data and data source</w:t>
      </w:r>
    </w:p>
    <w:p>
      <w:pPr>
        <w:pStyle w:val="FirstParagraph"/>
      </w:pPr>
      <w:r>
        <w:t xml:space="preserve">The dataset used for this analysis is sourced from Kaggle. The dataset comprises 2.7K rows and 7 columns and contains the following features:</w:t>
      </w:r>
    </w:p>
    <w:p>
      <w:pPr>
        <w:numPr>
          <w:ilvl w:val="0"/>
          <w:numId w:val="1002"/>
        </w:numPr>
      </w:pPr>
      <w:r>
        <w:rPr>
          <w:b/>
          <w:bCs/>
        </w:rPr>
        <w:t xml:space="preserve">Age</w:t>
      </w:r>
      <w:r>
        <w:t xml:space="preserve">: Age of the individual.</w:t>
      </w:r>
    </w:p>
    <w:p>
      <w:pPr>
        <w:numPr>
          <w:ilvl w:val="0"/>
          <w:numId w:val="1002"/>
        </w:numPr>
      </w:pPr>
      <w:r>
        <w:rPr>
          <w:b/>
          <w:bCs/>
        </w:rPr>
        <w:t xml:space="preserve">Sex</w:t>
      </w:r>
      <w:r>
        <w:t xml:space="preserve">: Gender of the individual (male/female).</w:t>
      </w:r>
    </w:p>
    <w:p>
      <w:pPr>
        <w:numPr>
          <w:ilvl w:val="0"/>
          <w:numId w:val="1002"/>
        </w:numPr>
      </w:pPr>
      <w:r>
        <w:rPr>
          <w:b/>
          <w:bCs/>
        </w:rPr>
        <w:t xml:space="preserve">BMI (Body Mass Index)</w:t>
      </w:r>
      <w:r>
        <w:t xml:space="preserve">: A measure of body fat based on height and weight.</w:t>
      </w:r>
    </w:p>
    <w:p>
      <w:pPr>
        <w:numPr>
          <w:ilvl w:val="0"/>
          <w:numId w:val="1002"/>
        </w:numPr>
      </w:pPr>
      <w:r>
        <w:rPr>
          <w:b/>
          <w:bCs/>
        </w:rPr>
        <w:t xml:space="preserve">Children</w:t>
      </w:r>
      <w:r>
        <w:t xml:space="preserve">: Number of children/dependents covered by the insurance plan.</w:t>
      </w:r>
    </w:p>
    <w:p>
      <w:pPr>
        <w:numPr>
          <w:ilvl w:val="0"/>
          <w:numId w:val="1002"/>
        </w:numPr>
      </w:pPr>
      <w:r>
        <w:rPr>
          <w:b/>
          <w:bCs/>
        </w:rPr>
        <w:t xml:space="preserve">Smoker</w:t>
      </w:r>
      <w:r>
        <w:t xml:space="preserve">: Smoking status of the individual (yes/no).</w:t>
      </w:r>
    </w:p>
    <w:p>
      <w:pPr>
        <w:numPr>
          <w:ilvl w:val="0"/>
          <w:numId w:val="1002"/>
        </w:numPr>
      </w:pPr>
      <w:r>
        <w:rPr>
          <w:b/>
          <w:bCs/>
        </w:rPr>
        <w:t xml:space="preserve">Region</w:t>
      </w:r>
      <w:r>
        <w:t xml:space="preserve">: Geographical region in the US where the individual resides (northeast, southeast, southwest, northwest).</w:t>
      </w:r>
    </w:p>
    <w:p>
      <w:pPr>
        <w:numPr>
          <w:ilvl w:val="0"/>
          <w:numId w:val="1002"/>
        </w:numPr>
      </w:pPr>
      <w:r>
        <w:rPr>
          <w:b/>
          <w:bCs/>
        </w:rPr>
        <w:t xml:space="preserve">Charges</w:t>
      </w:r>
      <w:r>
        <w:t xml:space="preserve">: Medical insurance costs billed by the insurance company (target variable).</w:t>
      </w:r>
    </w:p>
    <w:bookmarkEnd w:id="23"/>
    <w:bookmarkStart w:id="27" w:name="questionshypotheses-to-be-addressed"/>
    <w:p>
      <w:pPr>
        <w:pStyle w:val="Heading2"/>
      </w:pPr>
      <w:r>
        <w:t xml:space="preserve">2.3 Questions/Hypotheses to be addressed</w:t>
      </w:r>
    </w:p>
    <w:p>
      <w:pPr>
        <w:pStyle w:val="FirstParagraph"/>
      </w:pPr>
      <w:r>
        <w:t xml:space="preserve">The primary question we aim to answer using the</w:t>
      </w:r>
      <w:r>
        <w:t xml:space="preserve"> </w:t>
      </w:r>
      <w:r>
        <w:t xml:space="preserve">“</w:t>
      </w:r>
      <w:r>
        <w:t xml:space="preserve">Medical Insurance Cost Prediction</w:t>
      </w:r>
      <w:r>
        <w:t xml:space="preserve">”</w:t>
      </w:r>
      <w:r>
        <w:t xml:space="preserve"> </w:t>
      </w:r>
      <w:r>
        <w:t xml:space="preserve">dataset is:</w:t>
      </w:r>
    </w:p>
    <w:p>
      <w:pPr>
        <w:pStyle w:val="BodyText"/>
      </w:pPr>
      <w:r>
        <w:rPr>
          <w:b/>
          <w:bCs/>
        </w:rPr>
        <w:t xml:space="preserve">“</w:t>
      </w:r>
      <w:r>
        <w:rPr>
          <w:b/>
          <w:bCs/>
        </w:rPr>
        <w:t xml:space="preserve">What are the key factors influencing medical insurance costs, and how accurately can we predict these costs based on individuals’ demographic and health-related attributes?</w:t>
      </w:r>
      <w:r>
        <w:rPr>
          <w:b/>
          <w:bCs/>
        </w:rPr>
        <w:t xml:space="preserve">”</w:t>
      </w:r>
    </w:p>
    <w:bookmarkStart w:id="24" w:name="outcomes-of-interest"/>
    <w:p>
      <w:pPr>
        <w:pStyle w:val="Heading3"/>
      </w:pPr>
      <w:r>
        <w:t xml:space="preserve">2.3.1 Outcomes of Interest</w:t>
      </w:r>
    </w:p>
    <w:p>
      <w:pPr>
        <w:pStyle w:val="FirstParagraph"/>
      </w:pPr>
      <w:r>
        <w:t xml:space="preserve">The main outcome of interest in this analysis is:</w:t>
      </w:r>
    </w:p>
    <w:p>
      <w:pPr>
        <w:pStyle w:val="Compact"/>
        <w:numPr>
          <w:ilvl w:val="0"/>
          <w:numId w:val="1003"/>
        </w:numPr>
      </w:pPr>
      <w:r>
        <w:rPr>
          <w:b/>
          <w:bCs/>
        </w:rPr>
        <w:t xml:space="preserve">Medical Insurance Costs (charges)</w:t>
      </w:r>
      <w:r>
        <w:t xml:space="preserve">: The amount billed by the insurance company for an individual’s medical insurance.</w:t>
      </w:r>
    </w:p>
    <w:bookmarkEnd w:id="24"/>
    <w:bookmarkStart w:id="25" w:name="specific-predictors"/>
    <w:p>
      <w:pPr>
        <w:pStyle w:val="Heading3"/>
      </w:pPr>
      <w:r>
        <w:t xml:space="preserve">2.3.2 Specific Predictors</w:t>
      </w:r>
    </w:p>
    <w:p>
      <w:pPr>
        <w:pStyle w:val="FirstParagraph"/>
      </w:pPr>
      <w:r>
        <w:t xml:space="preserve">The specific predictors (independent variables) we will focus on include:</w:t>
      </w:r>
    </w:p>
    <w:p>
      <w:pPr>
        <w:numPr>
          <w:ilvl w:val="0"/>
          <w:numId w:val="1004"/>
        </w:numPr>
      </w:pPr>
      <w:r>
        <w:rPr>
          <w:b/>
          <w:bCs/>
        </w:rPr>
        <w:t xml:space="preserve">Age</w:t>
      </w:r>
      <w:r>
        <w:t xml:space="preserve">: How age influences insurance costs.</w:t>
      </w:r>
    </w:p>
    <w:p>
      <w:pPr>
        <w:numPr>
          <w:ilvl w:val="0"/>
          <w:numId w:val="1004"/>
        </w:numPr>
      </w:pPr>
      <w:r>
        <w:rPr>
          <w:b/>
          <w:bCs/>
        </w:rPr>
        <w:t xml:space="preserve">Sex</w:t>
      </w:r>
      <w:r>
        <w:t xml:space="preserve">: The impact of gender on insurance costs.</w:t>
      </w:r>
    </w:p>
    <w:p>
      <w:pPr>
        <w:numPr>
          <w:ilvl w:val="0"/>
          <w:numId w:val="1004"/>
        </w:numPr>
      </w:pPr>
      <w:r>
        <w:rPr>
          <w:b/>
          <w:bCs/>
        </w:rPr>
        <w:t xml:space="preserve">BMI (Body Mass Index)</w:t>
      </w:r>
      <w:r>
        <w:t xml:space="preserve">: The relationship between BMI and insurance costs.</w:t>
      </w:r>
    </w:p>
    <w:p>
      <w:pPr>
        <w:numPr>
          <w:ilvl w:val="0"/>
          <w:numId w:val="1004"/>
        </w:numPr>
      </w:pPr>
      <w:r>
        <w:rPr>
          <w:b/>
          <w:bCs/>
        </w:rPr>
        <w:t xml:space="preserve">Children</w:t>
      </w:r>
      <w:r>
        <w:t xml:space="preserve">: How the number of dependents affects insurance costs.</w:t>
      </w:r>
    </w:p>
    <w:p>
      <w:pPr>
        <w:numPr>
          <w:ilvl w:val="0"/>
          <w:numId w:val="1004"/>
        </w:numPr>
      </w:pPr>
      <w:r>
        <w:rPr>
          <w:b/>
          <w:bCs/>
        </w:rPr>
        <w:t xml:space="preserve">Smoker</w:t>
      </w:r>
      <w:r>
        <w:t xml:space="preserve">: The effect of smoking status on insurance costs.</w:t>
      </w:r>
    </w:p>
    <w:p>
      <w:pPr>
        <w:numPr>
          <w:ilvl w:val="0"/>
          <w:numId w:val="1004"/>
        </w:numPr>
      </w:pPr>
      <w:r>
        <w:rPr>
          <w:b/>
          <w:bCs/>
        </w:rPr>
        <w:t xml:space="preserve">Region</w:t>
      </w:r>
      <w:r>
        <w:t xml:space="preserve">: Regional differences in insurance costs within the US.</w:t>
      </w:r>
    </w:p>
    <w:bookmarkEnd w:id="25"/>
    <w:bookmarkStart w:id="26" w:name="relationspatterns-of-interest"/>
    <w:p>
      <w:pPr>
        <w:pStyle w:val="Heading3"/>
      </w:pPr>
      <w:r>
        <w:t xml:space="preserve">2.3.3 Relations/Patterns of Interest</w:t>
      </w:r>
    </w:p>
    <w:p>
      <w:pPr>
        <w:pStyle w:val="FirstParagraph"/>
      </w:pPr>
      <w:r>
        <w:t xml:space="preserve">I am looking for several key relationships and patterns in the data, including:</w:t>
      </w:r>
    </w:p>
    <w:p>
      <w:pPr>
        <w:numPr>
          <w:ilvl w:val="0"/>
          <w:numId w:val="1005"/>
        </w:numPr>
      </w:pPr>
      <w:r>
        <w:rPr>
          <w:b/>
          <w:bCs/>
        </w:rPr>
        <w:t xml:space="preserve">Age and Insurance Costs</w:t>
      </w:r>
      <w:r>
        <w:t xml:space="preserve">:Investigating whether older individuals tend to have higher medical insurance costs.</w:t>
      </w:r>
    </w:p>
    <w:p>
      <w:pPr>
        <w:numPr>
          <w:ilvl w:val="0"/>
          <w:numId w:val="1005"/>
        </w:numPr>
      </w:pPr>
      <w:r>
        <w:rPr>
          <w:b/>
          <w:bCs/>
        </w:rPr>
        <w:t xml:space="preserve">Gender Differences</w:t>
      </w:r>
      <w:r>
        <w:t xml:space="preserve">:Analyzing whether there is a significant difference in insurance costs between males and females.</w:t>
      </w:r>
    </w:p>
    <w:p>
      <w:pPr>
        <w:numPr>
          <w:ilvl w:val="0"/>
          <w:numId w:val="1005"/>
        </w:numPr>
      </w:pPr>
      <w:r>
        <w:rPr>
          <w:b/>
          <w:bCs/>
        </w:rPr>
        <w:t xml:space="preserve">BMI and Insurance Costs</w:t>
      </w:r>
      <w:r>
        <w:t xml:space="preserve">:Exploring the relationship between an individual’s BMI and their medical insurance costs.Identifying any nonlinear patterns where very high or very low BMI values might correlate with higher insurance costs.</w:t>
      </w:r>
    </w:p>
    <w:p>
      <w:pPr>
        <w:numPr>
          <w:ilvl w:val="0"/>
          <w:numId w:val="1005"/>
        </w:numPr>
      </w:pPr>
      <w:r>
        <w:rPr>
          <w:b/>
          <w:bCs/>
        </w:rPr>
        <w:t xml:space="preserve">Impact of Smoking</w:t>
      </w:r>
      <w:r>
        <w:t xml:space="preserve">:Assessing how smoking status (yes/no) affects insurance costs.Quantifying the cost difference between smokers and non-smokers.</w:t>
      </w:r>
    </w:p>
    <w:p>
      <w:pPr>
        <w:numPr>
          <w:ilvl w:val="0"/>
          <w:numId w:val="1005"/>
        </w:numPr>
      </w:pPr>
      <w:r>
        <w:rPr>
          <w:b/>
          <w:bCs/>
        </w:rPr>
        <w:t xml:space="preserve">Number of Children</w:t>
      </w:r>
      <w:r>
        <w:t xml:space="preserve">: Examining whether having more dependents (children) increases insurance costs.</w:t>
      </w:r>
    </w:p>
    <w:p>
      <w:pPr>
        <w:numPr>
          <w:ilvl w:val="0"/>
          <w:numId w:val="1005"/>
        </w:numPr>
      </w:pPr>
      <w:r>
        <w:rPr>
          <w:b/>
          <w:bCs/>
        </w:rPr>
        <w:t xml:space="preserve">Regional Variations</w:t>
      </w:r>
      <w:r>
        <w:t xml:space="preserve">: Identifying differences in insurance costs across different regions in the US (northeast, southeast, southwest, northwest).</w:t>
      </w:r>
    </w:p>
    <w:bookmarkEnd w:id="26"/>
    <w:bookmarkEnd w:id="27"/>
    <w:bookmarkEnd w:id="28"/>
    <w:bookmarkStart w:id="32" w:name="methods"/>
    <w:p>
      <w:pPr>
        <w:pStyle w:val="Heading1"/>
      </w:pPr>
      <w:r>
        <w:t xml:space="preserve">3. Methods</w:t>
      </w:r>
    </w:p>
    <w:p>
      <w:pPr>
        <w:pStyle w:val="FirstParagraph"/>
      </w:pPr>
      <w:r>
        <w:t xml:space="preserve">The methods used to clean, process and analyze the are as follows:</w:t>
      </w:r>
    </w:p>
    <w:p>
      <w:pPr>
        <w:pStyle w:val="Compact"/>
        <w:numPr>
          <w:ilvl w:val="0"/>
          <w:numId w:val="1006"/>
        </w:numPr>
      </w:pPr>
      <w:r>
        <w:rPr>
          <w:b/>
          <w:bCs/>
        </w:rPr>
        <w:t xml:space="preserve">Data Cleaning and Preprocessing:</w:t>
      </w:r>
    </w:p>
    <w:p>
      <w:pPr>
        <w:pStyle w:val="Compact"/>
        <w:numPr>
          <w:ilvl w:val="1"/>
          <w:numId w:val="1007"/>
        </w:numPr>
      </w:pPr>
      <w:r>
        <w:t xml:space="preserve">Load the data</w:t>
      </w:r>
    </w:p>
    <w:p>
      <w:pPr>
        <w:pStyle w:val="Compact"/>
        <w:numPr>
          <w:ilvl w:val="1"/>
          <w:numId w:val="1007"/>
        </w:numPr>
      </w:pPr>
      <w:r>
        <w:t xml:space="preserve">Convert categorical variable</w:t>
      </w:r>
    </w:p>
    <w:p>
      <w:pPr>
        <w:pStyle w:val="Compact"/>
        <w:numPr>
          <w:ilvl w:val="1"/>
          <w:numId w:val="1007"/>
        </w:numPr>
      </w:pPr>
      <w:r>
        <w:t xml:space="preserve">Identify missing values</w:t>
      </w:r>
    </w:p>
    <w:p>
      <w:pPr>
        <w:pStyle w:val="Compact"/>
        <w:numPr>
          <w:ilvl w:val="1"/>
          <w:numId w:val="1007"/>
        </w:numPr>
      </w:pPr>
      <w:r>
        <w:t xml:space="preserve">Find Outliers</w:t>
      </w:r>
    </w:p>
    <w:p>
      <w:pPr>
        <w:pStyle w:val="Compact"/>
        <w:numPr>
          <w:ilvl w:val="0"/>
          <w:numId w:val="1006"/>
        </w:numPr>
      </w:pPr>
      <w:r>
        <w:rPr>
          <w:b/>
          <w:bCs/>
        </w:rPr>
        <w:t xml:space="preserve">Exploratory Data Analysis:</w:t>
      </w:r>
    </w:p>
    <w:p>
      <w:pPr>
        <w:pStyle w:val="Compact"/>
        <w:numPr>
          <w:ilvl w:val="1"/>
          <w:numId w:val="1008"/>
        </w:numPr>
      </w:pPr>
      <w:r>
        <w:t xml:space="preserve">Summarize the data</w:t>
      </w:r>
    </w:p>
    <w:p>
      <w:pPr>
        <w:pStyle w:val="Compact"/>
        <w:numPr>
          <w:ilvl w:val="1"/>
          <w:numId w:val="1008"/>
        </w:numPr>
      </w:pPr>
      <w:r>
        <w:t xml:space="preserve">Visualize the data</w:t>
      </w:r>
    </w:p>
    <w:p>
      <w:pPr>
        <w:pStyle w:val="Compact"/>
        <w:numPr>
          <w:ilvl w:val="0"/>
          <w:numId w:val="1006"/>
        </w:numPr>
      </w:pPr>
      <w:r>
        <w:rPr>
          <w:b/>
          <w:bCs/>
        </w:rPr>
        <w:t xml:space="preserve">Model building and Analysis Approach:</w:t>
      </w:r>
    </w:p>
    <w:p>
      <w:pPr>
        <w:pStyle w:val="Compact"/>
        <w:numPr>
          <w:ilvl w:val="1"/>
          <w:numId w:val="1009"/>
        </w:numPr>
      </w:pPr>
      <w:r>
        <w:t xml:space="preserve">Train-Test split the data</w:t>
      </w:r>
    </w:p>
    <w:p>
      <w:pPr>
        <w:pStyle w:val="Compact"/>
        <w:numPr>
          <w:ilvl w:val="1"/>
          <w:numId w:val="1009"/>
        </w:numPr>
      </w:pPr>
      <w:r>
        <w:t xml:space="preserve">Linear Regression Model</w:t>
      </w:r>
    </w:p>
    <w:p>
      <w:pPr>
        <w:pStyle w:val="Compact"/>
        <w:numPr>
          <w:ilvl w:val="1"/>
          <w:numId w:val="1009"/>
        </w:numPr>
      </w:pPr>
      <w:r>
        <w:t xml:space="preserve">Random Forest Model</w:t>
      </w:r>
    </w:p>
    <w:p>
      <w:pPr>
        <w:pStyle w:val="Compact"/>
        <w:numPr>
          <w:ilvl w:val="1"/>
          <w:numId w:val="1009"/>
        </w:numPr>
      </w:pPr>
      <w:r>
        <w:t xml:space="preserve">Model Evaluation</w:t>
      </w:r>
    </w:p>
    <w:bookmarkStart w:id="30" w:name="data-import-and-cleaning"/>
    <w:p>
      <w:pPr>
        <w:pStyle w:val="Heading2"/>
      </w:pPr>
      <w:r>
        <w:t xml:space="preserve">3.1 Data import and cleaning</w:t>
      </w:r>
    </w:p>
    <w:p>
      <w:pPr>
        <w:pStyle w:val="FirstParagraph"/>
      </w:pPr>
      <w:r>
        <w:t xml:space="preserve">The dataset used in this analysis is sourced from Kaggle. The dataset was downloaded directly from Kaggle website. It can be accessed at the following URL:</w:t>
      </w:r>
      <w:r>
        <w:t xml:space="preserve"> </w:t>
      </w:r>
      <w:hyperlink r:id="rId29">
        <w:r>
          <w:rPr>
            <w:rStyle w:val="Hyperlink"/>
          </w:rPr>
          <w:t xml:space="preserve">Medical Insurance Cost Prediction</w:t>
        </w:r>
      </w:hyperlink>
      <w:r>
        <w:t xml:space="preserve">.</w:t>
      </w:r>
    </w:p>
    <w:p>
      <w:pPr>
        <w:pStyle w:val="BodyText"/>
      </w:pPr>
      <w:r>
        <w:t xml:space="preserve">The methods used to clean, process and analyze the are as follows:</w:t>
      </w:r>
    </w:p>
    <w:p>
      <w:pPr>
        <w:pStyle w:val="Compact"/>
        <w:numPr>
          <w:ilvl w:val="0"/>
          <w:numId w:val="1010"/>
        </w:numPr>
      </w:pPr>
      <w:r>
        <w:rPr>
          <w:b/>
          <w:bCs/>
        </w:rPr>
        <w:t xml:space="preserve">Data Cleaning and Preprocessing:</w:t>
      </w:r>
    </w:p>
    <w:p>
      <w:pPr>
        <w:pStyle w:val="Compact"/>
        <w:numPr>
          <w:ilvl w:val="1"/>
          <w:numId w:val="1011"/>
        </w:numPr>
      </w:pPr>
      <w:r>
        <w:t xml:space="preserve">Load the data (can be found in processingcode2.R)</w:t>
      </w:r>
    </w:p>
    <w:p>
      <w:pPr>
        <w:pStyle w:val="Compact"/>
        <w:numPr>
          <w:ilvl w:val="1"/>
          <w:numId w:val="1011"/>
        </w:numPr>
      </w:pPr>
      <w:r>
        <w:t xml:space="preserve">Convert categorical variable (can be found in processingcode2.R)</w:t>
      </w:r>
    </w:p>
    <w:p>
      <w:pPr>
        <w:pStyle w:val="Compact"/>
        <w:numPr>
          <w:ilvl w:val="1"/>
          <w:numId w:val="1011"/>
        </w:numPr>
      </w:pPr>
      <w:r>
        <w:t xml:space="preserve">Identify missing values (can be found in processingcode2.R)</w:t>
      </w:r>
    </w:p>
    <w:p>
      <w:pPr>
        <w:pStyle w:val="Compact"/>
        <w:numPr>
          <w:ilvl w:val="1"/>
          <w:numId w:val="1011"/>
        </w:numPr>
      </w:pPr>
      <w:r>
        <w:t xml:space="preserve">Find Outlier (can be found in eda2.R)</w:t>
      </w:r>
    </w:p>
    <w:p>
      <w:pPr>
        <w:pStyle w:val="Compact"/>
        <w:numPr>
          <w:ilvl w:val="0"/>
          <w:numId w:val="1010"/>
        </w:numPr>
      </w:pPr>
      <w:r>
        <w:rPr>
          <w:b/>
          <w:bCs/>
        </w:rPr>
        <w:t xml:space="preserve">Exploratory Data Analysis:</w:t>
      </w:r>
    </w:p>
    <w:p>
      <w:pPr>
        <w:pStyle w:val="Compact"/>
        <w:numPr>
          <w:ilvl w:val="1"/>
          <w:numId w:val="1012"/>
        </w:numPr>
      </w:pPr>
      <w:r>
        <w:t xml:space="preserve">Summarize the data (can be found in eda2.R)</w:t>
      </w:r>
    </w:p>
    <w:p>
      <w:pPr>
        <w:pStyle w:val="Compact"/>
        <w:numPr>
          <w:ilvl w:val="1"/>
          <w:numId w:val="1012"/>
        </w:numPr>
      </w:pPr>
      <w:r>
        <w:t xml:space="preserve">Visualize the data (can be found in eda2.R)</w:t>
      </w:r>
    </w:p>
    <w:p>
      <w:pPr>
        <w:pStyle w:val="Compact"/>
        <w:numPr>
          <w:ilvl w:val="0"/>
          <w:numId w:val="1010"/>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3"/>
        </w:numPr>
      </w:pPr>
      <w:r>
        <w:t xml:space="preserve">Train-Test split the data</w:t>
      </w:r>
    </w:p>
    <w:p>
      <w:pPr>
        <w:pStyle w:val="Compact"/>
        <w:numPr>
          <w:ilvl w:val="1"/>
          <w:numId w:val="1013"/>
        </w:numPr>
      </w:pPr>
      <w:r>
        <w:t xml:space="preserve">Linear Regression Model</w:t>
      </w:r>
    </w:p>
    <w:p>
      <w:pPr>
        <w:pStyle w:val="Compact"/>
        <w:numPr>
          <w:ilvl w:val="1"/>
          <w:numId w:val="1013"/>
        </w:numPr>
      </w:pPr>
      <w:r>
        <w:t xml:space="preserve">Random Forest Model</w:t>
      </w:r>
    </w:p>
    <w:p>
      <w:pPr>
        <w:pStyle w:val="Compact"/>
        <w:numPr>
          <w:ilvl w:val="1"/>
          <w:numId w:val="1013"/>
        </w:numPr>
      </w:pPr>
      <w:r>
        <w:t xml:space="preserve">Model Evaluation</w:t>
      </w:r>
    </w:p>
    <w:bookmarkEnd w:id="30"/>
    <w:bookmarkStart w:id="31" w:name="statistical-analysis"/>
    <w:p>
      <w:pPr>
        <w:pStyle w:val="Heading2"/>
      </w:pPr>
      <w:r>
        <w:t xml:space="preserve">3.2 Statistical analysis</w:t>
      </w:r>
    </w:p>
    <w:p>
      <w:pPr>
        <w:pStyle w:val="FirstParagraph"/>
      </w:pPr>
      <w:r>
        <w:t xml:space="preserve">The data will be built and analyzed as follows:</w:t>
      </w:r>
    </w:p>
    <w:p>
      <w:pPr>
        <w:pStyle w:val="Compact"/>
        <w:numPr>
          <w:ilvl w:val="0"/>
          <w:numId w:val="1014"/>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5"/>
        </w:numPr>
      </w:pPr>
      <w:r>
        <w:t xml:space="preserve">Train-Test split the data</w:t>
      </w:r>
    </w:p>
    <w:p>
      <w:pPr>
        <w:pStyle w:val="Compact"/>
        <w:numPr>
          <w:ilvl w:val="1"/>
          <w:numId w:val="1015"/>
        </w:numPr>
      </w:pPr>
      <w:r>
        <w:t xml:space="preserve">Linear Regression Model</w:t>
      </w:r>
    </w:p>
    <w:p>
      <w:pPr>
        <w:pStyle w:val="Compact"/>
        <w:numPr>
          <w:ilvl w:val="1"/>
          <w:numId w:val="1015"/>
        </w:numPr>
      </w:pPr>
      <w:r>
        <w:t xml:space="preserve">Random Forest Model</w:t>
      </w:r>
    </w:p>
    <w:p>
      <w:pPr>
        <w:pStyle w:val="Compact"/>
        <w:numPr>
          <w:ilvl w:val="1"/>
          <w:numId w:val="1015"/>
        </w:numPr>
      </w:pPr>
      <w:r>
        <w:t xml:space="preserve">Model Evaluation</w:t>
      </w:r>
    </w:p>
    <w:bookmarkEnd w:id="31"/>
    <w:bookmarkEnd w:id="32"/>
    <w:bookmarkStart w:id="80" w:name="results"/>
    <w:p>
      <w:pPr>
        <w:pStyle w:val="Heading1"/>
      </w:pPr>
      <w:r>
        <w:t xml:space="preserve">4. Results</w:t>
      </w:r>
    </w:p>
    <w:bookmarkStart w:id="66" w:name="exploratorydescriptive-analysis"/>
    <w:p>
      <w:pPr>
        <w:pStyle w:val="Heading2"/>
      </w:pPr>
      <w:r>
        <w:t xml:space="preserve">4.1 Exploratory/Descriptive analysis</w:t>
      </w:r>
    </w:p>
    <w:p>
      <w:pPr>
        <w:pStyle w:val="FirstParagraph"/>
      </w:pPr>
      <w:hyperlink w:anchor="tbl-summarytable">
        <w:r>
          <w:rPr>
            <w:rStyle w:val="Hyperlink"/>
          </w:rPr>
          <w:t xml:space="preserve">Table 1</w:t>
        </w:r>
      </w:hyperlink>
      <w:r>
        <w:t xml:space="preserve"> </w:t>
      </w:r>
      <w:r>
        <w:t xml:space="preserve">shows a summary of the data.</w:t>
      </w:r>
    </w:p>
    <w:tbl>
      <w:tblPr>
        <w:tblStyle w:val="Table"/>
        <w:tblW w:type="pct" w:w="5000"/>
        <w:tblLayout w:type="fixed"/>
        <w:tblLook w:firstRow="0" w:lastRow="0" w:firstColumn="0" w:lastColumn="0" w:noHBand="0" w:noVBand="0" w:val="0000"/>
      </w:tblPr>
      <w:tblGrid>
        <w:gridCol w:w="7920"/>
      </w:tblGrid>
      <w:tr>
        <w:tc>
          <w:tcPr/>
          <w:bookmarkStart w:id="33" w:name="tbl-summarytable"/>
          <w:p>
            <w:pPr>
              <w:jc w:val="center"/>
            </w:pPr>
            <w:pPr>
              <w:jc w:val="start"/>
              <w:spacing w:before="200"/>
              <w:pStyle w:val="ImageCaption"/>
            </w:pPr>
            <w:r>
              <w:t xml:space="preserve">Table 1: Data summary table.</w:t>
            </w:r>
          </w:p>
          <w:tbl>
            <w:tblPr>
              <w:tblStyle w:val="Table"/>
              <w:tblW w:type="pct" w:w="5000"/>
              <w:tblLayout w:type="fixed"/>
              <w:tblLook w:firstRow="1" w:lastRow="0" w:firstColumn="0" w:lastColumn="0" w:noHBand="0" w:noVBand="0" w:val="0020"/>
            </w:tblPr>
            <w:tblGrid>
              <w:gridCol w:w="252"/>
              <w:gridCol w:w="1179"/>
              <w:gridCol w:w="1011"/>
              <w:gridCol w:w="1179"/>
              <w:gridCol w:w="1179"/>
              <w:gridCol w:w="758"/>
              <w:gridCol w:w="1179"/>
              <w:gridCol w:w="1179"/>
            </w:tblGrid>
            <w:tr>
              <w:trPr>
                <w:tblHeader w:val="on"/>
              </w:trPr>
              <w:tc>
                <w:tcPr/>
                <w:p>
                  <w:pPr>
                    <w:pStyle w:val="Compact"/>
                  </w:pPr>
                </w:p>
              </w:tc>
              <w:tc>
                <w:tcPr/>
                <w:p>
                  <w:pPr>
                    <w:pStyle w:val="Compact"/>
                    <w:jc w:val="left"/>
                    <w:jc w:val="center"/>
                  </w:pPr>
                  <w:r>
                    <w:t xml:space="preserve">age</w:t>
                  </w:r>
                </w:p>
              </w:tc>
              <w:tc>
                <w:tcPr/>
                <w:p>
                  <w:pPr>
                    <w:pStyle w:val="Compact"/>
                    <w:jc w:val="left"/>
                    <w:jc w:val="center"/>
                  </w:pPr>
                  <w:r>
                    <w:t xml:space="preserve">sex</w:t>
                  </w:r>
                </w:p>
              </w:tc>
              <w:tc>
                <w:tcPr/>
                <w:p>
                  <w:pPr>
                    <w:pStyle w:val="Compact"/>
                    <w:jc w:val="left"/>
                    <w:jc w:val="center"/>
                  </w:pPr>
                  <w:r>
                    <w:t xml:space="preserve">bmi</w:t>
                  </w:r>
                </w:p>
              </w:tc>
              <w:tc>
                <w:tcPr/>
                <w:p>
                  <w:pPr>
                    <w:pStyle w:val="Compact"/>
                    <w:jc w:val="left"/>
                    <w:jc w:val="center"/>
                  </w:pPr>
                  <w:r>
                    <w:t xml:space="preserve">children</w:t>
                  </w:r>
                </w:p>
              </w:tc>
              <w:tc>
                <w:tcPr/>
                <w:p>
                  <w:pPr>
                    <w:pStyle w:val="Compact"/>
                    <w:jc w:val="left"/>
                    <w:jc w:val="center"/>
                  </w:pPr>
                  <w:r>
                    <w:t xml:space="preserve">smoker</w:t>
                  </w:r>
                </w:p>
              </w:tc>
              <w:tc>
                <w:tcPr/>
                <w:p>
                  <w:pPr>
                    <w:pStyle w:val="Compact"/>
                    <w:jc w:val="left"/>
                    <w:jc w:val="center"/>
                  </w:pPr>
                  <w:r>
                    <w:t xml:space="preserve">region</w:t>
                  </w:r>
                </w:p>
              </w:tc>
              <w:tc>
                <w:tcPr/>
                <w:p>
                  <w:pPr>
                    <w:pStyle w:val="Compact"/>
                    <w:jc w:val="left"/>
                    <w:jc w:val="center"/>
                  </w:pPr>
                  <w:r>
                    <w:t xml:space="preserve">charges</w:t>
                  </w:r>
                </w:p>
              </w:tc>
            </w:tr>
            <w:tr>
              <w:tc>
                <w:tcPr/>
                <w:p>
                  <w:pPr>
                    <w:pStyle w:val="Compact"/>
                  </w:pPr>
                </w:p>
              </w:tc>
              <w:tc>
                <w:tcPr/>
                <w:p>
                  <w:pPr>
                    <w:pStyle w:val="Compact"/>
                    <w:jc w:val="left"/>
                    <w:jc w:val="center"/>
                  </w:pPr>
                  <w:r>
                    <w:t xml:space="preserve">Min. :18.00</w:t>
                  </w:r>
                </w:p>
              </w:tc>
              <w:tc>
                <w:tcPr/>
                <w:p>
                  <w:pPr>
                    <w:pStyle w:val="Compact"/>
                    <w:jc w:val="left"/>
                    <w:jc w:val="center"/>
                  </w:pPr>
                  <w:r>
                    <w:t xml:space="preserve">female:1366</w:t>
                  </w:r>
                </w:p>
              </w:tc>
              <w:tc>
                <w:tcPr/>
                <w:p>
                  <w:pPr>
                    <w:pStyle w:val="Compact"/>
                    <w:jc w:val="left"/>
                    <w:jc w:val="center"/>
                  </w:pPr>
                  <w:r>
                    <w:t xml:space="preserve">Min. :15.96</w:t>
                  </w:r>
                </w:p>
              </w:tc>
              <w:tc>
                <w:tcPr/>
                <w:p>
                  <w:pPr>
                    <w:pStyle w:val="Compact"/>
                    <w:jc w:val="left"/>
                    <w:jc w:val="center"/>
                  </w:pPr>
                  <w:r>
                    <w:t xml:space="preserve">Min. :0.000</w:t>
                  </w:r>
                </w:p>
              </w:tc>
              <w:tc>
                <w:tcPr/>
                <w:p>
                  <w:pPr>
                    <w:pStyle w:val="Compact"/>
                    <w:jc w:val="left"/>
                    <w:jc w:val="center"/>
                  </w:pPr>
                  <w:r>
                    <w:t xml:space="preserve">no :2208</w:t>
                  </w:r>
                </w:p>
              </w:tc>
              <w:tc>
                <w:tcPr/>
                <w:p>
                  <w:pPr>
                    <w:pStyle w:val="Compact"/>
                    <w:jc w:val="left"/>
                    <w:jc w:val="center"/>
                  </w:pPr>
                  <w:r>
                    <w:t xml:space="preserve">northeast:658</w:t>
                  </w:r>
                </w:p>
              </w:tc>
              <w:tc>
                <w:tcPr/>
                <w:p>
                  <w:pPr>
                    <w:pStyle w:val="Compact"/>
                    <w:jc w:val="left"/>
                    <w:jc w:val="center"/>
                  </w:pPr>
                  <w:r>
                    <w:t xml:space="preserve">Min. : 1122</w:t>
                  </w:r>
                </w:p>
              </w:tc>
            </w:tr>
            <w:tr>
              <w:tc>
                <w:tcPr/>
                <w:p>
                  <w:pPr>
                    <w:pStyle w:val="Compact"/>
                  </w:pPr>
                </w:p>
              </w:tc>
              <w:tc>
                <w:tcPr/>
                <w:p>
                  <w:pPr>
                    <w:pStyle w:val="Compact"/>
                    <w:jc w:val="left"/>
                    <w:jc w:val="center"/>
                  </w:pPr>
                  <w:r>
                    <w:t xml:space="preserve">1st Qu.:26.00</w:t>
                  </w:r>
                </w:p>
              </w:tc>
              <w:tc>
                <w:tcPr/>
                <w:p>
                  <w:pPr>
                    <w:pStyle w:val="Compact"/>
                    <w:jc w:val="left"/>
                    <w:jc w:val="center"/>
                  </w:pPr>
                  <w:r>
                    <w:t xml:space="preserve">male :1406</w:t>
                  </w:r>
                </w:p>
              </w:tc>
              <w:tc>
                <w:tcPr/>
                <w:p>
                  <w:pPr>
                    <w:pStyle w:val="Compact"/>
                    <w:jc w:val="left"/>
                    <w:jc w:val="center"/>
                  </w:pPr>
                  <w:r>
                    <w:t xml:space="preserve">1st Qu.:26.22</w:t>
                  </w:r>
                </w:p>
              </w:tc>
              <w:tc>
                <w:tcPr/>
                <w:p>
                  <w:pPr>
                    <w:pStyle w:val="Compact"/>
                    <w:jc w:val="left"/>
                    <w:jc w:val="center"/>
                  </w:pPr>
                  <w:r>
                    <w:t xml:space="preserve">1st Qu.:0.000</w:t>
                  </w:r>
                </w:p>
              </w:tc>
              <w:tc>
                <w:tcPr/>
                <w:p>
                  <w:pPr>
                    <w:pStyle w:val="Compact"/>
                    <w:jc w:val="left"/>
                    <w:jc w:val="center"/>
                  </w:pPr>
                  <w:r>
                    <w:t xml:space="preserve">yes: 564</w:t>
                  </w:r>
                </w:p>
              </w:tc>
              <w:tc>
                <w:tcPr/>
                <w:p>
                  <w:pPr>
                    <w:pStyle w:val="Compact"/>
                    <w:jc w:val="left"/>
                    <w:jc w:val="center"/>
                  </w:pPr>
                  <w:r>
                    <w:t xml:space="preserve">northwest:664</w:t>
                  </w:r>
                </w:p>
              </w:tc>
              <w:tc>
                <w:tcPr/>
                <w:p>
                  <w:pPr>
                    <w:pStyle w:val="Compact"/>
                    <w:jc w:val="left"/>
                    <w:jc w:val="center"/>
                  </w:pPr>
                  <w:r>
                    <w:t xml:space="preserve">1st Qu.: 4688</w:t>
                  </w:r>
                </w:p>
              </w:tc>
            </w:tr>
            <w:tr>
              <w:tc>
                <w:tcPr/>
                <w:p>
                  <w:pPr>
                    <w:pStyle w:val="Compact"/>
                  </w:pPr>
                </w:p>
              </w:tc>
              <w:tc>
                <w:tcPr/>
                <w:p>
                  <w:pPr>
                    <w:pStyle w:val="Compact"/>
                    <w:jc w:val="left"/>
                    <w:jc w:val="center"/>
                  </w:pPr>
                  <w:r>
                    <w:t xml:space="preserve">Median :39.00</w:t>
                  </w:r>
                </w:p>
              </w:tc>
              <w:tc>
                <w:tcPr/>
                <w:p>
                  <w:pPr>
                    <w:pStyle w:val="Compact"/>
                    <w:jc w:val="left"/>
                    <w:jc w:val="center"/>
                  </w:pPr>
                  <w:r>
                    <w:t xml:space="preserve">NA</w:t>
                  </w:r>
                </w:p>
              </w:tc>
              <w:tc>
                <w:tcPr/>
                <w:p>
                  <w:pPr>
                    <w:pStyle w:val="Compact"/>
                    <w:jc w:val="left"/>
                    <w:jc w:val="center"/>
                  </w:pPr>
                  <w:r>
                    <w:t xml:space="preserve">Median :30.45</w:t>
                  </w:r>
                </w:p>
              </w:tc>
              <w:tc>
                <w:tcPr/>
                <w:p>
                  <w:pPr>
                    <w:pStyle w:val="Compact"/>
                    <w:jc w:val="left"/>
                    <w:jc w:val="center"/>
                  </w:pPr>
                  <w:r>
                    <w:t xml:space="preserve">Median :1.000</w:t>
                  </w:r>
                </w:p>
              </w:tc>
              <w:tc>
                <w:tcPr/>
                <w:p>
                  <w:pPr>
                    <w:pStyle w:val="Compact"/>
                    <w:jc w:val="left"/>
                    <w:jc w:val="center"/>
                  </w:pPr>
                  <w:r>
                    <w:t xml:space="preserve">NA</w:t>
                  </w:r>
                </w:p>
              </w:tc>
              <w:tc>
                <w:tcPr/>
                <w:p>
                  <w:pPr>
                    <w:pStyle w:val="Compact"/>
                    <w:jc w:val="left"/>
                    <w:jc w:val="center"/>
                  </w:pPr>
                  <w:r>
                    <w:t xml:space="preserve">southeast:766</w:t>
                  </w:r>
                </w:p>
              </w:tc>
              <w:tc>
                <w:tcPr/>
                <w:p>
                  <w:pPr>
                    <w:pStyle w:val="Compact"/>
                    <w:jc w:val="left"/>
                    <w:jc w:val="center"/>
                  </w:pPr>
                  <w:r>
                    <w:t xml:space="preserve">Median : 9333</w:t>
                  </w:r>
                </w:p>
              </w:tc>
            </w:tr>
            <w:tr>
              <w:tc>
                <w:tcPr/>
                <w:p>
                  <w:pPr>
                    <w:pStyle w:val="Compact"/>
                  </w:pPr>
                </w:p>
              </w:tc>
              <w:tc>
                <w:tcPr/>
                <w:p>
                  <w:pPr>
                    <w:pStyle w:val="Compact"/>
                    <w:jc w:val="left"/>
                    <w:jc w:val="center"/>
                  </w:pPr>
                  <w:r>
                    <w:t xml:space="preserve">Mean :39.11</w:t>
                  </w:r>
                </w:p>
              </w:tc>
              <w:tc>
                <w:tcPr/>
                <w:p>
                  <w:pPr>
                    <w:pStyle w:val="Compact"/>
                    <w:jc w:val="left"/>
                    <w:jc w:val="center"/>
                  </w:pPr>
                  <w:r>
                    <w:t xml:space="preserve">NA</w:t>
                  </w:r>
                </w:p>
              </w:tc>
              <w:tc>
                <w:tcPr/>
                <w:p>
                  <w:pPr>
                    <w:pStyle w:val="Compact"/>
                    <w:jc w:val="left"/>
                    <w:jc w:val="center"/>
                  </w:pPr>
                  <w:r>
                    <w:t xml:space="preserve">Mean :30.70</w:t>
                  </w:r>
                </w:p>
              </w:tc>
              <w:tc>
                <w:tcPr/>
                <w:p>
                  <w:pPr>
                    <w:pStyle w:val="Compact"/>
                    <w:jc w:val="left"/>
                    <w:jc w:val="center"/>
                  </w:pPr>
                  <w:r>
                    <w:t xml:space="preserve">Mean :1.102</w:t>
                  </w:r>
                </w:p>
              </w:tc>
              <w:tc>
                <w:tcPr/>
                <w:p>
                  <w:pPr>
                    <w:pStyle w:val="Compact"/>
                    <w:jc w:val="left"/>
                    <w:jc w:val="center"/>
                  </w:pPr>
                  <w:r>
                    <w:t xml:space="preserve">NA</w:t>
                  </w:r>
                </w:p>
              </w:tc>
              <w:tc>
                <w:tcPr/>
                <w:p>
                  <w:pPr>
                    <w:pStyle w:val="Compact"/>
                    <w:jc w:val="left"/>
                    <w:jc w:val="center"/>
                  </w:pPr>
                  <w:r>
                    <w:t xml:space="preserve">southwest:684</w:t>
                  </w:r>
                </w:p>
              </w:tc>
              <w:tc>
                <w:tcPr/>
                <w:p>
                  <w:pPr>
                    <w:pStyle w:val="Compact"/>
                    <w:jc w:val="left"/>
                    <w:jc w:val="center"/>
                  </w:pPr>
                  <w:r>
                    <w:t xml:space="preserve">Mean :13261</w:t>
                  </w:r>
                </w:p>
              </w:tc>
            </w:tr>
            <w:tr>
              <w:tc>
                <w:tcPr/>
                <w:p>
                  <w:pPr>
                    <w:pStyle w:val="Compact"/>
                  </w:pPr>
                </w:p>
              </w:tc>
              <w:tc>
                <w:tcPr/>
                <w:p>
                  <w:pPr>
                    <w:pStyle w:val="Compact"/>
                    <w:jc w:val="left"/>
                    <w:jc w:val="center"/>
                  </w:pPr>
                  <w:r>
                    <w:t xml:space="preserve">3rd Qu.:51.00</w:t>
                  </w:r>
                </w:p>
              </w:tc>
              <w:tc>
                <w:tcPr/>
                <w:p>
                  <w:pPr>
                    <w:pStyle w:val="Compact"/>
                    <w:jc w:val="left"/>
                    <w:jc w:val="center"/>
                  </w:pPr>
                  <w:r>
                    <w:t xml:space="preserve">NA</w:t>
                  </w:r>
                </w:p>
              </w:tc>
              <w:tc>
                <w:tcPr/>
                <w:p>
                  <w:pPr>
                    <w:pStyle w:val="Compact"/>
                    <w:jc w:val="left"/>
                    <w:jc w:val="center"/>
                  </w:pPr>
                  <w:r>
                    <w:t xml:space="preserve">3rd Qu.:34.77</w:t>
                  </w:r>
                </w:p>
              </w:tc>
              <w:tc>
                <w:tcPr/>
                <w:p>
                  <w:pPr>
                    <w:pStyle w:val="Compact"/>
                    <w:jc w:val="left"/>
                    <w:jc w:val="center"/>
                  </w:pPr>
                  <w:r>
                    <w:t xml:space="preserve">3rd Qu.:2.000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3rd Qu.:16578</w:t>
                  </w:r>
                </w:p>
              </w:tc>
            </w:tr>
            <w:tr>
              <w:tc>
                <w:tcPr/>
                <w:p>
                  <w:pPr>
                    <w:pStyle w:val="Compact"/>
                  </w:pPr>
                </w:p>
              </w:tc>
              <w:tc>
                <w:tcPr/>
                <w:p>
                  <w:pPr>
                    <w:pStyle w:val="Compact"/>
                    <w:jc w:val="left"/>
                    <w:jc w:val="center"/>
                  </w:pPr>
                  <w:r>
                    <w:t xml:space="preserve">Max. :64.00</w:t>
                  </w:r>
                </w:p>
              </w:tc>
              <w:tc>
                <w:tcPr/>
                <w:p>
                  <w:pPr>
                    <w:pStyle w:val="Compact"/>
                    <w:jc w:val="left"/>
                    <w:jc w:val="center"/>
                  </w:pPr>
                  <w:r>
                    <w:t xml:space="preserve">NA</w:t>
                  </w:r>
                </w:p>
              </w:tc>
              <w:tc>
                <w:tcPr/>
                <w:p>
                  <w:pPr>
                    <w:pStyle w:val="Compact"/>
                    <w:jc w:val="left"/>
                    <w:jc w:val="center"/>
                  </w:pPr>
                  <w:r>
                    <w:t xml:space="preserve">Max. :53.13</w:t>
                  </w:r>
                </w:p>
              </w:tc>
              <w:tc>
                <w:tcPr/>
                <w:p>
                  <w:pPr>
                    <w:pStyle w:val="Compact"/>
                    <w:jc w:val="left"/>
                    <w:jc w:val="center"/>
                  </w:pPr>
                  <w:r>
                    <w:t xml:space="preserve">Max. :5.000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Max. :63770</w:t>
                  </w:r>
                </w:p>
              </w:tc>
            </w:tr>
          </w:tbl>
          <w:bookmarkEnd w:id="33"/>
          <w:p/>
        </w:tc>
      </w:tr>
    </w:tbl>
    <w:p>
      <w:pPr>
        <w:pStyle w:val="BodyText"/>
      </w:pPr>
      <w:hyperlink w:anchor="fig-outliers-bmi">
        <w:r>
          <w:rPr>
            <w:rStyle w:val="Hyperlink"/>
          </w:rPr>
          <w:t xml:space="preserve">Figure 1</w:t>
        </w:r>
      </w:hyperlink>
      <w:r>
        <w:t xml:space="preserve"> </w:t>
      </w:r>
      <w:r>
        <w:t xml:space="preserve">shows the outliers in BMI</w:t>
      </w:r>
    </w:p>
    <w:tbl>
      <w:tblPr>
        <w:tblStyle w:val="Table"/>
        <w:tblW w:type="pct" w:w="5000"/>
        <w:tblLayout w:type="fixed"/>
        <w:tblLook w:firstRow="0" w:lastRow="0" w:firstColumn="0" w:lastColumn="0" w:noHBand="0" w:noVBand="0" w:val="0000"/>
      </w:tblPr>
      <w:tblGrid>
        <w:gridCol w:w="7920"/>
      </w:tblGrid>
      <w:tr>
        <w:tc>
          <w:tcPr/>
          <w:bookmarkStart w:id="37" w:name="fig-outliers-bmi"/>
          <w:p>
            <w:pPr>
              <w:pStyle w:val="Compact"/>
              <w:jc w:val="center"/>
            </w:pPr>
            <w:r>
              <w:drawing>
                <wp:inline>
                  <wp:extent cx="5334000" cy="3295086"/>
                  <wp:effectExtent b="0" l="0" r="0" t="0"/>
                  <wp:docPr descr="" title="" id="35" name="Picture"/>
                  <a:graphic>
                    <a:graphicData uri="http://schemas.openxmlformats.org/drawingml/2006/picture">
                      <pic:pic>
                        <pic:nvPicPr>
                          <pic:cNvPr descr="../../results/figures/bmi_outliers.png" id="36" name="Picture"/>
                          <pic:cNvPicPr>
                            <a:picLocks noChangeArrowheads="1" noChangeAspect="1"/>
                          </pic:cNvPicPr>
                        </pic:nvPicPr>
                        <pic:blipFill>
                          <a:blip r:embed="rId3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BMI Outliers</w:t>
            </w:r>
          </w:p>
          <w:bookmarkEnd w:id="37"/>
        </w:tc>
      </w:tr>
    </w:tbl>
    <w:p>
      <w:pPr>
        <w:pStyle w:val="BodyText"/>
      </w:pPr>
      <w:hyperlink w:anchor="fig-outliers-charges">
        <w:r>
          <w:rPr>
            <w:rStyle w:val="Hyperlink"/>
          </w:rPr>
          <w:t xml:space="preserve">Figure 2</w:t>
        </w:r>
      </w:hyperlink>
      <w:r>
        <w:t xml:space="preserve"> </w:t>
      </w:r>
      <w:r>
        <w:t xml:space="preserve">shows the outliers in charges</w:t>
      </w:r>
    </w:p>
    <w:tbl>
      <w:tblPr>
        <w:tblStyle w:val="Table"/>
        <w:tblW w:type="pct" w:w="5000"/>
        <w:tblLayout w:type="fixed"/>
        <w:tblLook w:firstRow="0" w:lastRow="0" w:firstColumn="0" w:lastColumn="0" w:noHBand="0" w:noVBand="0" w:val="0000"/>
      </w:tblPr>
      <w:tblGrid>
        <w:gridCol w:w="7920"/>
      </w:tblGrid>
      <w:tr>
        <w:tc>
          <w:tcPr/>
          <w:bookmarkStart w:id="41" w:name="fig-outliers-charges"/>
          <w:p>
            <w:pPr>
              <w:pStyle w:val="Compact"/>
              <w:jc w:val="center"/>
            </w:pPr>
            <w:r>
              <w:drawing>
                <wp:inline>
                  <wp:extent cx="5334000" cy="3295086"/>
                  <wp:effectExtent b="0" l="0" r="0" t="0"/>
                  <wp:docPr descr="" title="" id="39" name="Picture"/>
                  <a:graphic>
                    <a:graphicData uri="http://schemas.openxmlformats.org/drawingml/2006/picture">
                      <pic:pic>
                        <pic:nvPicPr>
                          <pic:cNvPr descr="../../results/figures/charges-outliers.png" id="40" name="Picture"/>
                          <pic:cNvPicPr>
                            <a:picLocks noChangeArrowheads="1" noChangeAspect="1"/>
                          </pic:cNvPicPr>
                        </pic:nvPicPr>
                        <pic:blipFill>
                          <a:blip r:embed="rId3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Charges Outliers</w:t>
            </w:r>
          </w:p>
          <w:bookmarkEnd w:id="41"/>
        </w:tc>
      </w:tr>
    </w:tbl>
    <w:p>
      <w:pPr>
        <w:pStyle w:val="BodyText"/>
      </w:pPr>
      <w:hyperlink w:anchor="fig-charges">
        <w:r>
          <w:rPr>
            <w:rStyle w:val="Hyperlink"/>
          </w:rPr>
          <w:t xml:space="preserve">Figure 3</w:t>
        </w:r>
      </w:hyperlink>
      <w:r>
        <w:t xml:space="preserve"> </w:t>
      </w:r>
      <w:r>
        <w:t xml:space="preserve">shows histogram of insurance charges</w:t>
      </w:r>
    </w:p>
    <w:tbl>
      <w:tblPr>
        <w:tblStyle w:val="Table"/>
        <w:tblW w:type="pct" w:w="5000"/>
        <w:tblLayout w:type="fixed"/>
        <w:tblLook w:firstRow="0" w:lastRow="0" w:firstColumn="0" w:lastColumn="0" w:noHBand="0" w:noVBand="0" w:val="0000"/>
      </w:tblPr>
      <w:tblGrid>
        <w:gridCol w:w="7920"/>
      </w:tblGrid>
      <w:tr>
        <w:tc>
          <w:tcPr/>
          <w:bookmarkStart w:id="45" w:name="fig-charges"/>
          <w:p>
            <w:pPr>
              <w:pStyle w:val="Compact"/>
              <w:jc w:val="center"/>
            </w:pPr>
            <w:r>
              <w:drawing>
                <wp:inline>
                  <wp:extent cx="5334000" cy="3295086"/>
                  <wp:effectExtent b="0" l="0" r="0" t="0"/>
                  <wp:docPr descr="" title="" id="43" name="Picture"/>
                  <a:graphic>
                    <a:graphicData uri="http://schemas.openxmlformats.org/drawingml/2006/picture">
                      <pic:pic>
                        <pic:nvPicPr>
                          <pic:cNvPr descr="../../results/figures/Charges-histogram.png" id="44" name="Picture"/>
                          <pic:cNvPicPr>
                            <a:picLocks noChangeArrowheads="1" noChangeAspect="1"/>
                          </pic:cNvPicPr>
                        </pic:nvPicPr>
                        <pic:blipFill>
                          <a:blip r:embed="rId4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Insurance charges</w:t>
            </w:r>
          </w:p>
          <w:bookmarkEnd w:id="45"/>
        </w:tc>
      </w:tr>
    </w:tbl>
    <w:p>
      <w:pPr>
        <w:pStyle w:val="BodyText"/>
      </w:pPr>
      <w:hyperlink w:anchor="fig-smoking">
        <w:r>
          <w:rPr>
            <w:rStyle w:val="Hyperlink"/>
          </w:rPr>
          <w:t xml:space="preserve">Figure 4</w:t>
        </w:r>
      </w:hyperlink>
      <w:r>
        <w:t xml:space="preserve"> </w:t>
      </w:r>
      <w:r>
        <w:t xml:space="preserve">shows box plot of insurance charges by smoking status</w:t>
      </w:r>
    </w:p>
    <w:tbl>
      <w:tblPr>
        <w:tblStyle w:val="Table"/>
        <w:tblW w:type="pct" w:w="5000"/>
        <w:tblLayout w:type="fixed"/>
        <w:tblLook w:firstRow="0" w:lastRow="0" w:firstColumn="0" w:lastColumn="0" w:noHBand="0" w:noVBand="0" w:val="0000"/>
      </w:tblPr>
      <w:tblGrid>
        <w:gridCol w:w="7920"/>
      </w:tblGrid>
      <w:tr>
        <w:tc>
          <w:tcPr/>
          <w:bookmarkStart w:id="49" w:name="fig-smoking"/>
          <w:p>
            <w:pPr>
              <w:pStyle w:val="Compact"/>
              <w:jc w:val="center"/>
            </w:pPr>
            <w:r>
              <w:drawing>
                <wp:inline>
                  <wp:extent cx="5334000" cy="3295086"/>
                  <wp:effectExtent b="0" l="0" r="0" t="0"/>
                  <wp:docPr descr="" title="" id="47" name="Picture"/>
                  <a:graphic>
                    <a:graphicData uri="http://schemas.openxmlformats.org/drawingml/2006/picture">
                      <pic:pic>
                        <pic:nvPicPr>
                          <pic:cNvPr descr="../../results/figures/charges-smoking-boxplot.png" id="48" name="Picture"/>
                          <pic:cNvPicPr>
                            <a:picLocks noChangeArrowheads="1" noChangeAspect="1"/>
                          </pic:cNvPicPr>
                        </pic:nvPicPr>
                        <pic:blipFill>
                          <a:blip r:embed="rId46"/>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Insurance Charges by smoking status.</w:t>
            </w:r>
          </w:p>
          <w:bookmarkEnd w:id="49"/>
        </w:tc>
      </w:tr>
    </w:tbl>
    <w:p>
      <w:pPr>
        <w:pStyle w:val="BodyText"/>
      </w:pPr>
      <w:hyperlink w:anchor="fig-region">
        <w:r>
          <w:rPr>
            <w:rStyle w:val="Hyperlink"/>
          </w:rPr>
          <w:t xml:space="preserve">Figure 5</w:t>
        </w:r>
      </w:hyperlink>
      <w:r>
        <w:t xml:space="preserve"> </w:t>
      </w:r>
      <w:r>
        <w:t xml:space="preserve">shows box plot of insurance charges by region</w:t>
      </w:r>
    </w:p>
    <w:tbl>
      <w:tblPr>
        <w:tblStyle w:val="Table"/>
        <w:tblW w:type="pct" w:w="5000"/>
        <w:tblLayout w:type="fixed"/>
        <w:tblLook w:firstRow="0" w:lastRow="0" w:firstColumn="0" w:lastColumn="0" w:noHBand="0" w:noVBand="0" w:val="0000"/>
      </w:tblPr>
      <w:tblGrid>
        <w:gridCol w:w="7920"/>
      </w:tblGrid>
      <w:tr>
        <w:tc>
          <w:tcPr/>
          <w:bookmarkStart w:id="53" w:name="fig-region"/>
          <w:p>
            <w:pPr>
              <w:pStyle w:val="Compact"/>
              <w:jc w:val="center"/>
            </w:pPr>
            <w:r>
              <w:drawing>
                <wp:inline>
                  <wp:extent cx="5334000" cy="3295086"/>
                  <wp:effectExtent b="0" l="0" r="0" t="0"/>
                  <wp:docPr descr="" title="" id="51" name="Picture"/>
                  <a:graphic>
                    <a:graphicData uri="http://schemas.openxmlformats.org/drawingml/2006/picture">
                      <pic:pic>
                        <pic:nvPicPr>
                          <pic:cNvPr descr="../../results/figures/charges-region-boxplot.png" id="52" name="Picture"/>
                          <pic:cNvPicPr>
                            <a:picLocks noChangeArrowheads="1" noChangeAspect="1"/>
                          </pic:cNvPicPr>
                        </pic:nvPicPr>
                        <pic:blipFill>
                          <a:blip r:embed="rId50"/>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Insurance Charges by Region.</w:t>
            </w:r>
          </w:p>
          <w:bookmarkEnd w:id="53"/>
        </w:tc>
      </w:tr>
    </w:tbl>
    <w:p>
      <w:pPr>
        <w:pStyle w:val="BodyText"/>
      </w:pPr>
      <w:hyperlink w:anchor="fig-age">
        <w:r>
          <w:rPr>
            <w:rStyle w:val="Hyperlink"/>
          </w:rPr>
          <w:t xml:space="preserve">Figure 6</w:t>
        </w:r>
      </w:hyperlink>
      <w:r>
        <w:t xml:space="preserve"> </w:t>
      </w:r>
      <w:r>
        <w:t xml:space="preserve">shows scatter plot of insurance charges by age</w:t>
      </w:r>
    </w:p>
    <w:tbl>
      <w:tblPr>
        <w:tblStyle w:val="Table"/>
        <w:tblW w:type="pct" w:w="5000"/>
        <w:tblLayout w:type="fixed"/>
        <w:tblLook w:firstRow="0" w:lastRow="0" w:firstColumn="0" w:lastColumn="0" w:noHBand="0" w:noVBand="0" w:val="0000"/>
      </w:tblPr>
      <w:tblGrid>
        <w:gridCol w:w="7920"/>
      </w:tblGrid>
      <w:tr>
        <w:tc>
          <w:tcPr/>
          <w:bookmarkStart w:id="57" w:name="fig-age"/>
          <w:p>
            <w:pPr>
              <w:pStyle w:val="Compact"/>
              <w:jc w:val="center"/>
            </w:pPr>
            <w:r>
              <w:drawing>
                <wp:inline>
                  <wp:extent cx="5334000" cy="3295086"/>
                  <wp:effectExtent b="0" l="0" r="0" t="0"/>
                  <wp:docPr descr="" title="" id="55" name="Picture"/>
                  <a:graphic>
                    <a:graphicData uri="http://schemas.openxmlformats.org/drawingml/2006/picture">
                      <pic:pic>
                        <pic:nvPicPr>
                          <pic:cNvPr descr="../../results/figures/charge-age-boxplot.png" id="56" name="Picture"/>
                          <pic:cNvPicPr>
                            <a:picLocks noChangeArrowheads="1" noChangeAspect="1"/>
                          </pic:cNvPicPr>
                        </pic:nvPicPr>
                        <pic:blipFill>
                          <a:blip r:embed="rId5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Insurance Charges by Age.</w:t>
            </w:r>
          </w:p>
          <w:bookmarkEnd w:id="57"/>
        </w:tc>
      </w:tr>
    </w:tbl>
    <w:p>
      <w:pPr>
        <w:pStyle w:val="BodyText"/>
      </w:pPr>
      <w:hyperlink w:anchor="fig-bmi">
        <w:r>
          <w:rPr>
            <w:rStyle w:val="Hyperlink"/>
          </w:rPr>
          <w:t xml:space="preserve">Figure 7</w:t>
        </w:r>
      </w:hyperlink>
      <w:r>
        <w:t xml:space="preserve"> </w:t>
      </w:r>
      <w:r>
        <w:t xml:space="preserve">shows scatter plot of insurance by BMI</w:t>
      </w:r>
    </w:p>
    <w:tbl>
      <w:tblPr>
        <w:tblStyle w:val="Table"/>
        <w:tblW w:type="pct" w:w="5000"/>
        <w:tblLayout w:type="fixed"/>
        <w:tblLook w:firstRow="0" w:lastRow="0" w:firstColumn="0" w:lastColumn="0" w:noHBand="0" w:noVBand="0" w:val="0000"/>
      </w:tblPr>
      <w:tblGrid>
        <w:gridCol w:w="7920"/>
      </w:tblGrid>
      <w:tr>
        <w:tc>
          <w:tcPr/>
          <w:bookmarkStart w:id="61" w:name="fig-bmi"/>
          <w:p>
            <w:pPr>
              <w:pStyle w:val="Compact"/>
              <w:jc w:val="center"/>
            </w:pPr>
            <w:r>
              <w:drawing>
                <wp:inline>
                  <wp:extent cx="5334000" cy="3295086"/>
                  <wp:effectExtent b="0" l="0" r="0" t="0"/>
                  <wp:docPr descr="" title="" id="59" name="Picture"/>
                  <a:graphic>
                    <a:graphicData uri="http://schemas.openxmlformats.org/drawingml/2006/picture">
                      <pic:pic>
                        <pic:nvPicPr>
                          <pic:cNvPr descr="../../results/figures/charge-bmi-scatter.png" id="60" name="Picture"/>
                          <pic:cNvPicPr>
                            <a:picLocks noChangeArrowheads="1" noChangeAspect="1"/>
                          </pic:cNvPicPr>
                        </pic:nvPicPr>
                        <pic:blipFill>
                          <a:blip r:embed="rId5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Insurance Charges by BMI.</w:t>
            </w:r>
          </w:p>
          <w:bookmarkEnd w:id="61"/>
        </w:tc>
      </w:tr>
    </w:tbl>
    <w:p>
      <w:pPr>
        <w:pStyle w:val="BodyText"/>
      </w:pPr>
      <w:hyperlink w:anchor="fig-children">
        <w:r>
          <w:rPr>
            <w:rStyle w:val="Hyperlink"/>
          </w:rPr>
          <w:t xml:space="preserve">Figure 8</w:t>
        </w:r>
      </w:hyperlink>
      <w:r>
        <w:t xml:space="preserve"> </w:t>
      </w:r>
      <w:r>
        <w:t xml:space="preserve">shows bar graph of average insurance charges by number of children</w:t>
      </w:r>
    </w:p>
    <w:tbl>
      <w:tblPr>
        <w:tblStyle w:val="Table"/>
        <w:tblW w:type="pct" w:w="5000"/>
        <w:tblLayout w:type="fixed"/>
        <w:tblLook w:firstRow="0" w:lastRow="0" w:firstColumn="0" w:lastColumn="0" w:noHBand="0" w:noVBand="0" w:val="0000"/>
      </w:tblPr>
      <w:tblGrid>
        <w:gridCol w:w="7920"/>
      </w:tblGrid>
      <w:tr>
        <w:tc>
          <w:tcPr/>
          <w:bookmarkStart w:id="65" w:name="fig-children"/>
          <w:p>
            <w:pPr>
              <w:pStyle w:val="Compact"/>
              <w:jc w:val="center"/>
            </w:pPr>
            <w:r>
              <w:drawing>
                <wp:inline>
                  <wp:extent cx="5334000" cy="3295086"/>
                  <wp:effectExtent b="0" l="0" r="0" t="0"/>
                  <wp:docPr descr="" title="" id="63" name="Picture"/>
                  <a:graphic>
                    <a:graphicData uri="http://schemas.openxmlformats.org/drawingml/2006/picture">
                      <pic:pic>
                        <pic:nvPicPr>
                          <pic:cNvPr descr="../../results/figures/children-bar.png" id="64" name="Picture"/>
                          <pic:cNvPicPr>
                            <a:picLocks noChangeArrowheads="1" noChangeAspect="1"/>
                          </pic:cNvPicPr>
                        </pic:nvPicPr>
                        <pic:blipFill>
                          <a:blip r:embed="rId6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Average Insurance Charges by Number of Children.</w:t>
            </w:r>
          </w:p>
          <w:bookmarkEnd w:id="65"/>
        </w:tc>
      </w:tr>
    </w:tbl>
    <w:bookmarkEnd w:id="66"/>
    <w:bookmarkStart w:id="68" w:name="basic-statistical-analysis"/>
    <w:p>
      <w:pPr>
        <w:pStyle w:val="Heading2"/>
      </w:pPr>
      <w:r>
        <w:t xml:space="preserve">4.2 Basic statistical analysis</w:t>
      </w:r>
    </w:p>
    <w:p>
      <w:pPr>
        <w:pStyle w:val="FirstParagraph"/>
      </w:pPr>
      <w:hyperlink w:anchor="tbl-resulttable1">
        <w:r>
          <w:rPr>
            <w:rStyle w:val="Hyperlink"/>
          </w:rPr>
          <w:t xml:space="preserve">Table 2</w:t>
        </w:r>
      </w:hyperlink>
      <w:r>
        <w:t xml:space="preserve"> </w:t>
      </w:r>
      <w:r>
        <w:t xml:space="preserve">shows a simple model with one predictor using linear regression analysis.</w:t>
      </w:r>
    </w:p>
    <w:tbl>
      <w:tblPr>
        <w:tblStyle w:val="Table"/>
        <w:tblW w:type="pct" w:w="5000"/>
        <w:tblLayout w:type="fixed"/>
        <w:tblLook w:firstRow="0" w:lastRow="0" w:firstColumn="0" w:lastColumn="0" w:noHBand="0" w:noVBand="0" w:val="0000"/>
      </w:tblPr>
      <w:tblGrid>
        <w:gridCol w:w="7920"/>
      </w:tblGrid>
      <w:tr>
        <w:tc>
          <w:tcPr/>
          <w:bookmarkStart w:id="67" w:name="tbl-resulttable1"/>
          <w:p>
            <w:pPr>
              <w:jc w:val="center"/>
            </w:pPr>
            <w:pPr>
              <w:jc w:val="start"/>
              <w:spacing w:before="200"/>
              <w:pStyle w:val="ImageCaption"/>
            </w:pPr>
            <w:r>
              <w:t xml:space="preserve">Table 2: Simple Models with One Predictor.</w:t>
            </w:r>
          </w:p>
          <w:tbl>
            <w:tblPr>
              <w:tblStyle w:val="Table"/>
              <w:tblW w:type="pct" w:w="5000"/>
              <w:tblLayout w:type="fixed"/>
              <w:tblLook w:firstRow="1" w:lastRow="0" w:firstColumn="0" w:lastColumn="0" w:noHBand="0" w:noVBand="0" w:val="0020"/>
            </w:tblPr>
            <w:tblGrid>
              <w:gridCol w:w="1147"/>
              <w:gridCol w:w="1836"/>
              <w:gridCol w:w="1262"/>
              <w:gridCol w:w="1262"/>
              <w:gridCol w:w="1262"/>
              <w:gridCol w:w="1147"/>
            </w:tblGrid>
            <w:tr>
              <w:trPr>
                <w:tblHeader w:val="on"/>
              </w:trPr>
              <w:tc>
                <w:tcPr/>
                <w:p>
                  <w:pPr>
                    <w:pStyle w:val="Compact"/>
                    <w:jc w:val="left"/>
                    <w:jc w:val="center"/>
                  </w:pPr>
                  <w:r>
                    <w:t xml:space="preserve">predictor</w:t>
                  </w:r>
                </w:p>
              </w:tc>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age</w:t>
                  </w:r>
                </w:p>
              </w:tc>
              <w:tc>
                <w:tcPr/>
                <w:p>
                  <w:pPr>
                    <w:pStyle w:val="Compact"/>
                    <w:jc w:val="left"/>
                    <w:jc w:val="center"/>
                  </w:pPr>
                  <w:r>
                    <w:t xml:space="preserve">(Intercept)</w:t>
                  </w:r>
                </w:p>
              </w:tc>
              <w:tc>
                <w:tcPr/>
                <w:p>
                  <w:pPr>
                    <w:pStyle w:val="Compact"/>
                    <w:jc w:val="right"/>
                    <w:jc w:val="center"/>
                  </w:pPr>
                  <w:r>
                    <w:t xml:space="preserve">3182.7705</w:t>
                  </w:r>
                </w:p>
              </w:tc>
              <w:tc>
                <w:tcPr/>
                <w:p>
                  <w:pPr>
                    <w:pStyle w:val="Compact"/>
                    <w:jc w:val="right"/>
                    <w:jc w:val="center"/>
                  </w:pPr>
                  <w:r>
                    <w:t xml:space="preserve">650.44959</w:t>
                  </w:r>
                </w:p>
              </w:tc>
              <w:tc>
                <w:tcPr/>
                <w:p>
                  <w:pPr>
                    <w:pStyle w:val="Compact"/>
                    <w:jc w:val="right"/>
                    <w:jc w:val="center"/>
                  </w:pPr>
                  <w:r>
                    <w:t xml:space="preserve">4.8931854</w:t>
                  </w:r>
                </w:p>
              </w:tc>
              <w:tc>
                <w:tcPr/>
                <w:p>
                  <w:pPr>
                    <w:pStyle w:val="Compact"/>
                    <w:jc w:val="right"/>
                    <w:jc w:val="center"/>
                  </w:pPr>
                  <w:r>
                    <w:t xml:space="preserve">0.0000010</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257.7010</w:t>
                  </w:r>
                </w:p>
              </w:tc>
              <w:tc>
                <w:tcPr/>
                <w:p>
                  <w:pPr>
                    <w:pStyle w:val="Compact"/>
                    <w:jc w:val="right"/>
                    <w:jc w:val="center"/>
                  </w:pPr>
                  <w:r>
                    <w:t xml:space="preserve">15.64837</w:t>
                  </w:r>
                </w:p>
              </w:tc>
              <w:tc>
                <w:tcPr/>
                <w:p>
                  <w:pPr>
                    <w:pStyle w:val="Compact"/>
                    <w:jc w:val="right"/>
                    <w:jc w:val="center"/>
                  </w:pPr>
                  <w:r>
                    <w:t xml:space="preserve">16.4682290</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left"/>
                    <w:jc w:val="center"/>
                  </w:pPr>
                  <w:r>
                    <w:t xml:space="preserve">(Intercept)</w:t>
                  </w:r>
                </w:p>
              </w:tc>
              <w:tc>
                <w:tcPr/>
                <w:p>
                  <w:pPr>
                    <w:pStyle w:val="Compact"/>
                    <w:jc w:val="right"/>
                    <w:jc w:val="center"/>
                  </w:pPr>
                  <w:r>
                    <w:t xml:space="preserve">1097.5183</w:t>
                  </w:r>
                </w:p>
              </w:tc>
              <w:tc>
                <w:tcPr/>
                <w:p>
                  <w:pPr>
                    <w:pStyle w:val="Compact"/>
                    <w:jc w:val="right"/>
                    <w:jc w:val="center"/>
                  </w:pPr>
                  <w:r>
                    <w:t xml:space="preserve">1155.49870</w:t>
                  </w:r>
                </w:p>
              </w:tc>
              <w:tc>
                <w:tcPr/>
                <w:p>
                  <w:pPr>
                    <w:pStyle w:val="Compact"/>
                    <w:jc w:val="right"/>
                    <w:jc w:val="center"/>
                  </w:pPr>
                  <w:r>
                    <w:t xml:space="preserve">0.9498222</w:t>
                  </w:r>
                </w:p>
              </w:tc>
              <w:tc>
                <w:tcPr/>
                <w:p>
                  <w:pPr>
                    <w:pStyle w:val="Compact"/>
                    <w:jc w:val="right"/>
                    <w:jc w:val="center"/>
                  </w:pPr>
                  <w:r>
                    <w:t xml:space="preserve">0.3422855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396.1993</w:t>
                  </w:r>
                </w:p>
              </w:tc>
              <w:tc>
                <w:tcPr/>
                <w:p>
                  <w:pPr>
                    <w:pStyle w:val="Compact"/>
                    <w:jc w:val="right"/>
                    <w:jc w:val="center"/>
                  </w:pPr>
                  <w:r>
                    <w:t xml:space="preserve">36.90861</w:t>
                  </w:r>
                </w:p>
              </w:tc>
              <w:tc>
                <w:tcPr/>
                <w:p>
                  <w:pPr>
                    <w:pStyle w:val="Compact"/>
                    <w:jc w:val="right"/>
                    <w:jc w:val="center"/>
                  </w:pPr>
                  <w:r>
                    <w:t xml:space="preserve">10.7346011</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(Intercept)</w:t>
                  </w:r>
                </w:p>
              </w:tc>
              <w:tc>
                <w:tcPr/>
                <w:p>
                  <w:pPr>
                    <w:pStyle w:val="Compact"/>
                    <w:jc w:val="right"/>
                    <w:jc w:val="center"/>
                  </w:pPr>
                  <w:r>
                    <w:t xml:space="preserve">12529.1303</w:t>
                  </w:r>
                </w:p>
              </w:tc>
              <w:tc>
                <w:tcPr/>
                <w:p>
                  <w:pPr>
                    <w:pStyle w:val="Compact"/>
                    <w:jc w:val="right"/>
                    <w:jc w:val="center"/>
                  </w:pPr>
                  <w:r>
                    <w:t xml:space="preserve">310.97832</w:t>
                  </w:r>
                </w:p>
              </w:tc>
              <w:tc>
                <w:tcPr/>
                <w:p>
                  <w:pPr>
                    <w:pStyle w:val="Compact"/>
                    <w:jc w:val="right"/>
                    <w:jc w:val="center"/>
                  </w:pPr>
                  <w:r>
                    <w:t xml:space="preserve">40.2894006</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664.6262</w:t>
                  </w:r>
                </w:p>
              </w:tc>
              <w:tc>
                <w:tcPr/>
                <w:p>
                  <w:pPr>
                    <w:pStyle w:val="Compact"/>
                    <w:jc w:val="right"/>
                    <w:jc w:val="center"/>
                  </w:pPr>
                  <w:r>
                    <w:t xml:space="preserve">189.64091</w:t>
                  </w:r>
                </w:p>
              </w:tc>
              <w:tc>
                <w:tcPr/>
                <w:p>
                  <w:pPr>
                    <w:pStyle w:val="Compact"/>
                    <w:jc w:val="right"/>
                    <w:jc w:val="center"/>
                  </w:pPr>
                  <w:r>
                    <w:t xml:space="preserve">3.5046560</w:t>
                  </w:r>
                </w:p>
              </w:tc>
              <w:tc>
                <w:tcPr/>
                <w:p>
                  <w:pPr>
                    <w:pStyle w:val="Compact"/>
                    <w:jc w:val="right"/>
                    <w:jc w:val="center"/>
                  </w:pPr>
                  <w:r>
                    <w:t xml:space="preserve">0.0004644</w:t>
                  </w:r>
                </w:p>
              </w:tc>
            </w:tr>
            <w:tr>
              <w:tc>
                <w:tcPr/>
                <w:p>
                  <w:pPr>
                    <w:pStyle w:val="Compact"/>
                    <w:jc w:val="left"/>
                    <w:jc w:val="center"/>
                  </w:pPr>
                  <w:r>
                    <w:t xml:space="preserve">sex</w:t>
                  </w:r>
                </w:p>
              </w:tc>
              <w:tc>
                <w:tcPr/>
                <w:p>
                  <w:pPr>
                    <w:pStyle w:val="Compact"/>
                    <w:jc w:val="left"/>
                    <w:jc w:val="center"/>
                  </w:pPr>
                  <w:r>
                    <w:t xml:space="preserve">(Intercept)</w:t>
                  </w:r>
                </w:p>
              </w:tc>
              <w:tc>
                <w:tcPr/>
                <w:p>
                  <w:pPr>
                    <w:pStyle w:val="Compact"/>
                    <w:jc w:val="right"/>
                    <w:jc w:val="center"/>
                  </w:pPr>
                  <w:r>
                    <w:t xml:space="preserve">12486.8320</w:t>
                  </w:r>
                </w:p>
              </w:tc>
              <w:tc>
                <w:tcPr/>
                <w:p>
                  <w:pPr>
                    <w:pStyle w:val="Compact"/>
                    <w:jc w:val="right"/>
                    <w:jc w:val="center"/>
                  </w:pPr>
                  <w:r>
                    <w:t xml:space="preserve">328.19612</w:t>
                  </w:r>
                </w:p>
              </w:tc>
              <w:tc>
                <w:tcPr/>
                <w:p>
                  <w:pPr>
                    <w:pStyle w:val="Compact"/>
                    <w:jc w:val="right"/>
                    <w:jc w:val="center"/>
                  </w:pPr>
                  <w:r>
                    <w:t xml:space="preserve">38.0468610</w:t>
                  </w:r>
                </w:p>
              </w:tc>
              <w:tc>
                <w:tcPr/>
                <w:p>
                  <w:pPr>
                    <w:pStyle w:val="Compact"/>
                    <w:jc w:val="right"/>
                    <w:jc w:val="center"/>
                  </w:pPr>
                  <w:r>
                    <w:t xml:space="preserve">0.0000000</w:t>
                  </w:r>
                </w:p>
              </w:tc>
            </w:tr>
            <w:tr>
              <w:tc>
                <w:tcPr/>
                <w:p>
                  <w:pPr>
                    <w:pStyle w:val="Compact"/>
                    <w:jc w:val="left"/>
                    <w:jc w:val="center"/>
                  </w:pPr>
                  <w:r>
                    <w:t xml:space="preserve">sex</w:t>
                  </w:r>
                </w:p>
              </w:tc>
              <w:tc>
                <w:tcPr/>
                <w:p>
                  <w:pPr>
                    <w:pStyle w:val="Compact"/>
                    <w:jc w:val="left"/>
                    <w:jc w:val="center"/>
                  </w:pPr>
                  <w:r>
                    <w:t xml:space="preserve">sexmale</w:t>
                  </w:r>
                </w:p>
              </w:tc>
              <w:tc>
                <w:tcPr/>
                <w:p>
                  <w:pPr>
                    <w:pStyle w:val="Compact"/>
                    <w:jc w:val="right"/>
                    <w:jc w:val="center"/>
                  </w:pPr>
                  <w:r>
                    <w:t xml:space="preserve">1527.0407</w:t>
                  </w:r>
                </w:p>
              </w:tc>
              <w:tc>
                <w:tcPr/>
                <w:p>
                  <w:pPr>
                    <w:pStyle w:val="Compact"/>
                    <w:jc w:val="right"/>
                    <w:jc w:val="center"/>
                  </w:pPr>
                  <w:r>
                    <w:t xml:space="preserve">460.82644</w:t>
                  </w:r>
                </w:p>
              </w:tc>
              <w:tc>
                <w:tcPr/>
                <w:p>
                  <w:pPr>
                    <w:pStyle w:val="Compact"/>
                    <w:jc w:val="right"/>
                    <w:jc w:val="center"/>
                  </w:pPr>
                  <w:r>
                    <w:t xml:space="preserve">3.3137004</w:t>
                  </w:r>
                </w:p>
              </w:tc>
              <w:tc>
                <w:tcPr/>
                <w:p>
                  <w:pPr>
                    <w:pStyle w:val="Compact"/>
                    <w:jc w:val="right"/>
                    <w:jc w:val="center"/>
                  </w:pPr>
                  <w:r>
                    <w:t xml:space="preserve">0.0009325</w:t>
                  </w:r>
                </w:p>
              </w:tc>
            </w:tr>
            <w:tr>
              <w:tc>
                <w:tcPr/>
                <w:p>
                  <w:pPr>
                    <w:pStyle w:val="Compact"/>
                    <w:jc w:val="left"/>
                    <w:jc w:val="center"/>
                  </w:pPr>
                  <w:r>
                    <w:t xml:space="preserve">smoker</w:t>
                  </w:r>
                </w:p>
              </w:tc>
              <w:tc>
                <w:tcPr/>
                <w:p>
                  <w:pPr>
                    <w:pStyle w:val="Compact"/>
                    <w:jc w:val="left"/>
                    <w:jc w:val="center"/>
                  </w:pPr>
                  <w:r>
                    <w:t xml:space="preserve">(Intercept)</w:t>
                  </w:r>
                </w:p>
              </w:tc>
              <w:tc>
                <w:tcPr/>
                <w:p>
                  <w:pPr>
                    <w:pStyle w:val="Compact"/>
                    <w:jc w:val="right"/>
                    <w:jc w:val="center"/>
                  </w:pPr>
                  <w:r>
                    <w:t xml:space="preserve">8417.8744</w:t>
                  </w:r>
                </w:p>
              </w:tc>
              <w:tc>
                <w:tcPr/>
                <w:p>
                  <w:pPr>
                    <w:pStyle w:val="Compact"/>
                    <w:jc w:val="right"/>
                    <w:jc w:val="center"/>
                  </w:pPr>
                  <w:r>
                    <w:t xml:space="preserve">158.98688</w:t>
                  </w:r>
                </w:p>
              </w:tc>
              <w:tc>
                <w:tcPr/>
                <w:p>
                  <w:pPr>
                    <w:pStyle w:val="Compact"/>
                    <w:jc w:val="right"/>
                    <w:jc w:val="center"/>
                  </w:pPr>
                  <w:r>
                    <w:t xml:space="preserve">52.9469743</w:t>
                  </w:r>
                </w:p>
              </w:tc>
              <w:tc>
                <w:tcPr/>
                <w:p>
                  <w:pPr>
                    <w:pStyle w:val="Compact"/>
                    <w:jc w:val="right"/>
                    <w:jc w:val="center"/>
                  </w:pPr>
                  <w:r>
                    <w:t xml:space="preserve">0.0000000</w:t>
                  </w:r>
                </w:p>
              </w:tc>
            </w:tr>
            <w:tr>
              <w:tc>
                <w:tcPr/>
                <w:p>
                  <w:pPr>
                    <w:pStyle w:val="Compact"/>
                    <w:jc w:val="left"/>
                    <w:jc w:val="center"/>
                  </w:pPr>
                  <w:r>
                    <w:t xml:space="preserve">smoker</w:t>
                  </w:r>
                </w:p>
              </w:tc>
              <w:tc>
                <w:tcPr/>
                <w:p>
                  <w:pPr>
                    <w:pStyle w:val="Compact"/>
                    <w:jc w:val="left"/>
                    <w:jc w:val="center"/>
                  </w:pPr>
                  <w:r>
                    <w:t xml:space="preserve">smokeryes</w:t>
                  </w:r>
                </w:p>
              </w:tc>
              <w:tc>
                <w:tcPr/>
                <w:p>
                  <w:pPr>
                    <w:pStyle w:val="Compact"/>
                    <w:jc w:val="right"/>
                    <w:jc w:val="center"/>
                  </w:pPr>
                  <w:r>
                    <w:t xml:space="preserve">23805.2654</w:t>
                  </w:r>
                </w:p>
              </w:tc>
              <w:tc>
                <w:tcPr/>
                <w:p>
                  <w:pPr>
                    <w:pStyle w:val="Compact"/>
                    <w:jc w:val="right"/>
                    <w:jc w:val="center"/>
                  </w:pPr>
                  <w:r>
                    <w:t xml:space="preserve">352.46691</w:t>
                  </w:r>
                </w:p>
              </w:tc>
              <w:tc>
                <w:tcPr/>
                <w:p>
                  <w:pPr>
                    <w:pStyle w:val="Compact"/>
                    <w:jc w:val="right"/>
                    <w:jc w:val="center"/>
                  </w:pPr>
                  <w:r>
                    <w:t xml:space="preserve">67.5390070</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(Intercept)</w:t>
                  </w:r>
                </w:p>
              </w:tc>
              <w:tc>
                <w:tcPr/>
                <w:p>
                  <w:pPr>
                    <w:pStyle w:val="Compact"/>
                    <w:jc w:val="right"/>
                    <w:jc w:val="center"/>
                  </w:pPr>
                  <w:r>
                    <w:t xml:space="preserve">13475.8747</w:t>
                  </w:r>
                </w:p>
              </w:tc>
              <w:tc>
                <w:tcPr/>
                <w:p>
                  <w:pPr>
                    <w:pStyle w:val="Compact"/>
                    <w:jc w:val="right"/>
                    <w:jc w:val="center"/>
                  </w:pPr>
                  <w:r>
                    <w:t xml:space="preserve">472.25777</w:t>
                  </w:r>
                </w:p>
              </w:tc>
              <w:tc>
                <w:tcPr/>
                <w:p>
                  <w:pPr>
                    <w:pStyle w:val="Compact"/>
                    <w:jc w:val="right"/>
                    <w:jc w:val="center"/>
                  </w:pPr>
                  <w:r>
                    <w:t xml:space="preserve">28.5349983</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regionnorthwest</w:t>
                  </w:r>
                </w:p>
              </w:tc>
              <w:tc>
                <w:tcPr/>
                <w:p>
                  <w:pPr>
                    <w:pStyle w:val="Compact"/>
                    <w:jc w:val="right"/>
                    <w:jc w:val="center"/>
                  </w:pPr>
                  <w:r>
                    <w:t xml:space="preserve">-1012.7454</w:t>
                  </w:r>
                </w:p>
              </w:tc>
              <w:tc>
                <w:tcPr/>
                <w:p>
                  <w:pPr>
                    <w:pStyle w:val="Compact"/>
                    <w:jc w:val="right"/>
                    <w:jc w:val="center"/>
                  </w:pPr>
                  <w:r>
                    <w:t xml:space="preserve">666.36289</w:t>
                  </w:r>
                </w:p>
              </w:tc>
              <w:tc>
                <w:tcPr/>
                <w:p>
                  <w:pPr>
                    <w:pStyle w:val="Compact"/>
                    <w:jc w:val="right"/>
                    <w:jc w:val="center"/>
                  </w:pPr>
                  <w:r>
                    <w:t xml:space="preserve">-1.5198107</w:t>
                  </w:r>
                </w:p>
              </w:tc>
              <w:tc>
                <w:tcPr/>
                <w:p>
                  <w:pPr>
                    <w:pStyle w:val="Compact"/>
                    <w:jc w:val="right"/>
                    <w:jc w:val="center"/>
                  </w:pPr>
                  <w:r>
                    <w:t xml:space="preserve">0.1286728</w:t>
                  </w:r>
                </w:p>
              </w:tc>
            </w:tr>
            <w:tr>
              <w:tc>
                <w:tcPr/>
                <w:p>
                  <w:pPr>
                    <w:pStyle w:val="Compact"/>
                    <w:jc w:val="left"/>
                    <w:jc w:val="center"/>
                  </w:pPr>
                  <w:r>
                    <w:t xml:space="preserve">region</w:t>
                  </w:r>
                </w:p>
              </w:tc>
              <w:tc>
                <w:tcPr/>
                <w:p>
                  <w:pPr>
                    <w:pStyle w:val="Compact"/>
                    <w:jc w:val="left"/>
                    <w:jc w:val="center"/>
                  </w:pPr>
                  <w:r>
                    <w:t xml:space="preserve">regionsoutheast</w:t>
                  </w:r>
                </w:p>
              </w:tc>
              <w:tc>
                <w:tcPr/>
                <w:p>
                  <w:pPr>
                    <w:pStyle w:val="Compact"/>
                    <w:jc w:val="right"/>
                    <w:jc w:val="center"/>
                  </w:pPr>
                  <w:r>
                    <w:t xml:space="preserve">1272.9030</w:t>
                  </w:r>
                </w:p>
              </w:tc>
              <w:tc>
                <w:tcPr/>
                <w:p>
                  <w:pPr>
                    <w:pStyle w:val="Compact"/>
                    <w:jc w:val="right"/>
                    <w:jc w:val="center"/>
                  </w:pPr>
                  <w:r>
                    <w:t xml:space="preserve">643.90193</w:t>
                  </w:r>
                </w:p>
              </w:tc>
              <w:tc>
                <w:tcPr/>
                <w:p>
                  <w:pPr>
                    <w:pStyle w:val="Compact"/>
                    <w:jc w:val="right"/>
                    <w:jc w:val="center"/>
                  </w:pPr>
                  <w:r>
                    <w:t xml:space="preserve">1.9768585</w:t>
                  </w:r>
                </w:p>
              </w:tc>
              <w:tc>
                <w:tcPr/>
                <w:p>
                  <w:pPr>
                    <w:pStyle w:val="Compact"/>
                    <w:jc w:val="right"/>
                    <w:jc w:val="center"/>
                  </w:pPr>
                  <w:r>
                    <w:t xml:space="preserve">0.0481567</w:t>
                  </w:r>
                </w:p>
              </w:tc>
            </w:tr>
            <w:tr>
              <w:tc>
                <w:tcPr/>
                <w:p>
                  <w:pPr>
                    <w:pStyle w:val="Compact"/>
                    <w:jc w:val="left"/>
                    <w:jc w:val="center"/>
                  </w:pPr>
                  <w:r>
                    <w:t xml:space="preserve">region</w:t>
                  </w:r>
                </w:p>
              </w:tc>
              <w:tc>
                <w:tcPr/>
                <w:p>
                  <w:pPr>
                    <w:pStyle w:val="Compact"/>
                    <w:jc w:val="left"/>
                    <w:jc w:val="center"/>
                  </w:pPr>
                  <w:r>
                    <w:t xml:space="preserve">regionsouthwest</w:t>
                  </w:r>
                </w:p>
              </w:tc>
              <w:tc>
                <w:tcPr/>
                <w:p>
                  <w:pPr>
                    <w:pStyle w:val="Compact"/>
                    <w:jc w:val="right"/>
                    <w:jc w:val="center"/>
                  </w:pPr>
                  <w:r>
                    <w:t xml:space="preserve">-1311.6783</w:t>
                  </w:r>
                </w:p>
              </w:tc>
              <w:tc>
                <w:tcPr/>
                <w:p>
                  <w:pPr>
                    <w:pStyle w:val="Compact"/>
                    <w:jc w:val="right"/>
                    <w:jc w:val="center"/>
                  </w:pPr>
                  <w:r>
                    <w:t xml:space="preserve">661.49615</w:t>
                  </w:r>
                </w:p>
              </w:tc>
              <w:tc>
                <w:tcPr/>
                <w:p>
                  <w:pPr>
                    <w:pStyle w:val="Compact"/>
                    <w:jc w:val="right"/>
                    <w:jc w:val="center"/>
                  </w:pPr>
                  <w:r>
                    <w:t xml:space="preserve">-1.9828964</w:t>
                  </w:r>
                </w:p>
              </w:tc>
              <w:tc>
                <w:tcPr/>
                <w:p>
                  <w:pPr>
                    <w:pStyle w:val="Compact"/>
                    <w:jc w:val="right"/>
                    <w:jc w:val="center"/>
                  </w:pPr>
                  <w:r>
                    <w:t xml:space="preserve">0.0474777</w:t>
                  </w:r>
                </w:p>
              </w:tc>
            </w:tr>
          </w:tbl>
          <w:bookmarkEnd w:id="67"/>
          <w:p/>
        </w:tc>
      </w:tr>
    </w:tbl>
    <w:bookmarkEnd w:id="68"/>
    <w:bookmarkStart w:id="79" w:name="full-analysis"/>
    <w:p>
      <w:pPr>
        <w:pStyle w:val="Heading2"/>
      </w:pPr>
      <w:r>
        <w:t xml:space="preserve">4.3 Full analysis</w:t>
      </w:r>
    </w:p>
    <w:p>
      <w:pPr>
        <w:pStyle w:val="FirstParagraph"/>
      </w:pPr>
      <w:hyperlink w:anchor="tbl-resulttable2">
        <w:r>
          <w:rPr>
            <w:rStyle w:val="Hyperlink"/>
          </w:rPr>
          <w:t xml:space="preserve">Table 3</w:t>
        </w:r>
      </w:hyperlink>
      <w:r>
        <w:t xml:space="preserve"> </w:t>
      </w:r>
      <w:r>
        <w:t xml:space="preserve">shows linear regression analysis charges is analyzed across all predictors.</w:t>
      </w:r>
    </w:p>
    <w:tbl>
      <w:tblPr>
        <w:tblStyle w:val="Table"/>
        <w:tblW w:type="pct" w:w="5000"/>
        <w:tblLayout w:type="fixed"/>
        <w:tblLook w:firstRow="0" w:lastRow="0" w:firstColumn="0" w:lastColumn="0" w:noHBand="0" w:noVBand="0" w:val="0000"/>
      </w:tblPr>
      <w:tblGrid>
        <w:gridCol w:w="7920"/>
      </w:tblGrid>
      <w:tr>
        <w:tc>
          <w:tcPr/>
          <w:bookmarkStart w:id="69" w:name="tbl-resulttable2"/>
          <w:p>
            <w:pPr>
              <w:jc w:val="center"/>
            </w:pPr>
            <w:pPr>
              <w:jc w:val="start"/>
              <w:spacing w:before="200"/>
              <w:pStyle w:val="ImageCaption"/>
            </w:pPr>
            <w:r>
              <w:t xml:space="preserve">Table 3: Linear Regression Analysis.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-1.184037e+04</w:t>
                  </w:r>
                </w:p>
              </w:tc>
              <w:tc>
                <w:tcPr/>
                <w:p>
                  <w:pPr>
                    <w:pStyle w:val="Compact"/>
                    <w:jc w:val="right"/>
                    <w:jc w:val="center"/>
                  </w:pPr>
                  <w:r>
                    <w:t xml:space="preserve">757.390243</w:t>
                  </w:r>
                </w:p>
              </w:tc>
              <w:tc>
                <w:tcPr/>
                <w:p>
                  <w:pPr>
                    <w:pStyle w:val="Compact"/>
                    <w:jc w:val="right"/>
                    <w:jc w:val="center"/>
                  </w:pPr>
                  <w:r>
                    <w:t xml:space="preserve">-15.6331202</w:t>
                  </w:r>
                </w:p>
              </w:tc>
              <w:tc>
                <w:tcPr/>
                <w:p>
                  <w:pPr>
                    <w:pStyle w:val="Compact"/>
                    <w:jc w:val="right"/>
                    <w:jc w:val="center"/>
                  </w:pPr>
                  <w:r>
                    <w:t xml:space="preserve">0.0000000</w:t>
                  </w:r>
                </w:p>
              </w:tc>
            </w:tr>
            <w:tr>
              <w:tc>
                <w:tcPr/>
                <w:p>
                  <w:pPr>
                    <w:pStyle w:val="Compact"/>
                    <w:jc w:val="left"/>
                    <w:jc w:val="center"/>
                  </w:pPr>
                  <w:r>
                    <w:t xml:space="preserve">age</w:t>
                  </w:r>
                </w:p>
              </w:tc>
              <w:tc>
                <w:tcPr/>
                <w:p>
                  <w:pPr>
                    <w:pStyle w:val="Compact"/>
                    <w:jc w:val="right"/>
                    <w:jc w:val="center"/>
                  </w:pPr>
                  <w:r>
                    <w:t xml:space="preserve">2.526119e+02</w:t>
                  </w:r>
                </w:p>
              </w:tc>
              <w:tc>
                <w:tcPr/>
                <w:p>
                  <w:pPr>
                    <w:pStyle w:val="Compact"/>
                    <w:jc w:val="right"/>
                    <w:jc w:val="center"/>
                  </w:pPr>
                  <w:r>
                    <w:t xml:space="preserve">9.072504</w:t>
                  </w:r>
                </w:p>
              </w:tc>
              <w:tc>
                <w:tcPr/>
                <w:p>
                  <w:pPr>
                    <w:pStyle w:val="Compact"/>
                    <w:jc w:val="right"/>
                    <w:jc w:val="center"/>
                  </w:pPr>
                  <w:r>
                    <w:t xml:space="preserve">27.8436841</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right"/>
                    <w:jc w:val="center"/>
                  </w:pPr>
                  <w:r>
                    <w:t xml:space="preserve">3.364993e+02</w:t>
                  </w:r>
                </w:p>
              </w:tc>
              <w:tc>
                <w:tcPr/>
                <w:p>
                  <w:pPr>
                    <w:pStyle w:val="Compact"/>
                    <w:jc w:val="right"/>
                    <w:jc w:val="center"/>
                  </w:pPr>
                  <w:r>
                    <w:t xml:space="preserve">21.859169</w:t>
                  </w:r>
                </w:p>
              </w:tc>
              <w:tc>
                <w:tcPr/>
                <w:p>
                  <w:pPr>
                    <w:pStyle w:val="Compact"/>
                    <w:jc w:val="right"/>
                    <w:jc w:val="center"/>
                  </w:pPr>
                  <w:r>
                    <w:t xml:space="preserve">15.3939664</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right"/>
                    <w:jc w:val="center"/>
                  </w:pPr>
                  <w:r>
                    <w:t xml:space="preserve">4.550461e+02</w:t>
                  </w:r>
                </w:p>
              </w:tc>
              <w:tc>
                <w:tcPr/>
                <w:p>
                  <w:pPr>
                    <w:pStyle w:val="Compact"/>
                    <w:jc w:val="right"/>
                    <w:jc w:val="center"/>
                  </w:pPr>
                  <w:r>
                    <w:t xml:space="preserve">105.022395</w:t>
                  </w:r>
                </w:p>
              </w:tc>
              <w:tc>
                <w:tcPr/>
                <w:p>
                  <w:pPr>
                    <w:pStyle w:val="Compact"/>
                    <w:jc w:val="right"/>
                    <w:jc w:val="center"/>
                  </w:pPr>
                  <w:r>
                    <w:t xml:space="preserve">4.3328479</w:t>
                  </w:r>
                </w:p>
              </w:tc>
              <w:tc>
                <w:tcPr/>
                <w:p>
                  <w:pPr>
                    <w:pStyle w:val="Compact"/>
                    <w:jc w:val="right"/>
                    <w:jc w:val="center"/>
                  </w:pPr>
                  <w:r>
                    <w:t xml:space="preserve">0.0000154</w:t>
                  </w:r>
                </w:p>
              </w:tc>
            </w:tr>
            <w:tr>
              <w:tc>
                <w:tcPr/>
                <w:p>
                  <w:pPr>
                    <w:pStyle w:val="Compact"/>
                    <w:jc w:val="left"/>
                    <w:jc w:val="center"/>
                  </w:pPr>
                  <w:r>
                    <w:t xml:space="preserve">sexmale</w:t>
                  </w:r>
                </w:p>
              </w:tc>
              <w:tc>
                <w:tcPr/>
                <w:p>
                  <w:pPr>
                    <w:pStyle w:val="Compact"/>
                    <w:jc w:val="right"/>
                    <w:jc w:val="center"/>
                  </w:pPr>
                  <w:r>
                    <w:t xml:space="preserve">8.252665e-01</w:t>
                  </w:r>
                </w:p>
              </w:tc>
              <w:tc>
                <w:tcPr/>
                <w:p>
                  <w:pPr>
                    <w:pStyle w:val="Compact"/>
                    <w:jc w:val="right"/>
                    <w:jc w:val="center"/>
                  </w:pPr>
                  <w:r>
                    <w:t xml:space="preserve">255.209406</w:t>
                  </w:r>
                </w:p>
              </w:tc>
              <w:tc>
                <w:tcPr/>
                <w:p>
                  <w:pPr>
                    <w:pStyle w:val="Compact"/>
                    <w:jc w:val="right"/>
                    <w:jc w:val="center"/>
                  </w:pPr>
                  <w:r>
                    <w:t xml:space="preserve">0.0032337</w:t>
                  </w:r>
                </w:p>
              </w:tc>
              <w:tc>
                <w:tcPr/>
                <w:p>
                  <w:pPr>
                    <w:pStyle w:val="Compact"/>
                    <w:jc w:val="right"/>
                    <w:jc w:val="center"/>
                  </w:pPr>
                  <w:r>
                    <w:t xml:space="preserve">0.9974202</w:t>
                  </w:r>
                </w:p>
              </w:tc>
            </w:tr>
            <w:tr>
              <w:tc>
                <w:tcPr/>
                <w:p>
                  <w:pPr>
                    <w:pStyle w:val="Compact"/>
                    <w:jc w:val="left"/>
                    <w:jc w:val="center"/>
                  </w:pPr>
                  <w:r>
                    <w:t xml:space="preserve">smokeryes</w:t>
                  </w:r>
                </w:p>
              </w:tc>
              <w:tc>
                <w:tcPr/>
                <w:p>
                  <w:pPr>
                    <w:pStyle w:val="Compact"/>
                    <w:jc w:val="right"/>
                    <w:jc w:val="center"/>
                  </w:pPr>
                  <w:r>
                    <w:t xml:space="preserve">2.415304e+04</w:t>
                  </w:r>
                </w:p>
              </w:tc>
              <w:tc>
                <w:tcPr/>
                <w:p>
                  <w:pPr>
                    <w:pStyle w:val="Compact"/>
                    <w:jc w:val="right"/>
                    <w:jc w:val="center"/>
                  </w:pPr>
                  <w:r>
                    <w:t xml:space="preserve">317.486710</w:t>
                  </w:r>
                </w:p>
              </w:tc>
              <w:tc>
                <w:tcPr/>
                <w:p>
                  <w:pPr>
                    <w:pStyle w:val="Compact"/>
                    <w:jc w:val="right"/>
                    <w:jc w:val="center"/>
                  </w:pPr>
                  <w:r>
                    <w:t xml:space="preserve">76.0757369</w:t>
                  </w:r>
                </w:p>
              </w:tc>
              <w:tc>
                <w:tcPr/>
                <w:p>
                  <w:pPr>
                    <w:pStyle w:val="Compact"/>
                    <w:jc w:val="right"/>
                    <w:jc w:val="center"/>
                  </w:pPr>
                  <w:r>
                    <w:t xml:space="preserve">0.0000000</w:t>
                  </w:r>
                </w:p>
              </w:tc>
            </w:tr>
            <w:tr>
              <w:tc>
                <w:tcPr/>
                <w:p>
                  <w:pPr>
                    <w:pStyle w:val="Compact"/>
                    <w:jc w:val="left"/>
                    <w:jc w:val="center"/>
                  </w:pPr>
                  <w:r>
                    <w:t xml:space="preserve">regionnorthwest</w:t>
                  </w:r>
                </w:p>
              </w:tc>
              <w:tc>
                <w:tcPr/>
                <w:p>
                  <w:pPr>
                    <w:pStyle w:val="Compact"/>
                    <w:jc w:val="right"/>
                    <w:jc w:val="center"/>
                  </w:pPr>
                  <w:r>
                    <w:t xml:space="preserve">-2.197996e+02</w:t>
                  </w:r>
                </w:p>
              </w:tc>
              <w:tc>
                <w:tcPr/>
                <w:p>
                  <w:pPr>
                    <w:pStyle w:val="Compact"/>
                    <w:jc w:val="right"/>
                    <w:jc w:val="center"/>
                  </w:pPr>
                  <w:r>
                    <w:t xml:space="preserve">368.749286</w:t>
                  </w:r>
                </w:p>
              </w:tc>
              <w:tc>
                <w:tcPr/>
                <w:p>
                  <w:pPr>
                    <w:pStyle w:val="Compact"/>
                    <w:jc w:val="right"/>
                    <w:jc w:val="center"/>
                  </w:pPr>
                  <w:r>
                    <w:t xml:space="preserve">-0.5960679</w:t>
                  </w:r>
                </w:p>
              </w:tc>
              <w:tc>
                <w:tcPr/>
                <w:p>
                  <w:pPr>
                    <w:pStyle w:val="Compact"/>
                    <w:jc w:val="right"/>
                    <w:jc w:val="center"/>
                  </w:pPr>
                  <w:r>
                    <w:t xml:space="preserve">0.5511909</w:t>
                  </w:r>
                </w:p>
              </w:tc>
            </w:tr>
            <w:tr>
              <w:tc>
                <w:tcPr/>
                <w:p>
                  <w:pPr>
                    <w:pStyle w:val="Compact"/>
                    <w:jc w:val="left"/>
                    <w:jc w:val="center"/>
                  </w:pPr>
                  <w:r>
                    <w:t xml:space="preserve">regionsoutheast</w:t>
                  </w:r>
                </w:p>
              </w:tc>
              <w:tc>
                <w:tcPr/>
                <w:p>
                  <w:pPr>
                    <w:pStyle w:val="Compact"/>
                    <w:jc w:val="right"/>
                    <w:jc w:val="center"/>
                  </w:pPr>
                  <w:r>
                    <w:t xml:space="preserve">-1.020635e+03</w:t>
                  </w:r>
                </w:p>
              </w:tc>
              <w:tc>
                <w:tcPr/>
                <w:p>
                  <w:pPr>
                    <w:pStyle w:val="Compact"/>
                    <w:jc w:val="right"/>
                    <w:jc w:val="center"/>
                  </w:pPr>
                  <w:r>
                    <w:t xml:space="preserve">369.922657</w:t>
                  </w:r>
                </w:p>
              </w:tc>
              <w:tc>
                <w:tcPr/>
                <w:p>
                  <w:pPr>
                    <w:pStyle w:val="Compact"/>
                    <w:jc w:val="right"/>
                    <w:jc w:val="center"/>
                  </w:pPr>
                  <w:r>
                    <w:t xml:space="preserve">-2.7590496</w:t>
                  </w:r>
                </w:p>
              </w:tc>
              <w:tc>
                <w:tcPr/>
                <w:p>
                  <w:pPr>
                    <w:pStyle w:val="Compact"/>
                    <w:jc w:val="right"/>
                    <w:jc w:val="center"/>
                  </w:pPr>
                  <w:r>
                    <w:t xml:space="preserve">0.0058447</w:t>
                  </w:r>
                </w:p>
              </w:tc>
            </w:tr>
            <w:tr>
              <w:tc>
                <w:tcPr/>
                <w:p>
                  <w:pPr>
                    <w:pStyle w:val="Compact"/>
                    <w:jc w:val="left"/>
                    <w:jc w:val="center"/>
                  </w:pPr>
                  <w:r>
                    <w:t xml:space="preserve">regionsouthwest</w:t>
                  </w:r>
                </w:p>
              </w:tc>
              <w:tc>
                <w:tcPr/>
                <w:p>
                  <w:pPr>
                    <w:pStyle w:val="Compact"/>
                    <w:jc w:val="right"/>
                    <w:jc w:val="center"/>
                  </w:pPr>
                  <w:r>
                    <w:t xml:space="preserve">-7.674076e+02</w:t>
                  </w:r>
                </w:p>
              </w:tc>
              <w:tc>
                <w:tcPr/>
                <w:p>
                  <w:pPr>
                    <w:pStyle w:val="Compact"/>
                    <w:jc w:val="right"/>
                    <w:jc w:val="center"/>
                  </w:pPr>
                  <w:r>
                    <w:t xml:space="preserve">366.387191</w:t>
                  </w:r>
                </w:p>
              </w:tc>
              <w:tc>
                <w:tcPr/>
                <w:p>
                  <w:pPr>
                    <w:pStyle w:val="Compact"/>
                    <w:jc w:val="right"/>
                    <w:jc w:val="center"/>
                  </w:pPr>
                  <w:r>
                    <w:t xml:space="preserve">-2.0945263</w:t>
                  </w:r>
                </w:p>
              </w:tc>
              <w:tc>
                <w:tcPr/>
                <w:p>
                  <w:pPr>
                    <w:pStyle w:val="Compact"/>
                    <w:jc w:val="right"/>
                    <w:jc w:val="center"/>
                  </w:pPr>
                  <w:r>
                    <w:t xml:space="preserve">0.0363267</w:t>
                  </w:r>
                </w:p>
              </w:tc>
            </w:tr>
          </w:tbl>
          <w:bookmarkEnd w:id="69"/>
          <w:p/>
        </w:tc>
      </w:tr>
    </w:tbl>
    <w:p>
      <w:pPr>
        <w:pStyle w:val="BodyText"/>
      </w:pPr>
      <w:hyperlink w:anchor="fig-linear">
        <w:r>
          <w:rPr>
            <w:rStyle w:val="Hyperlink"/>
          </w:rPr>
          <w:t xml:space="preserve">Figure 9</w:t>
        </w:r>
      </w:hyperlink>
      <w:r>
        <w:t xml:space="preserve"> </w:t>
      </w:r>
      <w:r>
        <w:t xml:space="preserve">helps visualize which features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3" w:name="fig-linear"/>
          <w:p>
            <w:pPr>
              <w:pStyle w:val="Compact"/>
              <w:jc w:val="center"/>
            </w:pPr>
            <w:r>
              <w:drawing>
                <wp:inline>
                  <wp:extent cx="5334000" cy="5071482"/>
                  <wp:effectExtent b="0" l="0" r="0" t="0"/>
                  <wp:docPr descr="" title="" id="71" name="Picture"/>
                  <a:graphic>
                    <a:graphicData uri="http://schemas.openxmlformats.org/drawingml/2006/picture">
                      <pic:pic>
                        <pic:nvPicPr>
                          <pic:cNvPr descr="../../results/figures/linear_regression_plot.png" id="72" name="Picture"/>
                          <pic:cNvPicPr>
                            <a:picLocks noChangeArrowheads="1" noChangeAspect="1"/>
                          </pic:cNvPicPr>
                        </pic:nvPicPr>
                        <pic:blipFill>
                          <a:blip r:embed="rId70"/>
                          <a:stretch>
                            <a:fillRect/>
                          </a:stretch>
                        </pic:blipFill>
                        <pic:spPr bwMode="auto">
                          <a:xfrm>
                            <a:off x="0" y="0"/>
                            <a:ext cx="5334000" cy="5071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Linear Regression Coefficients.</w:t>
            </w:r>
          </w:p>
          <w:bookmarkEnd w:id="73"/>
        </w:tc>
      </w:tr>
    </w:tbl>
    <w:p>
      <w:pPr>
        <w:pStyle w:val="BodyText"/>
      </w:pPr>
      <w:hyperlink w:anchor="tbl-resulttable3">
        <w:r>
          <w:rPr>
            <w:rStyle w:val="Hyperlink"/>
          </w:rPr>
          <w:t xml:space="preserve">Table 4</w:t>
        </w:r>
      </w:hyperlink>
      <w:r>
        <w:t xml:space="preserve"> </w:t>
      </w:r>
      <w:r>
        <w:t xml:space="preserve">helps to capture complex interaction between features.</w:t>
      </w:r>
    </w:p>
    <w:tbl>
      <w:tblPr>
        <w:tblStyle w:val="Table"/>
        <w:tblW w:type="pct" w:w="5000"/>
        <w:tblLayout w:type="fixed"/>
        <w:tblLook w:firstRow="0" w:lastRow="0" w:firstColumn="0" w:lastColumn="0" w:noHBand="0" w:noVBand="0" w:val="0000"/>
      </w:tblPr>
      <w:tblGrid>
        <w:gridCol w:w="7920"/>
      </w:tblGrid>
      <w:tr>
        <w:tc>
          <w:tcPr/>
          <w:bookmarkStart w:id="74" w:name="tbl-resulttable3"/>
          <w:p>
            <w:pPr>
              <w:jc w:val="center"/>
            </w:pPr>
            <w:pPr>
              <w:jc w:val="start"/>
              <w:spacing w:before="200"/>
              <w:pStyle w:val="ImageCaption"/>
            </w:pPr>
            <w:r>
              <w:t xml:space="preserve">Table 4: Random Forest Analysis.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Feature</w:t>
                  </w:r>
                </w:p>
              </w:tc>
              <w:tc>
                <w:tcPr/>
                <w:p>
                  <w:pPr>
                    <w:pStyle w:val="Compact"/>
                    <w:jc w:val="right"/>
                    <w:jc w:val="center"/>
                  </w:pPr>
                  <w:r>
                    <w:t xml:space="preserve">Importance</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41276698254</w:t>
                  </w:r>
                </w:p>
              </w:tc>
            </w:tr>
            <w:tr>
              <w:tc>
                <w:tcPr/>
                <w:p>
                  <w:pPr>
                    <w:pStyle w:val="Compact"/>
                    <w:jc w:val="left"/>
                    <w:jc w:val="center"/>
                  </w:pPr>
                  <w:r>
                    <w:t xml:space="preserve">sex</w:t>
                  </w:r>
                </w:p>
              </w:tc>
              <w:tc>
                <w:tcPr/>
                <w:p>
                  <w:pPr>
                    <w:pStyle w:val="Compact"/>
                    <w:jc w:val="left"/>
                    <w:jc w:val="center"/>
                  </w:pPr>
                  <w:r>
                    <w:t xml:space="preserve">sex</w:t>
                  </w:r>
                </w:p>
              </w:tc>
              <w:tc>
                <w:tcPr/>
                <w:p>
                  <w:pPr>
                    <w:pStyle w:val="Compact"/>
                    <w:jc w:val="right"/>
                    <w:jc w:val="center"/>
                  </w:pPr>
                  <w:r>
                    <w:t xml:space="preserve">2333500565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45657041834</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6364617046</w:t>
                  </w:r>
                </w:p>
              </w:tc>
            </w:tr>
            <w:tr>
              <w:tc>
                <w:tcPr/>
                <w:p>
                  <w:pPr>
                    <w:pStyle w:val="Compact"/>
                    <w:jc w:val="left"/>
                    <w:jc w:val="center"/>
                  </w:pPr>
                  <w:r>
                    <w:t xml:space="preserve">smoker</w:t>
                  </w:r>
                </w:p>
              </w:tc>
              <w:tc>
                <w:tcPr/>
                <w:p>
                  <w:pPr>
                    <w:pStyle w:val="Compact"/>
                    <w:jc w:val="left"/>
                    <w:jc w:val="center"/>
                  </w:pPr>
                  <w:r>
                    <w:t xml:space="preserve">smoker</w:t>
                  </w:r>
                </w:p>
              </w:tc>
              <w:tc>
                <w:tcPr/>
                <w:p>
                  <w:pPr>
                    <w:pStyle w:val="Compact"/>
                    <w:jc w:val="right"/>
                    <w:jc w:val="center"/>
                  </w:pPr>
                  <w:r>
                    <w:t xml:space="preserve">205835757547</w:t>
                  </w:r>
                </w:p>
              </w:tc>
            </w:tr>
            <w:tr>
              <w:tc>
                <w:tcPr/>
                <w:p>
                  <w:pPr>
                    <w:pStyle w:val="Compact"/>
                    <w:jc w:val="left"/>
                    <w:jc w:val="center"/>
                  </w:pPr>
                  <w:r>
                    <w:t xml:space="preserve">region</w:t>
                  </w:r>
                </w:p>
              </w:tc>
              <w:tc>
                <w:tcPr/>
                <w:p>
                  <w:pPr>
                    <w:pStyle w:val="Compact"/>
                    <w:jc w:val="left"/>
                    <w:jc w:val="center"/>
                  </w:pPr>
                  <w:r>
                    <w:t xml:space="preserve">region</w:t>
                  </w:r>
                </w:p>
              </w:tc>
              <w:tc>
                <w:tcPr/>
                <w:p>
                  <w:pPr>
                    <w:pStyle w:val="Compact"/>
                    <w:jc w:val="right"/>
                    <w:jc w:val="center"/>
                  </w:pPr>
                  <w:r>
                    <w:t xml:space="preserve">6128386015</w:t>
                  </w:r>
                </w:p>
              </w:tc>
            </w:tr>
          </w:tbl>
          <w:bookmarkEnd w:id="74"/>
          <w:p/>
        </w:tc>
      </w:tr>
    </w:tbl>
    <w:p>
      <w:pPr>
        <w:pStyle w:val="BodyText"/>
      </w:pPr>
      <w:hyperlink w:anchor="fig-randomforest">
        <w:r>
          <w:rPr>
            <w:rStyle w:val="Hyperlink"/>
          </w:rPr>
          <w:t xml:space="preserve">Figure 10</w:t>
        </w:r>
      </w:hyperlink>
      <w:r>
        <w:t xml:space="preserve"> </w:t>
      </w:r>
      <w:r>
        <w:t xml:space="preserve">helps visualize how each feature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8" w:name="fig-randomforest"/>
          <w:p>
            <w:pPr>
              <w:pStyle w:val="Compact"/>
              <w:jc w:val="center"/>
            </w:pPr>
            <w:r>
              <w:drawing>
                <wp:inline>
                  <wp:extent cx="5334000" cy="5334000"/>
                  <wp:effectExtent b="0" l="0" r="0" t="0"/>
                  <wp:docPr descr="" title="" id="76" name="Picture"/>
                  <a:graphic>
                    <a:graphicData uri="http://schemas.openxmlformats.org/drawingml/2006/picture">
                      <pic:pic>
                        <pic:nvPicPr>
                          <pic:cNvPr descr="../../results/figures/random_forest_importance_plot.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Random Forest Feature Importance.</w:t>
            </w:r>
          </w:p>
          <w:bookmarkEnd w:id="78"/>
        </w:tc>
      </w:tr>
    </w:tbl>
    <w:p>
      <w:r>
        <w:br w:type="page"/>
      </w:r>
    </w:p>
    <w:bookmarkEnd w:id="79"/>
    <w:bookmarkEnd w:id="80"/>
    <w:bookmarkStart w:id="85" w:name="discussion"/>
    <w:p>
      <w:pPr>
        <w:pStyle w:val="Heading1"/>
      </w:pPr>
      <w:r>
        <w:t xml:space="preserve">5. Discussion</w:t>
      </w:r>
    </w:p>
    <w:bookmarkStart w:id="81" w:name="summary-and-interpretation"/>
    <w:p>
      <w:pPr>
        <w:pStyle w:val="Heading2"/>
      </w:pPr>
      <w:r>
        <w:t xml:space="preserve">5.1 Summary and Interpretation</w:t>
      </w:r>
    </w:p>
    <w:p>
      <w:pPr>
        <w:pStyle w:val="FirstParagraph"/>
      </w:pPr>
      <w:r>
        <w:rPr>
          <w:i/>
          <w:iCs/>
        </w:rPr>
        <w:t xml:space="preserve">Summarize what you did, what you found and what it means.</w:t>
      </w:r>
    </w:p>
    <w:bookmarkEnd w:id="81"/>
    <w:bookmarkStart w:id="82" w:name="strengths-and-limitations"/>
    <w:p>
      <w:pPr>
        <w:pStyle w:val="Heading2"/>
      </w:pPr>
      <w:r>
        <w:t xml:space="preserve">5.2 Strengths and Limitations</w:t>
      </w:r>
    </w:p>
    <w:p>
      <w:pPr>
        <w:pStyle w:val="FirstParagraph"/>
      </w:pPr>
      <w:r>
        <w:rPr>
          <w:i/>
          <w:iCs/>
        </w:rPr>
        <w:t xml:space="preserve">Discuss what you perceive as strengths and limitations of your analysis.</w:t>
      </w:r>
    </w:p>
    <w:bookmarkEnd w:id="82"/>
    <w:bookmarkStart w:id="84" w:name="conclusions"/>
    <w:p>
      <w:pPr>
        <w:pStyle w:val="Heading2"/>
      </w:pPr>
      <w:r>
        <w:t xml:space="preserve">5.3 Conclusions</w:t>
      </w:r>
    </w:p>
    <w:p>
      <w:pPr>
        <w:pStyle w:val="FirstParagraph"/>
      </w:pPr>
      <w:r>
        <w:rPr>
          <w:i/>
          <w:iCs/>
        </w:rPr>
        <w:t xml:space="preserve">What are the main take-home messages?</w:t>
      </w:r>
    </w:p>
    <w:p>
      <w:pPr>
        <w:pStyle w:val="BodyText"/>
      </w:pPr>
      <w:r>
        <w:rPr>
          <w:i/>
          <w:iCs/>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These papers</w:t>
      </w:r>
      <w:r>
        <w:t xml:space="preserve"> </w:t>
      </w:r>
      <w:r>
        <w:t xml:space="preserve">(McKay, Ebell, Billings, et al., 2020; McKay, Ebell, Dale, Shen, &amp; Handel, 2020)</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83">
        <w:r>
          <w:rPr>
            <w:rStyle w:val="Hyperlink"/>
          </w:rPr>
          <w:t xml:space="preserve">are available</w:t>
        </w:r>
      </w:hyperlink>
      <w:r>
        <w:t xml:space="preserve">. You also specify the location of your bibtex reference file in the YAML. You can call your reference file anything you like.</w:t>
      </w:r>
    </w:p>
    <w:p>
      <w:r>
        <w:br w:type="page"/>
      </w:r>
    </w:p>
    <w:bookmarkEnd w:id="84"/>
    <w:bookmarkEnd w:id="85"/>
    <w:bookmarkStart w:id="93" w:name="references"/>
    <w:p>
      <w:pPr>
        <w:pStyle w:val="Heading1"/>
      </w:pPr>
      <w:r>
        <w:t xml:space="preserve">6. References</w:t>
      </w:r>
    </w:p>
    <w:bookmarkStart w:id="92" w:name="refs"/>
    <w:bookmarkStart w:id="87" w:name="ref-leek2015"/>
    <w:p>
      <w:pPr>
        <w:pStyle w:val="Bibliography"/>
      </w:pPr>
      <w:r>
        <w:t xml:space="preserve">Leek, J. T., &amp; Peng, R. D. (2015). Statistics.</w:t>
      </w:r>
      <w:r>
        <w:t xml:space="preserve"> </w:t>
      </w:r>
      <w:r>
        <w:t xml:space="preserve">What</w:t>
      </w:r>
      <w:r>
        <w:t xml:space="preserve"> </w:t>
      </w:r>
      <w:r>
        <w:t xml:space="preserve">is the question?</w:t>
      </w:r>
      <w:r>
        <w:t xml:space="preserve"> </w:t>
      </w:r>
      <w:r>
        <w:rPr>
          <w:i/>
          <w:iCs/>
        </w:rPr>
        <w:t xml:space="preserve">Science (New York, N.Y.)</w:t>
      </w:r>
      <w:r>
        <w:t xml:space="preserve">,</w:t>
      </w:r>
      <w:r>
        <w:t xml:space="preserve"> </w:t>
      </w:r>
      <w:r>
        <w:rPr>
          <w:i/>
          <w:iCs/>
        </w:rPr>
        <w:t xml:space="preserve">347</w:t>
      </w:r>
      <w:r>
        <w:t xml:space="preserve">(6228), 1314–1315.</w:t>
      </w:r>
      <w:r>
        <w:t xml:space="preserve"> </w:t>
      </w:r>
      <w:hyperlink r:id="rId86">
        <w:r>
          <w:rPr>
            <w:rStyle w:val="Hyperlink"/>
          </w:rPr>
          <w:t xml:space="preserve">https://doi.org/10.1126/science.aaa6146</w:t>
        </w:r>
      </w:hyperlink>
    </w:p>
    <w:bookmarkEnd w:id="87"/>
    <w:bookmarkStart w:id="89" w:name="ref-mckay2020"/>
    <w:p>
      <w:pPr>
        <w:pStyle w:val="Bibliography"/>
      </w:pPr>
      <w:r>
        <w:t xml:space="preserve">McKay, B., Ebell, M., Billings, W. Z., Dale, A. P., Shen, Y., &amp; Handel, A. (2020). Associations</w:t>
      </w:r>
      <w:r>
        <w:t xml:space="preserve"> </w:t>
      </w:r>
      <w:r>
        <w:t xml:space="preserve">Between Relative Viral Load</w:t>
      </w:r>
      <w:r>
        <w:t xml:space="preserve"> </w:t>
      </w:r>
      <w:r>
        <w:t xml:space="preserve">at</w:t>
      </w:r>
      <w:r>
        <w:t xml:space="preserve"> </w:t>
      </w:r>
      <w:r>
        <w:t xml:space="preserve">Diagnosis</w:t>
      </w:r>
      <w:r>
        <w:t xml:space="preserve"> </w:t>
      </w:r>
      <w:r>
        <w:t xml:space="preserve">and</w:t>
      </w:r>
      <w:r>
        <w:t xml:space="preserve"> </w:t>
      </w:r>
      <w:r>
        <w:t xml:space="preserve">Influenza A Symptoms</w:t>
      </w:r>
      <w:r>
        <w:t xml:space="preserve"> </w:t>
      </w:r>
      <w:r>
        <w:t xml:space="preserve">and</w:t>
      </w:r>
      <w:r>
        <w:t xml:space="preserve"> </w:t>
      </w:r>
      <w:r>
        <w:t xml:space="preserve">Recovery</w:t>
      </w:r>
      <w:r>
        <w:t xml:space="preserve">.</w:t>
      </w:r>
      <w:r>
        <w:t xml:space="preserve"> </w:t>
      </w:r>
      <w:r>
        <w:rPr>
          <w:i/>
          <w:iCs/>
        </w:rPr>
        <w:t xml:space="preserve">Open Forum Infectious Diseases</w:t>
      </w:r>
      <w:r>
        <w:t xml:space="preserve">,</w:t>
      </w:r>
      <w:r>
        <w:t xml:space="preserve"> </w:t>
      </w:r>
      <w:r>
        <w:rPr>
          <w:i/>
          <w:iCs/>
        </w:rPr>
        <w:t xml:space="preserve">7</w:t>
      </w:r>
      <w:r>
        <w:t xml:space="preserve">(11), ofaa494.</w:t>
      </w:r>
      <w:r>
        <w:t xml:space="preserve"> </w:t>
      </w:r>
      <w:hyperlink r:id="rId88">
        <w:r>
          <w:rPr>
            <w:rStyle w:val="Hyperlink"/>
          </w:rPr>
          <w:t xml:space="preserve">https://doi.org/10.1093/ofid/ofaa494</w:t>
        </w:r>
      </w:hyperlink>
    </w:p>
    <w:bookmarkEnd w:id="89"/>
    <w:bookmarkStart w:id="91" w:name="ref-mckay2020a"/>
    <w:p>
      <w:pPr>
        <w:pStyle w:val="Bibliography"/>
      </w:pPr>
      <w:r>
        <w:t xml:space="preserve">McKay, B., Ebell, M., Dale, A. P., Shen, Y., &amp; Handel, A. (2020). Virulence-mediated infectiousness and activity trade-offs and their impact on transmission potential of influenza patients.</w:t>
      </w:r>
      <w:r>
        <w:t xml:space="preserve"> </w:t>
      </w:r>
      <w:r>
        <w:rPr>
          <w:i/>
          <w:iCs/>
        </w:rPr>
        <w:t xml:space="preserve">Proceedings. Biological Sciences</w:t>
      </w:r>
      <w:r>
        <w:t xml:space="preserve">,</w:t>
      </w:r>
      <w:r>
        <w:t xml:space="preserve"> </w:t>
      </w:r>
      <w:r>
        <w:rPr>
          <w:i/>
          <w:iCs/>
        </w:rPr>
        <w:t xml:space="preserve">287</w:t>
      </w:r>
      <w:r>
        <w:t xml:space="preserve">(1927), 20200496.</w:t>
      </w:r>
      <w:r>
        <w:t xml:space="preserve"> </w:t>
      </w:r>
      <w:hyperlink r:id="rId90">
        <w:r>
          <w:rPr>
            <w:rStyle w:val="Hyperlink"/>
          </w:rPr>
          <w:t xml:space="preserve">https://doi.org/10.1098/rspb.2020.0496</w:t>
        </w:r>
      </w:hyperlink>
    </w:p>
    <w:bookmarkEnd w:id="91"/>
    <w:bookmarkEnd w:id="92"/>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hyperlink" Id="rId88" Target="https://doi.org/10.1093/ofid/ofaa494" TargetMode="External" /><Relationship Type="http://schemas.openxmlformats.org/officeDocument/2006/relationships/hyperlink" Id="rId90" Target="https://doi.org/10.1098/rspb.2020.0496" TargetMode="External" /><Relationship Type="http://schemas.openxmlformats.org/officeDocument/2006/relationships/hyperlink" Id="rId86" Target="https://doi.org/10.1126/science.aaa6146" TargetMode="External" /><Relationship Type="http://schemas.openxmlformats.org/officeDocument/2006/relationships/hyperlink" Id="rId29" Target="https://www.kaggle.com/datasets/rahulvyasm/medical-insurance-cost-prediction" TargetMode="External" /><Relationship Type="http://schemas.openxmlformats.org/officeDocument/2006/relationships/hyperlink" Id="rId83"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1093/ofid/ofaa494" TargetMode="External" /><Relationship Type="http://schemas.openxmlformats.org/officeDocument/2006/relationships/hyperlink" Id="rId90" Target="https://doi.org/10.1098/rspb.2020.0496" TargetMode="External" /><Relationship Type="http://schemas.openxmlformats.org/officeDocument/2006/relationships/hyperlink" Id="rId86" Target="https://doi.org/10.1126/science.aaa6146" TargetMode="External" /><Relationship Type="http://schemas.openxmlformats.org/officeDocument/2006/relationships/hyperlink" Id="rId29" Target="https://www.kaggle.com/datasets/rahulvyasm/medical-insurance-cost-prediction" TargetMode="External" /><Relationship Type="http://schemas.openxmlformats.org/officeDocument/2006/relationships/hyperlink" Id="rId83"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Rinu Thomas</dc:creator>
  <cp:keywords/>
  <dcterms:created xsi:type="dcterms:W3CDTF">2024-06-22T14:08:09Z</dcterms:created>
  <dcterms:modified xsi:type="dcterms:W3CDTF">2024-06-22T14:08:09Z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2024-06-22</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DA-6833</vt:lpwstr>
  </property>
  <property fmtid="{D5CDD505-2E9C-101B-9397-08002B2CF9AE}" pid="13" name="toc-title">
    <vt:lpwstr>Table of contents</vt:lpwstr>
  </property>
</Properties>
</file>