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CADEIRAS DE RODA PARA CADA ESPORTE PARALÍMPICO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ATLETISMO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Provas de corridas de velocidade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Categoria: </w:t>
      </w:r>
      <w:r w:rsidDel="00000000" w:rsidR="00000000" w:rsidRPr="00000000">
        <w:rPr>
          <w:i w:val="1"/>
          <w:sz w:val="20"/>
          <w:szCs w:val="20"/>
          <w:rtl w:val="0"/>
        </w:rPr>
        <w:t xml:space="preserve">T51 a T54 –</w:t>
      </w:r>
      <w:r w:rsidDel="00000000" w:rsidR="00000000" w:rsidRPr="00000000">
        <w:rPr>
          <w:sz w:val="20"/>
          <w:szCs w:val="20"/>
          <w:rtl w:val="0"/>
        </w:rPr>
        <w:t xml:space="preserve"> competem em cadeiras (sequelas de poliomielite, lesões medulares e amputações)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Atletismo.jpg" id="5" name="image12.jpg"/>
            <a:graphic>
              <a:graphicData uri="http://schemas.openxmlformats.org/drawingml/2006/picture">
                <pic:pic>
                  <pic:nvPicPr>
                    <pic:cNvPr descr="CadeiraAtletismo.jpg"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em alumínio liga 6061 – T6 F, NORMALIZADA, sob medida;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Cockpit moldado às especificidades do atleta. Quesito fundamental para o mesmo atinja a melhor performance, imprescindível a presença de profissional especializado no assunto para execução da tarefa de modelagem;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Proteção lateral integral anatômica;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Design em V, Y iy U;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Eixo transversal reto de precisão, ângulo de cambagem definido por mancais em alumínio temperado que permite substituição, sistema de bucha em metal nobre temperado retificado com precisão H7;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traseira em fibra de carbono com aro propulsor específica para cadeira de rodas de atletismo, pneu tubular 700;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Pistão de controle da roda dianteira blindado com acionamento de precisão;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dianteira 20 X 1, cubo em alumínio com rolamento de precisão para velocidade;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Possuí roda de carbono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Basquete.jpg" id="4" name="image11.jpg"/>
            <a:graphic>
              <a:graphicData uri="http://schemas.openxmlformats.org/drawingml/2006/picture">
                <pic:pic>
                  <pic:nvPicPr>
                    <pic:cNvPr descr="CadeiraBasquete.jpg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Basquete3.jpg" id="3" name="image10.jpg"/>
            <a:graphic>
              <a:graphicData uri="http://schemas.openxmlformats.org/drawingml/2006/picture">
                <pic:pic>
                  <pic:nvPicPr>
                    <pic:cNvPr descr="CadeiraBasquete3.jpg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em alumínio liga 7075 T-6;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Ant-tip regulável em altura de solo;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Barbatana semicircular conforme norma internacional;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Cockpit sob medida digitalizado.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Eixo transversal reto: sistema de receptores Nord-Lock, sistema de calibração para alinhamento e abertura lateral das rodas traseiras, sistema de troca rápida do angulo de cambagem, base de recepção do eixo quick release em APT;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traseira: eixo quick release ½’’ em APT, cubo em alumínio monobloco com rolamento de competição, raiação inox ou de carbono, aro aero, folha dupla específico para competição, pneus de competição (7/8 – 540) ou (7/8 – 590) com capacidade para 160 psi;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Apoio de pé tipo plataforma moldado ao atleta com regulagem de altura e estrutura monobloco, fixadores de faixa encaixe moldado ao atleta;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dianteira: roda 72 mm em poliuretano garfo monobloco com base de rolamento, duplo inserido, sistema de eixo horizontal e vertical Nord-Lock para alto rendimento;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Estofamento em nylon com fibra, almofada extra-light alta densidade;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Acabamento em pintura eletrostática, cor a definir;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Chassi com proteção contra risco de quadra conforme regras da CBBC;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RUGBY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RugbyAtaque.jpg" id="8" name="image15.jpg"/>
            <a:graphic>
              <a:graphicData uri="http://schemas.openxmlformats.org/drawingml/2006/picture">
                <pic:pic>
                  <pic:nvPicPr>
                    <pic:cNvPr descr="CadeiraRugbyAtaque.jpg"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rígida em alumínio aeronáuticas, moldadas as especificidades do atleta;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Eixo transversal com cambagem e centro de gravidade específico;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traseiras montadas com aro de alumínio de competição (24, 25, ou 26").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dianteiras de 72 mm em poliuretano, com rolamento blindado, garfo de alumínio, eixo vertical de aço, cubo dianteiro montado com rolamento blindado;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Pedal ajustável na altura;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Protetor lateral de roupa;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anti-tip;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Estofamento em nylon, com faixas de reforço que permite o perfeito ajuste, almofada de 5 cm de espessura de alta densidade incorporada;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Acabamento em pintura eletrostática.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traseiras spinergy são opcionais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RugbyDefesa.jpg" id="2" name="image06.jpg"/>
            <a:graphic>
              <a:graphicData uri="http://schemas.openxmlformats.org/drawingml/2006/picture">
                <pic:pic>
                  <pic:nvPicPr>
                    <pic:cNvPr descr="CadeiraRugbyDefesa.jpg" id="0" name="image0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rígida em alumínio aeronáuticas, moldadas as especificidades do atleta;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Eixo transversal com cambagem e centro de gravidade específico;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traseiras montadas com aro de alumínio de competição (24, 25, ou 26").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dianteiras de 72 mm em poliuretano, com rolamento blindado, garfo de alumínio, eixo vertical de aço, cubo dianteiro montado com rolamento blindado;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Pedal ajustável na altura;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Protetor lateral de roupa;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anti-tip;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Estofamento em nylon, com faixas de reforço que permite o perfeito ajuste, almofada de 5 cm de espessura de alta densidade incorporada;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Acabamento em pintura eletrostática.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traseiras spinergy são opcionais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TÊNIS DE MESA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47875" cy="1857375"/>
            <wp:effectExtent b="0" l="0" r="0" t="0"/>
            <wp:docPr descr="CadeiraTenisdeMesa.jpg" id="7" name="image14.jpg"/>
            <a:graphic>
              <a:graphicData uri="http://schemas.openxmlformats.org/drawingml/2006/picture">
                <pic:pic>
                  <pic:nvPicPr>
                    <pic:cNvPr descr="CadeiraTenisdeMesa.jpg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em alumínio liga 7075 T-6;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Ant-tip regulável em altura de solo;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Cockpit sob medida digitalizado.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Eixo transversal reto: sistema de receptores Nord-Lock, sistema de calibração para alinhamento e abertura lateral das rodas traseiras, sistema de troca rápida do angulo de cambagem, base de recepção do eixo quick release em APT;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traseira: eixo quick release ½’’ em APT, cubo em alumínio monobloco com rolamento de competição, raiação inox ou de carbono, aro aero, folha dupla específico para competição, pneus de competição (7/8 – 540) ou (7/8 – 590) com capacidade para 160 psi;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Apoio de pé tipo plataforma moldado ao atleta com regulagem de altura e estrutura monobloco, fixadores de faixa encaixe moldado ao atleta;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dianteira: roda 72 mm em poliuretano garfo monobloco com base de rolamento, duplo inserido, sistema de eixo horizontal e vertical Nord-Lock para alto rendimento;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Estofamento em nylon com fibra, almofada extra-light alta densidade;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Acabamento em pintura eletrostática, cor a definir;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ESGRIMA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Esgrima.jpg" id="6" name="image13.jpg"/>
            <a:graphic>
              <a:graphicData uri="http://schemas.openxmlformats.org/drawingml/2006/picture">
                <pic:pic>
                  <pic:nvPicPr>
                    <pic:cNvPr descr="CadeiraEsgrima.jpg"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em alumínio liga 6061 – T6 F, NORMALIZADA, sob medida, com ant-tip regulável;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Eixo transversal reto, mancal de recepção do quick-release em alumínio com alma em aço liga com precisão;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Conjunto Roda traseira – montada em aro de alumínio aero perfil leve específico para competição reforçado (24” ou 26”);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Apoio de pé tipo plataforma com regulagem de altura, apoio lateral com regulagem e estrutura monobloco;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Conjunto Roda dianteira – roda em poliuretano,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Estofamento em nylon 420, com almofada em poliuretano alta densidade;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TÊNIS EM CADEIRA DE RODAS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52700" cy="1857375"/>
            <wp:effectExtent b="0" l="0" r="0" t="0"/>
            <wp:docPr descr="CadeiraTenisemCadeira.jpg" id="1" name="image05.jpg"/>
            <a:graphic>
              <a:graphicData uri="http://schemas.openxmlformats.org/drawingml/2006/picture">
                <pic:pic>
                  <pic:nvPicPr>
                    <pic:cNvPr descr="CadeiraTenisemCadeira.jpg" id="0" name="image0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Estrutura em alumínio liga 6061 – T6 F, NORMALIZADA, sob medida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Conjunto Roda traseira – montada em aro de alumínio aero perfil leve específico para competição reforçado (24” ou 26”)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Apoio de pé tipo plataforma com regulagem de altura e estrutura monobloco;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 dianteira em poliuretano.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Estofamento em nylon 420, com almofada em poliuretano alta densidade;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Acabamento em pintura eletrostática, cor a definir;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Chassi com proteção contra risco de quadra conforme regras da CBTM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Rodas traseiras spinergy são opcionais;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http://www.alphamix.com.br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14.jpg"/><Relationship Id="rId13" Type="http://schemas.openxmlformats.org/officeDocument/2006/relationships/hyperlink" Target="http://www.alphamix.com.br" TargetMode="External"/><Relationship Id="rId12" Type="http://schemas.openxmlformats.org/officeDocument/2006/relationships/image" Target="media/image05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jpg"/><Relationship Id="rId5" Type="http://schemas.openxmlformats.org/officeDocument/2006/relationships/image" Target="media/image12.jpg"/><Relationship Id="rId6" Type="http://schemas.openxmlformats.org/officeDocument/2006/relationships/image" Target="media/image11.jpg"/><Relationship Id="rId7" Type="http://schemas.openxmlformats.org/officeDocument/2006/relationships/image" Target="media/image10.jpg"/><Relationship Id="rId8" Type="http://schemas.openxmlformats.org/officeDocument/2006/relationships/image" Target="media/image15.jpg"/></Relationships>
</file>