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15A" w:rsidRPr="000D0E10" w:rsidRDefault="007A315A" w:rsidP="007A315A">
      <w:pPr>
        <w:pStyle w:val="NormalWeb"/>
        <w:spacing w:before="0" w:beforeAutospacing="0" w:after="0" w:afterAutospacing="0"/>
        <w:jc w:val="both"/>
        <w:rPr>
          <w:rFonts w:ascii="Calibri" w:hAnsi="Calibri"/>
          <w:b/>
        </w:rPr>
      </w:pPr>
      <w:r w:rsidRPr="000D0E10">
        <w:rPr>
          <w:rFonts w:ascii="Calibri" w:hAnsi="Calibri"/>
          <w:b/>
        </w:rPr>
        <w:t>TÊNIS DE MESA</w:t>
      </w:r>
    </w:p>
    <w:p w:rsidR="007A315A" w:rsidRPr="000D0E10" w:rsidRDefault="007A315A" w:rsidP="007A315A">
      <w:pPr>
        <w:pStyle w:val="NormalWeb"/>
        <w:spacing w:before="0" w:beforeAutospacing="0" w:after="0" w:afterAutospacing="0"/>
        <w:jc w:val="both"/>
        <w:rPr>
          <w:rFonts w:ascii="Calibri" w:hAnsi="Calibri"/>
        </w:rPr>
      </w:pPr>
      <w:r w:rsidRPr="000D0E10">
        <w:rPr>
          <w:rFonts w:ascii="Calibri" w:hAnsi="Calibri"/>
        </w:rPr>
        <w:t xml:space="preserve">O tênis de mesa é um dos poucos esportes a integrar o programa dos Jogos </w:t>
      </w:r>
      <w:proofErr w:type="spellStart"/>
      <w:r w:rsidRPr="000D0E10">
        <w:rPr>
          <w:rFonts w:ascii="Calibri" w:hAnsi="Calibri"/>
        </w:rPr>
        <w:t>Paralímpicos</w:t>
      </w:r>
      <w:proofErr w:type="spellEnd"/>
      <w:r w:rsidRPr="000D0E10">
        <w:rPr>
          <w:rFonts w:ascii="Calibri" w:hAnsi="Calibri"/>
        </w:rPr>
        <w:t xml:space="preserve"> desde a primeira edição, em Roma 1960, com competições masculinas e femininas. As regras e a dinâmica do jogo são semelhantes às da disciplina convencional, com exceção do saque.</w:t>
      </w:r>
    </w:p>
    <w:p w:rsidR="007A315A" w:rsidRPr="000D0E10" w:rsidRDefault="007A315A" w:rsidP="007A315A">
      <w:pPr>
        <w:pStyle w:val="NormalWeb"/>
        <w:spacing w:before="0" w:beforeAutospacing="0" w:after="0" w:afterAutospacing="0"/>
        <w:jc w:val="both"/>
        <w:rPr>
          <w:rFonts w:ascii="Calibri" w:hAnsi="Calibri"/>
        </w:rPr>
      </w:pPr>
    </w:p>
    <w:p w:rsidR="007A315A" w:rsidRPr="000D0E10" w:rsidRDefault="007A315A" w:rsidP="007A315A">
      <w:pPr>
        <w:pStyle w:val="NormalWeb"/>
        <w:spacing w:before="0" w:beforeAutospacing="0" w:after="0" w:afterAutospacing="0"/>
        <w:jc w:val="both"/>
        <w:rPr>
          <w:rFonts w:ascii="Calibri" w:hAnsi="Calibri"/>
        </w:rPr>
      </w:pPr>
      <w:r w:rsidRPr="000D0E10">
        <w:rPr>
          <w:rFonts w:ascii="Calibri" w:hAnsi="Calibri"/>
        </w:rPr>
        <w:t xml:space="preserve">SAQUE </w:t>
      </w:r>
    </w:p>
    <w:p w:rsidR="007A315A" w:rsidRPr="000D0E10" w:rsidRDefault="007A315A" w:rsidP="007A315A">
      <w:pPr>
        <w:pStyle w:val="NormalWeb"/>
        <w:spacing w:before="0" w:beforeAutospacing="0" w:after="0" w:afterAutospacing="0"/>
        <w:jc w:val="both"/>
        <w:rPr>
          <w:rFonts w:ascii="Calibri" w:hAnsi="Calibri"/>
        </w:rPr>
      </w:pPr>
      <w:r w:rsidRPr="000D0E10">
        <w:rPr>
          <w:rFonts w:ascii="Calibri" w:hAnsi="Calibri"/>
        </w:rPr>
        <w:t xml:space="preserve">No tênis de mesa Olímpico, é comum o atleta tentar esconder a bolinha em uma das mãos para evitar que o adversário descubra o efeito que ele empregará no momento do saque. Já entre os </w:t>
      </w:r>
      <w:proofErr w:type="spellStart"/>
      <w:r w:rsidRPr="000D0E10">
        <w:rPr>
          <w:rFonts w:ascii="Calibri" w:hAnsi="Calibri"/>
        </w:rPr>
        <w:t>Paralímpicos</w:t>
      </w:r>
      <w:proofErr w:type="spellEnd"/>
      <w:r w:rsidRPr="000D0E10">
        <w:rPr>
          <w:rFonts w:ascii="Calibri" w:hAnsi="Calibri"/>
        </w:rPr>
        <w:t xml:space="preserve"> a estratégia é mais complicada, pois parte dos mesa-tenistas não tem condições de usar o braço livre. Neste caso, a regra permite que o esportista use uma só mão para levantar a bolinha e golpeá-la. Para os cadeirantes, a exigência é outra: o saque deve ser direcionado para a linha de fundo da mesa, pois a movimentação é limitada. </w:t>
      </w:r>
    </w:p>
    <w:p w:rsidR="007A315A" w:rsidRDefault="007A315A" w:rsidP="007A315A">
      <w:pPr>
        <w:pStyle w:val="NormalWeb"/>
        <w:spacing w:before="0" w:beforeAutospacing="0" w:after="0" w:afterAutospacing="0"/>
        <w:jc w:val="both"/>
        <w:rPr>
          <w:rFonts w:ascii="Calibri" w:hAnsi="Calibri"/>
        </w:rPr>
      </w:pPr>
    </w:p>
    <w:p w:rsidR="007A315A" w:rsidRPr="000D0E10" w:rsidRDefault="007A315A" w:rsidP="007A315A">
      <w:pPr>
        <w:pStyle w:val="NormalWeb"/>
        <w:spacing w:before="0" w:beforeAutospacing="0" w:after="0" w:afterAutospacing="0"/>
        <w:jc w:val="both"/>
        <w:rPr>
          <w:rFonts w:ascii="Calibri" w:hAnsi="Calibri"/>
        </w:rPr>
      </w:pPr>
      <w:r w:rsidRPr="000D0E10">
        <w:rPr>
          <w:rFonts w:ascii="Calibri" w:hAnsi="Calibri"/>
        </w:rPr>
        <w:t>CATEGORIAS</w:t>
      </w:r>
    </w:p>
    <w:p w:rsidR="007A315A" w:rsidRPr="000D0E10" w:rsidRDefault="007A315A" w:rsidP="007A315A">
      <w:pPr>
        <w:pStyle w:val="NormalWeb"/>
        <w:spacing w:before="0" w:beforeAutospacing="0" w:after="0" w:afterAutospacing="0"/>
        <w:jc w:val="both"/>
        <w:rPr>
          <w:rFonts w:ascii="Calibri" w:hAnsi="Calibri"/>
        </w:rPr>
      </w:pPr>
      <w:r w:rsidRPr="000D0E10">
        <w:rPr>
          <w:rFonts w:ascii="Calibri" w:hAnsi="Calibri"/>
        </w:rPr>
        <w:t>Os atletas estão divididos em 11 classes. O ma</w:t>
      </w:r>
      <w:r w:rsidR="00D3728D">
        <w:rPr>
          <w:rFonts w:ascii="Calibri" w:hAnsi="Calibri"/>
        </w:rPr>
        <w:t xml:space="preserve">ior número da classe indica </w:t>
      </w:r>
      <w:r w:rsidRPr="000D0E10">
        <w:rPr>
          <w:rFonts w:ascii="Calibri" w:hAnsi="Calibri"/>
        </w:rPr>
        <w:t>menor</w:t>
      </w:r>
      <w:r w:rsidR="00D3728D">
        <w:rPr>
          <w:rFonts w:ascii="Calibri" w:hAnsi="Calibri"/>
        </w:rPr>
        <w:t xml:space="preserve"> grau de comprometimento</w:t>
      </w:r>
      <w:r>
        <w:rPr>
          <w:rFonts w:ascii="Calibri" w:hAnsi="Calibri"/>
        </w:rPr>
        <w:t>:</w:t>
      </w:r>
    </w:p>
    <w:p w:rsidR="007A315A" w:rsidRPr="000D0E10" w:rsidRDefault="007A315A" w:rsidP="007A315A">
      <w:pPr>
        <w:pStyle w:val="NormalWeb"/>
        <w:spacing w:before="0" w:beforeAutospacing="0" w:after="0" w:afterAutospacing="0"/>
        <w:jc w:val="both"/>
        <w:rPr>
          <w:rFonts w:ascii="Calibri" w:hAnsi="Calibri"/>
        </w:rPr>
      </w:pPr>
      <w:r w:rsidRPr="000D0E10">
        <w:rPr>
          <w:rFonts w:ascii="Calibri" w:hAnsi="Calibri"/>
        </w:rPr>
        <w:t>TT1 a TT5 – cadeirantes</w:t>
      </w:r>
      <w:r>
        <w:rPr>
          <w:rFonts w:ascii="Calibri" w:hAnsi="Calibri"/>
        </w:rPr>
        <w:t>;</w:t>
      </w:r>
    </w:p>
    <w:p w:rsidR="007A315A" w:rsidRPr="000D0E10" w:rsidRDefault="007A315A" w:rsidP="007A315A">
      <w:pPr>
        <w:pStyle w:val="NormalWeb"/>
        <w:spacing w:before="0" w:beforeAutospacing="0" w:after="0" w:afterAutospacing="0"/>
        <w:jc w:val="both"/>
        <w:rPr>
          <w:rFonts w:ascii="Calibri" w:hAnsi="Calibri"/>
        </w:rPr>
      </w:pPr>
      <w:r w:rsidRPr="000D0E10">
        <w:rPr>
          <w:rFonts w:ascii="Calibri" w:hAnsi="Calibri"/>
        </w:rPr>
        <w:t>TT6 a TT10 – andantes</w:t>
      </w:r>
      <w:r>
        <w:rPr>
          <w:rFonts w:ascii="Calibri" w:hAnsi="Calibri"/>
        </w:rPr>
        <w:t>;</w:t>
      </w:r>
    </w:p>
    <w:p w:rsidR="007A315A" w:rsidRPr="000D0E10" w:rsidRDefault="007A315A" w:rsidP="007A315A">
      <w:pPr>
        <w:pStyle w:val="NormalWeb"/>
        <w:spacing w:before="0" w:beforeAutospacing="0" w:after="0" w:afterAutospacing="0"/>
        <w:jc w:val="both"/>
        <w:rPr>
          <w:rFonts w:ascii="Calibri" w:hAnsi="Calibri"/>
        </w:rPr>
      </w:pPr>
      <w:r w:rsidRPr="000D0E10">
        <w:rPr>
          <w:rFonts w:ascii="Calibri" w:hAnsi="Calibri"/>
        </w:rPr>
        <w:t>TT11 – andantes com de</w:t>
      </w:r>
      <w:bookmarkStart w:id="0" w:name="_GoBack"/>
      <w:bookmarkEnd w:id="0"/>
      <w:r w:rsidRPr="000D0E10">
        <w:rPr>
          <w:rFonts w:ascii="Calibri" w:hAnsi="Calibri"/>
        </w:rPr>
        <w:t>ficiência intelectual.</w:t>
      </w:r>
    </w:p>
    <w:p w:rsidR="007A315A" w:rsidRDefault="007A315A" w:rsidP="007A315A">
      <w:pPr>
        <w:pStyle w:val="NormalWeb"/>
        <w:spacing w:before="0" w:beforeAutospacing="0" w:after="0" w:afterAutospacing="0"/>
        <w:jc w:val="both"/>
        <w:rPr>
          <w:rFonts w:ascii="Calibri" w:hAnsi="Calibri"/>
        </w:rPr>
      </w:pPr>
    </w:p>
    <w:p w:rsidR="007A315A" w:rsidRPr="000D0E10" w:rsidRDefault="007A315A" w:rsidP="007A315A">
      <w:pPr>
        <w:pStyle w:val="NormalWeb"/>
        <w:spacing w:before="0" w:beforeAutospacing="0" w:after="0" w:afterAutospacing="0"/>
        <w:jc w:val="both"/>
        <w:rPr>
          <w:rFonts w:ascii="Calibri" w:hAnsi="Calibri"/>
        </w:rPr>
      </w:pPr>
      <w:r w:rsidRPr="000D0E10">
        <w:rPr>
          <w:rFonts w:ascii="Calibri" w:hAnsi="Calibri"/>
        </w:rPr>
        <w:t>PÓDIO DEMOCRÁTICO</w:t>
      </w:r>
    </w:p>
    <w:p w:rsidR="007A315A" w:rsidRPr="000D0E10" w:rsidRDefault="007A315A" w:rsidP="007A315A">
      <w:pPr>
        <w:pStyle w:val="NormalWeb"/>
        <w:spacing w:before="0" w:beforeAutospacing="0" w:after="0" w:afterAutospacing="0"/>
        <w:jc w:val="both"/>
        <w:rPr>
          <w:rFonts w:ascii="Calibri" w:hAnsi="Calibri"/>
        </w:rPr>
      </w:pPr>
      <w:r w:rsidRPr="000D0E10">
        <w:rPr>
          <w:rFonts w:ascii="Calibri" w:hAnsi="Calibri"/>
        </w:rPr>
        <w:t xml:space="preserve">Diferentemente do tênis de mesa Olímpico, em que há um domínio dos países asiáticos – sobretudo da China – no pódio, nos Jogos </w:t>
      </w:r>
      <w:proofErr w:type="spellStart"/>
      <w:r w:rsidRPr="000D0E10">
        <w:rPr>
          <w:rFonts w:ascii="Calibri" w:hAnsi="Calibri"/>
        </w:rPr>
        <w:t>Paralímpicos</w:t>
      </w:r>
      <w:proofErr w:type="spellEnd"/>
      <w:r w:rsidRPr="000D0E10">
        <w:rPr>
          <w:rFonts w:ascii="Calibri" w:hAnsi="Calibri"/>
        </w:rPr>
        <w:t xml:space="preserve"> a história é outra. Os europeus conquistam bons resultados, caso de alemães, franceses, suíços, britânicos e finlandeses.</w:t>
      </w:r>
    </w:p>
    <w:p w:rsidR="000E0648" w:rsidRDefault="00D3728D">
      <w:pPr>
        <w:rPr>
          <w:lang w:val="pt-BR"/>
        </w:rPr>
      </w:pPr>
    </w:p>
    <w:p w:rsidR="007A315A" w:rsidRDefault="007A315A" w:rsidP="007A315A">
      <w:pPr>
        <w:spacing w:after="0" w:line="240" w:lineRule="auto"/>
        <w:contextualSpacing/>
        <w:rPr>
          <w:b/>
        </w:rPr>
      </w:pPr>
      <w:r>
        <w:rPr>
          <w:b/>
        </w:rPr>
        <w:t>TABLE TENNIS</w:t>
      </w:r>
    </w:p>
    <w:p w:rsidR="007A315A" w:rsidRDefault="007A315A" w:rsidP="007A315A">
      <w:pPr>
        <w:spacing w:after="0" w:line="240" w:lineRule="auto"/>
        <w:contextualSpacing/>
      </w:pPr>
      <w:r>
        <w:t xml:space="preserve">Table tennis is one of the few sports to have been part of the Paralympic Games programme since the first edition, at Rome 1960, with </w:t>
      </w:r>
      <w:proofErr w:type="gramStart"/>
      <w:r>
        <w:t>men’s</w:t>
      </w:r>
      <w:proofErr w:type="gramEnd"/>
      <w:r>
        <w:t xml:space="preserve"> and women’s competitions. The rules and the dynamics of the game are similar to the traditional discipline, with the exception of the serve.</w:t>
      </w:r>
    </w:p>
    <w:p w:rsidR="007A315A" w:rsidRDefault="007A315A" w:rsidP="007A315A">
      <w:pPr>
        <w:spacing w:after="0" w:line="240" w:lineRule="auto"/>
        <w:contextualSpacing/>
      </w:pPr>
    </w:p>
    <w:p w:rsidR="007A315A" w:rsidRDefault="007A315A" w:rsidP="007A315A">
      <w:pPr>
        <w:spacing w:after="0" w:line="240" w:lineRule="auto"/>
        <w:contextualSpacing/>
      </w:pPr>
      <w:r>
        <w:t>THE SERVE</w:t>
      </w:r>
    </w:p>
    <w:p w:rsidR="007A315A" w:rsidRDefault="007A315A" w:rsidP="007A315A">
      <w:pPr>
        <w:spacing w:after="0" w:line="240" w:lineRule="auto"/>
        <w:contextualSpacing/>
      </w:pPr>
      <w:r>
        <w:t xml:space="preserve">In Olympic table tennis, it is common for the athlete to try to hide the ball in one hand, so that the opponent cannot discover what effect they will employ on the ball </w:t>
      </w:r>
      <w:proofErr w:type="gramStart"/>
      <w:r>
        <w:t>at the moment</w:t>
      </w:r>
      <w:proofErr w:type="gramEnd"/>
      <w:r>
        <w:t xml:space="preserve"> of the serve. At the Paralympic Games, the strategy is a little more complicated, as some of the competitors are unable to use their free arm. In such cases, the rules allow </w:t>
      </w:r>
      <w:proofErr w:type="gramStart"/>
      <w:r>
        <w:t>for the</w:t>
      </w:r>
      <w:proofErr w:type="gramEnd"/>
      <w:r>
        <w:t xml:space="preserve"> athlete to use just one hand to throw and serve the ball. For wheelchair users, there is another requirement: the serve </w:t>
      </w:r>
      <w:proofErr w:type="gramStart"/>
      <w:r>
        <w:t>should be directed</w:t>
      </w:r>
      <w:proofErr w:type="gramEnd"/>
      <w:r>
        <w:t xml:space="preserve"> towards the back line of the table, as movement is limited.</w:t>
      </w:r>
    </w:p>
    <w:p w:rsidR="007A315A" w:rsidRDefault="007A315A" w:rsidP="007A315A">
      <w:pPr>
        <w:spacing w:after="0" w:line="240" w:lineRule="auto"/>
        <w:contextualSpacing/>
      </w:pPr>
    </w:p>
    <w:p w:rsidR="007A315A" w:rsidRDefault="007A315A" w:rsidP="007A315A">
      <w:pPr>
        <w:spacing w:after="0" w:line="240" w:lineRule="auto"/>
        <w:contextualSpacing/>
      </w:pPr>
      <w:r>
        <w:t>CATEGORIES</w:t>
      </w:r>
    </w:p>
    <w:p w:rsidR="007A315A" w:rsidRDefault="007A315A" w:rsidP="007A315A">
      <w:pPr>
        <w:spacing w:after="0" w:line="240" w:lineRule="auto"/>
        <w:contextualSpacing/>
      </w:pPr>
      <w:r>
        <w:t xml:space="preserve">Athletes </w:t>
      </w:r>
      <w:proofErr w:type="gramStart"/>
      <w:r>
        <w:t>are divided</w:t>
      </w:r>
      <w:proofErr w:type="gramEnd"/>
      <w:r>
        <w:t xml:space="preserve"> into 11 categories. The bigger the number indicated, the smaller the impairment: </w:t>
      </w:r>
    </w:p>
    <w:p w:rsidR="007A315A" w:rsidRDefault="007A315A" w:rsidP="007A315A">
      <w:pPr>
        <w:spacing w:after="0" w:line="240" w:lineRule="auto"/>
        <w:contextualSpacing/>
      </w:pPr>
      <w:r>
        <w:t>TT1 – TT5 – wheelchair users;</w:t>
      </w:r>
    </w:p>
    <w:p w:rsidR="007A315A" w:rsidRDefault="007A315A" w:rsidP="007A315A">
      <w:pPr>
        <w:spacing w:after="0" w:line="240" w:lineRule="auto"/>
        <w:contextualSpacing/>
      </w:pPr>
      <w:r>
        <w:t>TT6 – TT10 – athletes who can walk;</w:t>
      </w:r>
    </w:p>
    <w:p w:rsidR="007A315A" w:rsidRDefault="007A315A" w:rsidP="007A315A">
      <w:pPr>
        <w:spacing w:after="0" w:line="240" w:lineRule="auto"/>
        <w:contextualSpacing/>
      </w:pPr>
      <w:r>
        <w:t>TT11 – athletes who can walk but suffer from an intellectual impairment.</w:t>
      </w:r>
    </w:p>
    <w:p w:rsidR="007A315A" w:rsidRDefault="007A315A" w:rsidP="007A315A">
      <w:pPr>
        <w:spacing w:after="0" w:line="240" w:lineRule="auto"/>
        <w:contextualSpacing/>
      </w:pPr>
    </w:p>
    <w:p w:rsidR="007A315A" w:rsidRDefault="007A315A" w:rsidP="007A315A">
      <w:pPr>
        <w:spacing w:after="0" w:line="240" w:lineRule="auto"/>
        <w:contextualSpacing/>
      </w:pPr>
      <w:r>
        <w:t>DEMOCRATIC PODIUM</w:t>
      </w:r>
    </w:p>
    <w:p w:rsidR="007A315A" w:rsidRDefault="007A315A" w:rsidP="007A315A">
      <w:pPr>
        <w:spacing w:after="0" w:line="240" w:lineRule="auto"/>
        <w:contextualSpacing/>
      </w:pPr>
      <w:r>
        <w:t xml:space="preserve">Different to Olympic table tennis, where the Asian countries have reigned supreme on the podium – above all, China –, at the Paralympic </w:t>
      </w:r>
      <w:proofErr w:type="gramStart"/>
      <w:r>
        <w:t>Games</w:t>
      </w:r>
      <w:proofErr w:type="gramEnd"/>
      <w:r>
        <w:t xml:space="preserve"> it is a different story. The Europeans have earned good results, such as the Germans, French, Swiss, British and Finns. </w:t>
      </w:r>
    </w:p>
    <w:p w:rsidR="007A315A" w:rsidRPr="007A315A" w:rsidRDefault="007A315A"/>
    <w:sectPr w:rsidR="007A315A" w:rsidRPr="007A31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15A"/>
    <w:rsid w:val="00347728"/>
    <w:rsid w:val="007A315A"/>
    <w:rsid w:val="0097426F"/>
    <w:rsid w:val="00C67BE0"/>
    <w:rsid w:val="00D37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ED110-06E3-4193-B00F-0B5D59131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7A315A"/>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2292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Silva</dc:creator>
  <cp:keywords/>
  <dc:description/>
  <cp:lastModifiedBy>Priscila Godoy</cp:lastModifiedBy>
  <cp:revision>2</cp:revision>
  <dcterms:created xsi:type="dcterms:W3CDTF">2015-07-15T20:23:00Z</dcterms:created>
  <dcterms:modified xsi:type="dcterms:W3CDTF">2015-07-15T20:23:00Z</dcterms:modified>
</cp:coreProperties>
</file>