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System Design Document</w:t>
      </w:r>
    </w:p>
    <w:p>
      <w:pPr>
        <w:spacing w:after="240"/>
        <w:jc w:val="center"/>
      </w:pPr>
      <w:r>
        <w:rPr>
          <w:sz w:val="32"/>
          <w:szCs w:val="32"/>
        </w:rPr>
        <w:t xml:space="preserve">Multi-Asset Execution and Post-Trade Platform</w:t>
      </w:r>
    </w:p>
    <w:p>
      <w:pPr>
        <w:spacing w:after="1440"/>
        <w:jc w:val="center"/>
      </w:pPr>
      <w:r>
        <w:rPr>
          <w:sz w:val="24"/>
          <w:szCs w:val="24"/>
        </w:rPr>
        <w:t xml:space="preserve">Project Code: TRANS-MON-PRJ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Version: 1.2</w:t>
      </w:r>
    </w:p>
    <w:p>
      <w:pPr>
        <w:spacing w:after="120"/>
        <w:jc w:val="center"/>
      </w:pPr>
      <w:r>
        <w:rPr>
          <w:sz w:val="22"/>
          <w:szCs w:val="22"/>
        </w:rPr>
        <w:t xml:space="preserve">Date: January 15, 2026</w:t>
      </w:r>
    </w:p>
    <w:p>
      <w:pPr>
        <w:spacing w:after="120"/>
        <w:jc w:val="center"/>
      </w:pPr>
      <w:r>
        <w:rPr>
          <w:sz w:val="22"/>
          <w:szCs w:val="22"/>
        </w:rPr>
        <w:t xml:space="preserve">Author: Development Team</w:t>
      </w:r>
    </w:p>
    <w:p>
      <w:pPr>
        <w:spacing w:after="2880"/>
        <w:jc w:val="center"/>
      </w:pPr>
      <w:r>
        <w:rPr>
          <w:b/>
          <w:bCs/>
          <w:sz w:val="22"/>
          <w:szCs w:val="22"/>
        </w:rPr>
        <w:t xml:space="preserve">Status: Approved</w:t>
      </w:r>
    </w:p>
    <w:p>
      <w:pPr>
        <w:pStyle w:val="Heading1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 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draft - Architecture and component overview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security architecture and API specifications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 database schema and mobile integration design</w:t>
            </w:r>
          </w:p>
        </w:tc>
      </w:tr>
    </w:tbl>
    <w:p/>
    <w:p>
      <w:pPr>
        <w:pStyle w:val="Heading1"/>
      </w:pPr>
      <w:r>
        <w:t xml:space="preserve">1. Executive Summary</w:t>
      </w:r>
    </w:p>
    <w:p>
      <w:pPr>
        <w:spacing w:after="240"/>
      </w:pPr>
      <w:r>
        <w:t xml:space="preserve">This System Design Document outlines the technical architecture for the Multi-Asset Execution and Post-Trade Platform. The platform integrates pre-trade analytics, live pricing, cash wire authorization, and portfolio risk reporting into a unified system accessible via web and mobile interfaces.</w:t>
      </w:r>
    </w:p>
    <w:p>
      <w:pPr>
        <w:spacing w:after="240"/>
      </w:pPr>
      <w:r>
        <w:t xml:space="preserve">The system employs a microservices architecture deployed on AWS cloud infrastructure, utilizing event-driven patterns for real-time data processing and React-based frontends for cross-platform consistency.</w:t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Architecture Principles</w:t>
      </w:r>
    </w:p>
    <w:p>
      <w:pPr>
        <w:pStyle w:val="ListParagraph"/>
        <w:numPr>
          <w:ilvl w:val="0"/>
          <w:numId w:val="2"/>
        </w:numPr>
      </w:pPr>
      <w:r>
        <w:t xml:space="preserve">Cloud-native design leveraging AWS services for scalability and reliability</w:t>
      </w:r>
    </w:p>
    <w:p>
      <w:pPr>
        <w:pStyle w:val="ListParagraph"/>
        <w:numPr>
          <w:ilvl w:val="0"/>
          <w:numId w:val="2"/>
        </w:numPr>
      </w:pPr>
      <w:r>
        <w:t xml:space="preserve">Microservices architecture for independent scaling and deployment</w:t>
      </w:r>
    </w:p>
    <w:p>
      <w:pPr>
        <w:pStyle w:val="ListParagraph"/>
        <w:numPr>
          <w:ilvl w:val="0"/>
          <w:numId w:val="2"/>
        </w:numPr>
      </w:pPr>
      <w:r>
        <w:t xml:space="preserve">Event-driven communication using Apache Kafka for real-time data flows</w:t>
      </w:r>
    </w:p>
    <w:p>
      <w:pPr>
        <w:pStyle w:val="ListParagraph"/>
        <w:numPr>
          <w:ilvl w:val="0"/>
          <w:numId w:val="2"/>
        </w:numPr>
      </w:pPr>
      <w:r>
        <w:t xml:space="preserve">API-first approach with RESTful and GraphQL endpoints</w:t>
      </w:r>
    </w:p>
    <w:p>
      <w:pPr>
        <w:pStyle w:val="ListParagraph"/>
        <w:numPr>
          <w:ilvl w:val="0"/>
          <w:numId w:val="2"/>
        </w:numPr>
      </w:pPr>
      <w:r>
        <w:t xml:space="preserve">Zero-trust security model with end-to-end encryption</w:t>
      </w:r>
    </w:p>
    <w:p>
      <w:pPr>
        <w:spacing w:after="240"/>
      </w:pPr>
    </w:p>
    <w:p>
      <w:pPr>
        <w:pStyle w:val="Heading2"/>
      </w:pPr>
      <w:r>
        <w:t xml:space="preserve">2.2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18, TypeScript, Redux Toolkit, React 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 17, Spring Boot 3.2, Node.js 20, Python 3.11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15, Redis 7, MongoDB 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 3.6, RabbitMQ 3.12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EKS, Lambda, S3, RDS, ElastiCache, CloudFront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Component Architecture</w:t>
      </w:r>
    </w:p>
    <w:p>
      <w:pPr>
        <w:pStyle w:val="Heading2"/>
      </w:pPr>
      <w:r>
        <w:t xml:space="preserve">3.1 Core Services</w:t>
      </w:r>
    </w:p>
    <w:p>
      <w:pPr>
        <w:pStyle w:val="Heading3"/>
      </w:pPr>
      <w:r>
        <w:t xml:space="preserve">3.1.1 Analytics Service</w:t>
      </w:r>
    </w:p>
    <w:p>
      <w:pPr>
        <w:spacing w:after="240"/>
      </w:pPr>
      <w:r>
        <w:t xml:space="preserve">Responsible for pre-trade analytics calculations including risk metrics, exposure analysis, and scenario modeling. Built with Python using NumPy and Pandas for computational efficiency.</w:t>
      </w:r>
    </w:p>
    <w:p>
      <w:pPr>
        <w:pStyle w:val="Heading3"/>
      </w:pPr>
      <w:r>
        <w:t xml:space="preserve">3.1.2 Pricing Service</w:t>
      </w:r>
    </w:p>
    <w:p>
      <w:pPr>
        <w:spacing w:after="240"/>
      </w:pPr>
      <w:r>
        <w:t xml:space="preserve">Provides real-time pricing data from multiple market data providers. Implements WebSocket connections for live price streaming with sub-second latency. Uses Redis for caching recent prices.</w:t>
      </w:r>
    </w:p>
    <w:p>
      <w:pPr>
        <w:pStyle w:val="Heading3"/>
      </w:pPr>
      <w:r>
        <w:t xml:space="preserve">3.1.3 Wire Authorization Service</w:t>
      </w:r>
    </w:p>
    <w:p>
      <w:pPr>
        <w:spacing w:after="240"/>
      </w:pPr>
      <w:r>
        <w:t xml:space="preserve">Handles secure authorization workflows for cash wire transfers. Implements multi-factor authentication, dual authorization for transactions above thresholds, and comprehensive audit logging.</w:t>
      </w:r>
    </w:p>
    <w:p>
      <w:pPr>
        <w:pStyle w:val="Heading3"/>
      </w:pPr>
      <w:r>
        <w:t xml:space="preserve">3.1.4 Risk Reporting Service</w:t>
      </w:r>
    </w:p>
    <w:p>
      <w:pPr>
        <w:spacing w:after="240"/>
      </w:pPr>
      <w:r>
        <w:t xml:space="preserve">Generates portfolio risk reports including VaR, stress testing results, concentration analysis, and regulatory compliance reports. Scheduled batch processing with on-demand report generation.</w:t>
      </w:r>
    </w:p>
    <w:p>
      <w:pPr>
        <w:pStyle w:val="Heading1"/>
      </w:pPr>
      <w:r>
        <w:t xml:space="preserve">4. API Specifications</w:t>
      </w:r>
    </w:p>
    <w:p>
      <w:pPr>
        <w:pStyle w:val="Heading2"/>
      </w:pPr>
      <w:r>
        <w:t xml:space="preserve">4.1 RESTful Endpoints</w:t>
      </w:r>
    </w:p>
    <w:p>
      <w:pPr>
        <w:spacing w:after="240"/>
      </w:pPr>
      <w:r>
        <w:t xml:space="preserve">Base URL: https://api.trans-mon.acorp.com/v1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/analytics/portfolio/{id}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portfolio analytics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/wires/authorize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wire authorization request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/pricing/live/{symbol}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real-time price for asset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Security Architecture</w:t>
      </w:r>
    </w:p>
    <w:p>
      <w:pPr>
        <w:pStyle w:val="Heading2"/>
      </w:pPr>
      <w:r>
        <w:t xml:space="preserve">5.1 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OAuth 2.0 with JWT tokens for API authentication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required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with fine-grained permissions</w:t>
      </w:r>
    </w:p>
    <w:p>
      <w:pPr>
        <w:pStyle w:val="ListParagraph"/>
        <w:numPr>
          <w:ilvl w:val="0"/>
          <w:numId w:val="2"/>
        </w:numPr>
      </w:pPr>
      <w:r>
        <w:t xml:space="preserve">Biometric authentication support for mobile applications</w:t>
      </w:r>
    </w:p>
    <w:p>
      <w:pPr>
        <w:spacing w:after="240"/>
      </w:pPr>
    </w:p>
    <w:p>
      <w:pPr>
        <w:pStyle w:val="Heading2"/>
      </w:pPr>
      <w:r>
        <w:t xml:space="preserve">5.2 Data Protection</w:t>
      </w:r>
    </w:p>
    <w:p>
      <w:pPr>
        <w:pStyle w:val="ListParagraph"/>
        <w:numPr>
          <w:ilvl w:val="0"/>
          <w:numId w:val="2"/>
        </w:numPr>
      </w:pPr>
      <w:r>
        <w:t xml:space="preserve">TLS 1.3 for all data in transit</w:t>
      </w:r>
    </w:p>
    <w:p>
      <w:pPr>
        <w:pStyle w:val="ListParagraph"/>
        <w:numPr>
          <w:ilvl w:val="0"/>
          <w:numId w:val="2"/>
        </w:numPr>
      </w:pPr>
      <w:r>
        <w:t xml:space="preserve">AES-256 encryption for sensitive data at rest</w:t>
      </w:r>
    </w:p>
    <w:p>
      <w:pPr>
        <w:pStyle w:val="ListParagraph"/>
        <w:numPr>
          <w:ilvl w:val="0"/>
          <w:numId w:val="2"/>
        </w:numPr>
      </w:pPr>
      <w:r>
        <w:t xml:space="preserve">HSM-backed key management using AWS KMS</w:t>
      </w:r>
    </w:p>
    <w:p>
      <w:pPr>
        <w:pStyle w:val="ListParagraph"/>
        <w:numPr>
          <w:ilvl w:val="0"/>
          <w:numId w:val="2"/>
        </w:numPr>
      </w:pPr>
      <w:r>
        <w:t xml:space="preserve">PII data tokenization for compliance requirements</w:t>
      </w:r>
    </w:p>
    <w:p>
      <w:pPr>
        <w:spacing w:after="240"/>
      </w:pPr>
    </w:p>
    <w:p>
      <w:pPr>
        <w:pStyle w:val="Heading1"/>
      </w:pPr>
      <w:r>
        <w:t xml:space="preserve">6. Database Design</w:t>
      </w:r>
    </w:p>
    <w:p>
      <w:pPr>
        <w:pStyle w:val="Heading2"/>
      </w:pPr>
      <w:r>
        <w:t xml:space="preserve">6.1 PostgreSQL Schema</w:t>
      </w:r>
    </w:p>
    <w:p>
      <w:pPr>
        <w:spacing w:after="240"/>
      </w:pPr>
      <w:r>
        <w:t xml:space="preserve">Primary relational database for transactional data including user profiles, portfolios, wire transactions, and audit logs. Implements row-level security and encryption at rest.</w:t>
      </w:r>
    </w:p>
    <w:p>
      <w:pPr>
        <w:pStyle w:val="Heading2"/>
      </w:pPr>
      <w:r>
        <w:t xml:space="preserve">6.2 Redis Cache Strategy</w:t>
      </w:r>
    </w:p>
    <w:p>
      <w:pPr>
        <w:spacing w:after="240"/>
      </w:pPr>
      <w:r>
        <w:t xml:space="preserve">In-memory caching for frequently accessed data including live prices, user sessions, and recent analytics calculations. Implements cache invalidation patterns based on data freshness requirements.</w:t>
      </w:r>
    </w:p>
    <w:p>
      <w:pPr>
        <w:pStyle w:val="Heading1"/>
      </w:pPr>
      <w:r>
        <w:t xml:space="preserve">7. Deployment Architecture</w:t>
      </w:r>
    </w:p>
    <w:p>
      <w:pPr>
        <w:spacing w:after="240"/>
      </w:pPr>
      <w:r>
        <w:t xml:space="preserve">The platform is deployed across multiple AWS regions for high availability and disaster recovery. Kubernetes orchestration manages containerized microservices with auto-scaling policies based on load metrics.</w:t>
      </w:r>
    </w:p>
    <w:p>
      <w:pPr>
        <w:spacing w:after="240"/>
      </w:pPr>
      <w:r>
        <w:t xml:space="preserve">Blue-green deployment strategy ensures zero-downtime releases. All infrastructure is defined as code using Terraform for reproducible environments across development, staging, and production.</w:t>
      </w:r>
    </w:p>
    <w:p>
      <w:pPr>
        <w:pStyle w:val="Heading1"/>
      </w:pPr>
      <w:r>
        <w:t xml:space="preserve">8.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API response time: &lt; 200ms for 95th percentile</w:t>
      </w:r>
    </w:p>
    <w:p>
      <w:pPr>
        <w:pStyle w:val="ListParagraph"/>
        <w:numPr>
          <w:ilvl w:val="0"/>
          <w:numId w:val="2"/>
        </w:numPr>
      </w:pPr>
      <w:r>
        <w:t xml:space="preserve">Live price updates: &lt; 500ms latency from market data source</w:t>
      </w:r>
    </w:p>
    <w:p>
      <w:pPr>
        <w:pStyle w:val="ListParagraph"/>
        <w:numPr>
          <w:ilvl w:val="0"/>
          <w:numId w:val="2"/>
        </w:numPr>
      </w:pPr>
      <w:r>
        <w:t xml:space="preserve">System availability: 99.95% uptime SLA</w:t>
      </w:r>
    </w:p>
    <w:p>
      <w:pPr>
        <w:pStyle w:val="ListParagraph"/>
        <w:numPr>
          <w:ilvl w:val="0"/>
          <w:numId w:val="2"/>
        </w:numPr>
      </w:pPr>
      <w:r>
        <w:t xml:space="preserve">Concurrent users: Support 10,000+ simultaneous connections</w:t>
      </w:r>
    </w:p>
    <w:p>
      <w:pPr>
        <w:pStyle w:val="ListParagraph"/>
        <w:numPr>
          <w:ilvl w:val="0"/>
          <w:numId w:val="2"/>
        </w:numPr>
      </w:pPr>
      <w:r>
        <w:t xml:space="preserve">Report generation: &lt; 30 seconds for standard portfolio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2026-02-03T06:47:00.514Z</dcterms:created>
  <dcterms:modified xsi:type="dcterms:W3CDTF">2026-02-03T06:47:00.515Z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