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243FF" w14:textId="34436D73" w:rsidR="001227FA" w:rsidRPr="00A4118A" w:rsidRDefault="00A4118A">
      <w:pPr>
        <w:rPr>
          <w:rFonts w:ascii="Times New Roman" w:hAnsi="Times New Roman" w:cs="Times New Roman"/>
          <w:sz w:val="24"/>
          <w:szCs w:val="24"/>
        </w:rPr>
      </w:pPr>
      <w:r w:rsidRPr="00A4118A">
        <w:rPr>
          <w:rFonts w:ascii="Times New Roman" w:hAnsi="Times New Roman" w:cs="Times New Roman"/>
          <w:sz w:val="24"/>
          <w:szCs w:val="24"/>
        </w:rPr>
        <w:t>Nama</w:t>
      </w:r>
      <w:r w:rsidRPr="00A4118A">
        <w:rPr>
          <w:rFonts w:ascii="Times New Roman" w:hAnsi="Times New Roman" w:cs="Times New Roman"/>
          <w:sz w:val="24"/>
          <w:szCs w:val="24"/>
        </w:rPr>
        <w:tab/>
        <w:t>: Rio Ferdinanda</w:t>
      </w:r>
    </w:p>
    <w:p w14:paraId="10D3127A" w14:textId="5C08A761" w:rsidR="00A4118A" w:rsidRPr="00A4118A" w:rsidRDefault="00A4118A">
      <w:pPr>
        <w:rPr>
          <w:rFonts w:ascii="Times New Roman" w:hAnsi="Times New Roman" w:cs="Times New Roman"/>
          <w:sz w:val="24"/>
          <w:szCs w:val="24"/>
        </w:rPr>
      </w:pPr>
      <w:r w:rsidRPr="00A4118A">
        <w:rPr>
          <w:rFonts w:ascii="Times New Roman" w:hAnsi="Times New Roman" w:cs="Times New Roman"/>
          <w:sz w:val="24"/>
          <w:szCs w:val="24"/>
        </w:rPr>
        <w:t>NIM</w:t>
      </w:r>
      <w:r w:rsidRPr="00A4118A">
        <w:rPr>
          <w:rFonts w:ascii="Times New Roman" w:hAnsi="Times New Roman" w:cs="Times New Roman"/>
          <w:sz w:val="24"/>
          <w:szCs w:val="24"/>
        </w:rPr>
        <w:tab/>
        <w:t>: 12030123140254</w:t>
      </w:r>
    </w:p>
    <w:p w14:paraId="442CA28A" w14:textId="1B2B15B1" w:rsidR="00A4118A" w:rsidRPr="00A4118A" w:rsidRDefault="00A411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197BFACB" w14:textId="07016328" w:rsidR="00A4118A" w:rsidRPr="00A4118A" w:rsidRDefault="00A4118A" w:rsidP="00A411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118A">
        <w:rPr>
          <w:rFonts w:ascii="Times New Roman" w:hAnsi="Times New Roman" w:cs="Times New Roman"/>
          <w:b/>
          <w:bCs/>
          <w:sz w:val="24"/>
          <w:szCs w:val="24"/>
        </w:rPr>
        <w:t>Hasil Grafik Dari Google Collab</w:t>
      </w:r>
    </w:p>
    <w:p w14:paraId="1AF2DD95" w14:textId="10CD65D3" w:rsidR="00A4118A" w:rsidRPr="00A4118A" w:rsidRDefault="00A4118A" w:rsidP="00A41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118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PPh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Badan Antar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(Diagram Garis)</w:t>
      </w:r>
    </w:p>
    <w:p w14:paraId="3824933C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  <w:r w:rsidRPr="00A411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119DA" wp14:editId="488B9E26">
            <wp:extent cx="5731510" cy="3439160"/>
            <wp:effectExtent l="0" t="0" r="2540" b="8890"/>
            <wp:docPr id="32562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23389" name="Picture 325623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2205" w14:textId="77777777" w:rsidR="00A4118A" w:rsidRPr="00A4118A" w:rsidRDefault="00A4118A" w:rsidP="00A4118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Apa yang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ditampilkan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118A">
        <w:rPr>
          <w:rFonts w:ascii="Times New Roman" w:hAnsi="Times New Roman" w:cs="Times New Roman"/>
          <w:sz w:val="24"/>
          <w:szCs w:val="24"/>
        </w:rPr>
        <w:t xml:space="preserve"> Garis yang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Corporate Income Tax (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PPh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Badan) per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2027). Ada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('normal', '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tax_holiday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saldo_menurun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').</w:t>
      </w:r>
    </w:p>
    <w:p w14:paraId="69B5E4D1" w14:textId="77777777" w:rsidR="00A4118A" w:rsidRPr="00A4118A" w:rsidRDefault="00A4118A" w:rsidP="00A4118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118A">
        <w:rPr>
          <w:rFonts w:ascii="Times New Roman" w:hAnsi="Times New Roman" w:cs="Times New Roman"/>
          <w:b/>
          <w:bCs/>
          <w:sz w:val="24"/>
          <w:szCs w:val="24"/>
        </w:rPr>
        <w:t>Maksud &amp; Tujuan:</w:t>
      </w:r>
    </w:p>
    <w:p w14:paraId="02181F50" w14:textId="77777777" w:rsidR="00A4118A" w:rsidRPr="00A4118A" w:rsidRDefault="00A4118A" w:rsidP="00A4118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Menunjukkan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tren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118A">
        <w:rPr>
          <w:rFonts w:ascii="Times New Roman" w:hAnsi="Times New Roman" w:cs="Times New Roman"/>
          <w:sz w:val="24"/>
          <w:szCs w:val="24"/>
        </w:rPr>
        <w:t xml:space="preserve"> Anda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PPh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.</w:t>
      </w:r>
    </w:p>
    <w:p w14:paraId="04AF6B52" w14:textId="77777777" w:rsidR="00A4118A" w:rsidRPr="00A4118A" w:rsidRDefault="00A4118A" w:rsidP="00A4118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Membandingkan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118A">
        <w:rPr>
          <w:rFonts w:ascii="Times New Roman" w:hAnsi="Times New Roman" w:cs="Times New Roman"/>
          <w:sz w:val="24"/>
          <w:szCs w:val="24"/>
        </w:rPr>
        <w:t xml:space="preserve"> Diagram garis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PPh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'normal' dan '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tax_holiday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memahami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dampak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setiap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jumlah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pajak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dibayar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perusahaan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seiring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waktu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.</w:t>
      </w:r>
    </w:p>
    <w:p w14:paraId="055BABAF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</w:p>
    <w:p w14:paraId="36E0FD2A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</w:p>
    <w:p w14:paraId="38F074ED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</w:p>
    <w:p w14:paraId="6C341192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</w:p>
    <w:p w14:paraId="348B60D4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</w:p>
    <w:p w14:paraId="4431E787" w14:textId="68ACB251" w:rsidR="00A4118A" w:rsidRPr="00A4118A" w:rsidRDefault="00A4118A" w:rsidP="00A41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>Depresiasi</w:t>
      </w:r>
      <w:proofErr w:type="spellEnd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>Penyusutan</w:t>
      </w:r>
      <w:proofErr w:type="spellEnd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) Antar </w:t>
      </w:r>
      <w:proofErr w:type="spellStart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(Diagram </w:t>
      </w:r>
      <w:proofErr w:type="spellStart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>Batang</w:t>
      </w:r>
      <w:proofErr w:type="spellEnd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>)</w:t>
      </w:r>
    </w:p>
    <w:p w14:paraId="74F719B9" w14:textId="279DD558" w:rsidR="00A4118A" w:rsidRPr="00A4118A" w:rsidRDefault="00A4118A" w:rsidP="00A41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3C93B4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  <w:r w:rsidRPr="00A411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B5D8C" wp14:editId="16D60C69">
            <wp:extent cx="5731510" cy="3343275"/>
            <wp:effectExtent l="0" t="0" r="2540" b="9525"/>
            <wp:docPr id="17573717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71798" name="Picture 17573717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7D65" w14:textId="77777777" w:rsidR="00A4118A" w:rsidRPr="00A4118A" w:rsidRDefault="00A4118A" w:rsidP="00A411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Apa yang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ditampilkan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Batang-batang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('normal', '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tax_holiday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saldo_menurun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') yang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.</w:t>
      </w:r>
    </w:p>
    <w:p w14:paraId="0E9066BC" w14:textId="77777777" w:rsidR="00A4118A" w:rsidRPr="00A4118A" w:rsidRDefault="00A4118A" w:rsidP="00A4118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118A">
        <w:rPr>
          <w:rFonts w:ascii="Times New Roman" w:hAnsi="Times New Roman" w:cs="Times New Roman"/>
          <w:b/>
          <w:bCs/>
          <w:sz w:val="24"/>
          <w:szCs w:val="24"/>
        </w:rPr>
        <w:t>Maksud &amp; Tujuan:</w:t>
      </w:r>
    </w:p>
    <w:p w14:paraId="54C1E202" w14:textId="77777777" w:rsidR="00A4118A" w:rsidRPr="00A4118A" w:rsidRDefault="00A4118A" w:rsidP="00A4118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Membandingkan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 per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antar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118A">
        <w:rPr>
          <w:rFonts w:ascii="Times New Roman" w:hAnsi="Times New Roman" w:cs="Times New Roman"/>
          <w:sz w:val="24"/>
          <w:szCs w:val="24"/>
        </w:rPr>
        <w:t xml:space="preserve"> Diagram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langsung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.</w:t>
      </w:r>
    </w:p>
    <w:p w14:paraId="43A94A42" w14:textId="77777777" w:rsidR="00A4118A" w:rsidRPr="00A4118A" w:rsidRDefault="00A4118A" w:rsidP="00A4118A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kontribusi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118A">
        <w:rPr>
          <w:rFonts w:ascii="Times New Roman" w:hAnsi="Times New Roman" w:cs="Times New Roman"/>
          <w:sz w:val="24"/>
          <w:szCs w:val="24"/>
        </w:rPr>
        <w:t xml:space="preserve"> Karena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PPh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Badan),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memvisualisasikan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perbedaan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beban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tahunan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bawah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berbeda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.</w:t>
      </w:r>
    </w:p>
    <w:p w14:paraId="638ED3C7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</w:p>
    <w:p w14:paraId="5AE7FB4C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</w:p>
    <w:p w14:paraId="751CCD11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</w:p>
    <w:p w14:paraId="68796C3E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</w:p>
    <w:p w14:paraId="7DC8C7D9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</w:p>
    <w:p w14:paraId="3146CDA4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</w:p>
    <w:p w14:paraId="5AEC6D74" w14:textId="4079F35D" w:rsidR="00A4118A" w:rsidRPr="00A4118A" w:rsidRDefault="00A4118A" w:rsidP="00A41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Total </w:t>
      </w:r>
      <w:proofErr w:type="spellStart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>Depresiasi</w:t>
      </w:r>
      <w:proofErr w:type="spellEnd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>Tahunan</w:t>
      </w:r>
      <w:proofErr w:type="spellEnd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 xml:space="preserve"> Metode (Diagram </w:t>
      </w:r>
      <w:proofErr w:type="spellStart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>Batang</w:t>
      </w:r>
      <w:proofErr w:type="spellEnd"/>
      <w:r w:rsidRPr="00A4118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D"/>
          <w14:ligatures w14:val="none"/>
        </w:rPr>
        <w:t>)</w:t>
      </w:r>
    </w:p>
    <w:p w14:paraId="55459AF1" w14:textId="620E78C9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  <w:r w:rsidRPr="00A411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D2E99" wp14:editId="1A95B1F7">
            <wp:extent cx="5731510" cy="3343275"/>
            <wp:effectExtent l="0" t="0" r="2540" b="9525"/>
            <wp:docPr id="493579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79333" name="Picture 4935793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2D9F" w14:textId="77777777" w:rsidR="00A4118A" w:rsidRPr="00A4118A" w:rsidRDefault="00A4118A" w:rsidP="00A4118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Apa yang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ditampilkan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Batang-batang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garis_lurus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saldo_menurun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</w:t>
      </w:r>
      <w:r w:rsidRPr="00A4118A">
        <w:rPr>
          <w:rFonts w:ascii="Times New Roman" w:hAnsi="Times New Roman" w:cs="Times New Roman"/>
          <w:i/>
          <w:iCs/>
          <w:sz w:val="24"/>
          <w:szCs w:val="24"/>
        </w:rPr>
        <w:t>total</w:t>
      </w:r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.</w:t>
      </w:r>
    </w:p>
    <w:p w14:paraId="7CED1369" w14:textId="77777777" w:rsidR="00A4118A" w:rsidRPr="00A4118A" w:rsidRDefault="00A4118A" w:rsidP="00A4118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118A">
        <w:rPr>
          <w:rFonts w:ascii="Times New Roman" w:hAnsi="Times New Roman" w:cs="Times New Roman"/>
          <w:b/>
          <w:bCs/>
          <w:sz w:val="24"/>
          <w:szCs w:val="24"/>
        </w:rPr>
        <w:t>Maksud &amp; Tujuan:</w:t>
      </w:r>
    </w:p>
    <w:p w14:paraId="2E0E9D81" w14:textId="77777777" w:rsidR="00A4118A" w:rsidRPr="00A4118A" w:rsidRDefault="00A4118A" w:rsidP="00A4118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dampak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penyusutan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.</w:t>
      </w:r>
    </w:p>
    <w:p w14:paraId="01BD292C" w14:textId="77777777" w:rsidR="00A4118A" w:rsidRPr="00A4118A" w:rsidRDefault="00A4118A" w:rsidP="00A4118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Memahami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komposisi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b/>
          <w:bCs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118A">
        <w:rPr>
          <w:rFonts w:ascii="Times New Roman" w:hAnsi="Times New Roman" w:cs="Times New Roman"/>
          <w:sz w:val="24"/>
          <w:szCs w:val="24"/>
        </w:rPr>
        <w:t xml:space="preserve"> Anda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menganalisis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kontribusi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tren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beban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berdasarkan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perhitungan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penyusutan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aset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.</w:t>
      </w:r>
    </w:p>
    <w:p w14:paraId="50E11F27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  <w:r w:rsidRPr="00A4118A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PPh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akhir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komponen</w:t>
      </w:r>
      <w:proofErr w:type="spellEnd"/>
      <w:r w:rsidRPr="00A411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utama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Depresiasi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per Metode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i/>
          <w:iCs/>
          <w:sz w:val="24"/>
          <w:szCs w:val="24"/>
        </w:rPr>
        <w:t>perhitungan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18A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A4118A">
        <w:rPr>
          <w:rFonts w:ascii="Times New Roman" w:hAnsi="Times New Roman" w:cs="Times New Roman"/>
          <w:sz w:val="24"/>
          <w:szCs w:val="24"/>
        </w:rPr>
        <w:t>.</w:t>
      </w:r>
    </w:p>
    <w:p w14:paraId="6CBFA077" w14:textId="77777777" w:rsidR="00A4118A" w:rsidRPr="00A4118A" w:rsidRDefault="00A4118A" w:rsidP="00A4118A">
      <w:pPr>
        <w:rPr>
          <w:rFonts w:ascii="Times New Roman" w:hAnsi="Times New Roman" w:cs="Times New Roman"/>
          <w:sz w:val="24"/>
          <w:szCs w:val="24"/>
        </w:rPr>
      </w:pPr>
    </w:p>
    <w:sectPr w:rsidR="00A4118A" w:rsidRPr="00A4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925D4"/>
    <w:multiLevelType w:val="multilevel"/>
    <w:tmpl w:val="F7C6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85B6D"/>
    <w:multiLevelType w:val="multilevel"/>
    <w:tmpl w:val="6D8E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5183F"/>
    <w:multiLevelType w:val="hybridMultilevel"/>
    <w:tmpl w:val="B308EF74"/>
    <w:lvl w:ilvl="0" w:tplc="35D80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535FD"/>
    <w:multiLevelType w:val="multilevel"/>
    <w:tmpl w:val="C3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225151">
    <w:abstractNumId w:val="2"/>
  </w:num>
  <w:num w:numId="2" w16cid:durableId="318578111">
    <w:abstractNumId w:val="3"/>
  </w:num>
  <w:num w:numId="3" w16cid:durableId="1256401268">
    <w:abstractNumId w:val="0"/>
  </w:num>
  <w:num w:numId="4" w16cid:durableId="185456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8A"/>
    <w:rsid w:val="001227FA"/>
    <w:rsid w:val="00297A0F"/>
    <w:rsid w:val="00A4118A"/>
    <w:rsid w:val="00C16B6D"/>
    <w:rsid w:val="00CA116A"/>
    <w:rsid w:val="00E8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9B4E"/>
  <w15:chartTrackingRefBased/>
  <w15:docId w15:val="{8450B3A5-BE97-4385-A6B0-782512F7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Bagaskara</dc:creator>
  <cp:keywords/>
  <dc:description/>
  <cp:lastModifiedBy>Satria Bagaskara</cp:lastModifiedBy>
  <cp:revision>1</cp:revision>
  <dcterms:created xsi:type="dcterms:W3CDTF">2025-06-03T18:48:00Z</dcterms:created>
  <dcterms:modified xsi:type="dcterms:W3CDTF">2025-06-03T18:58:00Z</dcterms:modified>
</cp:coreProperties>
</file>