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AE6019" w:rsidRDefault="00993FC8">
      <w:pPr>
        <w:pStyle w:val="normal0"/>
        <w:spacing w:after="120"/>
        <w:ind w:left="1440" w:hanging="1440"/>
        <w:rPr>
          <w:b/>
        </w:rPr>
      </w:pPr>
      <w:r>
        <w:t>Accepted</w:t>
      </w:r>
      <w:r>
        <w:tab/>
      </w:r>
      <w:r>
        <w:rPr>
          <w:b/>
        </w:rPr>
        <w:t xml:space="preserve">M. Riondato </w:t>
      </w:r>
      <w:r w:rsidRPr="00E77A52">
        <w:t>and E. Upfal. ABRA: Approximating Betweenness Centrality in Static and Dynamic Graphs with Rademacher Averages</w:t>
      </w:r>
      <w:r>
        <w:t xml:space="preserve">. </w:t>
      </w:r>
      <w:r>
        <w:rPr>
          <w:i/>
        </w:rPr>
        <w:t>ACM Transactions on Knowledge Discovery from Data</w:t>
      </w:r>
      <w:r w:rsidR="00AE6019">
        <w:rPr>
          <w:i/>
        </w:rPr>
        <w:t>.</w:t>
      </w:r>
      <w:r w:rsidR="00AE6019">
        <w:t xml:space="preserve"> To appear</w:t>
      </w: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3549DA">
        <w:t>’18,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WWW</w:t>
      </w:r>
      <w:r w:rsidRPr="00E77A52">
        <w:t>‘</w:t>
      </w:r>
      <w:r>
        <w:t>18, MFCS</w:t>
      </w:r>
      <w:r w:rsidRPr="00E77A52">
        <w:t>‘</w:t>
      </w:r>
      <w:r>
        <w:t>17, IEEE ICDE</w:t>
      </w:r>
      <w:r w:rsidR="0004253C" w:rsidRPr="00E77A52">
        <w:t>‘</w:t>
      </w:r>
      <w:r>
        <w:t xml:space="preserve">18, </w:t>
      </w:r>
      <w:r w:rsidR="0004253C">
        <w:t>ECML PKDD</w:t>
      </w:r>
      <w:r w:rsidR="0004253C" w:rsidRPr="00E77A52">
        <w:t>‘</w:t>
      </w:r>
      <w:r w:rsidR="0004253C">
        <w:t xml:space="preserve">17, </w:t>
      </w:r>
      <w:r>
        <w:t>ACM KDD</w:t>
      </w:r>
      <w:r w:rsidRPr="00E77A52">
        <w:t>‘</w:t>
      </w:r>
      <w:r w:rsidR="003F7C3A">
        <w:t xml:space="preserve">17, </w:t>
      </w:r>
      <w:r w:rsidRPr="00E77A52">
        <w:t>ACM CIK</w:t>
      </w:r>
      <w:r>
        <w:t>M</w:t>
      </w:r>
      <w:r w:rsidRPr="00E77A52">
        <w:t>‘</w:t>
      </w:r>
      <w:r>
        <w:t xml:space="preserve">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36075B">
    <w:pPr>
      <w:pStyle w:val="normal0"/>
      <w:spacing w:after="1440"/>
      <w:jc w:val="center"/>
    </w:pPr>
    <w:fldSimple w:instr=" PAGE ">
      <w:r w:rsidR="00AE6019">
        <w:rPr>
          <w:noProof/>
        </w:rPr>
        <w:t>2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76EA1"/>
    <w:rsid w:val="002B5F80"/>
    <w:rsid w:val="002F7DE3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21C71"/>
    <w:rsid w:val="00582D2D"/>
    <w:rsid w:val="0059339B"/>
    <w:rsid w:val="005C454F"/>
    <w:rsid w:val="00657B76"/>
    <w:rsid w:val="00671904"/>
    <w:rsid w:val="0068023C"/>
    <w:rsid w:val="006C6699"/>
    <w:rsid w:val="00747447"/>
    <w:rsid w:val="007C7AC8"/>
    <w:rsid w:val="00804EC6"/>
    <w:rsid w:val="008108C6"/>
    <w:rsid w:val="008239CF"/>
    <w:rsid w:val="00825669"/>
    <w:rsid w:val="008B68A3"/>
    <w:rsid w:val="008C112B"/>
    <w:rsid w:val="008C72F9"/>
    <w:rsid w:val="008D407A"/>
    <w:rsid w:val="008E37DC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118C5"/>
    <w:rsid w:val="00A3180F"/>
    <w:rsid w:val="00A3208F"/>
    <w:rsid w:val="00A40210"/>
    <w:rsid w:val="00A764FE"/>
    <w:rsid w:val="00A8075D"/>
    <w:rsid w:val="00A81C32"/>
    <w:rsid w:val="00A960DC"/>
    <w:rsid w:val="00AE6019"/>
    <w:rsid w:val="00AF2B46"/>
    <w:rsid w:val="00B43522"/>
    <w:rsid w:val="00B53A64"/>
    <w:rsid w:val="00B56454"/>
    <w:rsid w:val="00B600A5"/>
    <w:rsid w:val="00B87172"/>
    <w:rsid w:val="00B94591"/>
    <w:rsid w:val="00BC478B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C4B1E"/>
    <w:rsid w:val="00DF160A"/>
    <w:rsid w:val="00E410F1"/>
    <w:rsid w:val="00E43766"/>
    <w:rsid w:val="00E77A52"/>
    <w:rsid w:val="00E94BA3"/>
    <w:rsid w:val="00EC7109"/>
    <w:rsid w:val="00ED19D2"/>
    <w:rsid w:val="00ED2C26"/>
    <w:rsid w:val="00ED3ACF"/>
    <w:rsid w:val="00EE3B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2139</Words>
  <Characters>12197</Characters>
  <Application>Microsoft Macintosh Word</Application>
  <DocSecurity>0</DocSecurity>
  <Lines>101</Lines>
  <Paragraphs>24</Paragraphs>
  <ScaleCrop>false</ScaleCrop>
  <Company>..</Company>
  <LinksUpToDate>false</LinksUpToDate>
  <CharactersWithSpaces>14978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75</cp:revision>
  <cp:lastPrinted>2018-01-09T15:21:00Z</cp:lastPrinted>
  <dcterms:created xsi:type="dcterms:W3CDTF">2016-10-14T10:47:00Z</dcterms:created>
  <dcterms:modified xsi:type="dcterms:W3CDTF">2018-04-15T20:27:00Z</dcterms:modified>
</cp:coreProperties>
</file>