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B40385">
    <w:pPr>
      <w:pStyle w:val="normal0"/>
      <w:spacing w:after="1440"/>
      <w:jc w:val="center"/>
    </w:pPr>
    <w:fldSimple w:instr=" PAGE ">
      <w:r w:rsidR="007A2F04">
        <w:rPr>
          <w:noProof/>
        </w:rPr>
        <w:t>8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9135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A2D4C"/>
    <w:rsid w:val="006C6699"/>
    <w:rsid w:val="006D3264"/>
    <w:rsid w:val="00747447"/>
    <w:rsid w:val="007A2F04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7172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2275</Words>
  <Characters>12970</Characters>
  <Application>Microsoft Macintosh Word</Application>
  <DocSecurity>0</DocSecurity>
  <Lines>108</Lines>
  <Paragraphs>25</Paragraphs>
  <ScaleCrop>false</ScaleCrop>
  <Company>..</Company>
  <LinksUpToDate>false</LinksUpToDate>
  <CharactersWithSpaces>15928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89</cp:revision>
  <cp:lastPrinted>2018-01-09T15:21:00Z</cp:lastPrinted>
  <dcterms:created xsi:type="dcterms:W3CDTF">2016-10-14T10:47:00Z</dcterms:created>
  <dcterms:modified xsi:type="dcterms:W3CDTF">2018-07-03T14:12:00Z</dcterms:modified>
</cp:coreProperties>
</file>