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3E02CE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forthcoming</w:t>
      </w:r>
      <w:proofErr w:type="gramEnd"/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To appear </w:t>
      </w:r>
      <w:r w:rsidR="00D03EA4">
        <w:rPr>
          <w:rFonts w:ascii="Times New Roman" w:eastAsia="Times New Roman" w:hAnsi="Times New Roman" w:cs="Times New Roman"/>
        </w:rPr>
        <w:t xml:space="preserve">in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ED05D4" w:rsidRDefault="00ED05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Pr="00ED05D4" w:rsidRDefault="00A83665" w:rsidP="00ED05D4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Pr="005D67A6">
        <w:rPr>
          <w:rFonts w:ascii="Times New Roman" w:eastAsia="Times New Roman" w:hAnsi="Times New Roman" w:cs="Times New Roman"/>
        </w:rPr>
        <w:t>SDM'15, 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Eli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proofErr w:type="spellStart"/>
      <w:r w:rsidRPr="005D67A6">
        <w:rPr>
          <w:rFonts w:ascii="Times New Roman" w:eastAsia="Times New Roman" w:hAnsi="Times New Roman" w:cs="Times New Roman"/>
        </w:rPr>
        <w:t>Uğur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>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Francesco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>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Via </w:t>
      </w:r>
      <w:proofErr w:type="spellStart"/>
      <w:r w:rsidRPr="005D67A6">
        <w:rPr>
          <w:rFonts w:ascii="Times New Roman" w:eastAsia="Times New Roman" w:hAnsi="Times New Roman" w:cs="Times New Roman"/>
        </w:rPr>
        <w:t>Alassio</w:t>
      </w:r>
      <w:proofErr w:type="spellEnd"/>
      <w:r w:rsidRPr="005D67A6">
        <w:rPr>
          <w:rFonts w:ascii="Times New Roman" w:eastAsia="Times New Roman" w:hAnsi="Times New Roman" w:cs="Times New Roman"/>
        </w:rPr>
        <w:t>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691DF6">
    <w:pPr>
      <w:pStyle w:val="normal0"/>
      <w:spacing w:after="1440"/>
      <w:jc w:val="center"/>
    </w:pPr>
    <w:fldSimple w:instr="PAGE">
      <w:r w:rsidR="003061B7">
        <w:rPr>
          <w:noProof/>
        </w:rPr>
        <w:t>3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compat/>
  <w:rsids>
    <w:rsidRoot w:val="00884218"/>
    <w:rsid w:val="0003104E"/>
    <w:rsid w:val="00034EBF"/>
    <w:rsid w:val="00040868"/>
    <w:rsid w:val="00041412"/>
    <w:rsid w:val="000470C9"/>
    <w:rsid w:val="00070BA6"/>
    <w:rsid w:val="000E7FDA"/>
    <w:rsid w:val="00117A5F"/>
    <w:rsid w:val="00120CAB"/>
    <w:rsid w:val="00123CB8"/>
    <w:rsid w:val="001436B4"/>
    <w:rsid w:val="001610AC"/>
    <w:rsid w:val="0021474B"/>
    <w:rsid w:val="00253E72"/>
    <w:rsid w:val="00292743"/>
    <w:rsid w:val="002D37A7"/>
    <w:rsid w:val="003061B7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691DF6"/>
    <w:rsid w:val="00700582"/>
    <w:rsid w:val="00745114"/>
    <w:rsid w:val="0076085C"/>
    <w:rsid w:val="00780E3C"/>
    <w:rsid w:val="00842D81"/>
    <w:rsid w:val="008474EC"/>
    <w:rsid w:val="00884218"/>
    <w:rsid w:val="00891074"/>
    <w:rsid w:val="008A2BCE"/>
    <w:rsid w:val="008E1DEB"/>
    <w:rsid w:val="008F6171"/>
    <w:rsid w:val="00950B29"/>
    <w:rsid w:val="00981D73"/>
    <w:rsid w:val="00993CEB"/>
    <w:rsid w:val="009D6BDB"/>
    <w:rsid w:val="009E386A"/>
    <w:rsid w:val="00A239C2"/>
    <w:rsid w:val="00A83665"/>
    <w:rsid w:val="00A96941"/>
    <w:rsid w:val="00B0439C"/>
    <w:rsid w:val="00B875D6"/>
    <w:rsid w:val="00CA2249"/>
    <w:rsid w:val="00CC711A"/>
    <w:rsid w:val="00D03EA4"/>
    <w:rsid w:val="00D357F1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F004C8"/>
    <w:rsid w:val="00F27633"/>
    <w:rsid w:val="00F41666"/>
    <w:rsid w:val="00F650BD"/>
    <w:rsid w:val="00F65BA4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1627</Words>
  <Characters>9275</Characters>
  <Application>Microsoft Macintosh Word</Application>
  <DocSecurity>0</DocSecurity>
  <Lines>77</Lines>
  <Paragraphs>18</Paragraphs>
  <ScaleCrop>false</ScaleCrop>
  <Company>..</Company>
  <LinksUpToDate>false</LinksUpToDate>
  <CharactersWithSpaces>11390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65</cp:revision>
  <dcterms:created xsi:type="dcterms:W3CDTF">2015-11-12T03:01:00Z</dcterms:created>
  <dcterms:modified xsi:type="dcterms:W3CDTF">2016-02-10T18:18:00Z</dcterms:modified>
</cp:coreProperties>
</file>