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 xml:space="preserve">M.Sc. (Laurea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</w:t>
      </w:r>
      <w:proofErr w:type="spellStart"/>
      <w:r w:rsidR="00BC478B" w:rsidRPr="00E77A52">
        <w:t>García</w:t>
      </w:r>
      <w:proofErr w:type="spellEnd"/>
      <w:r w:rsidR="00BC478B" w:rsidRPr="00E77A52">
        <w:t xml:space="preserve">-Soriano, and F. </w:t>
      </w:r>
      <w:proofErr w:type="spellStart"/>
      <w:r w:rsidR="00BC478B" w:rsidRPr="00E77A52">
        <w:t>Bonchi</w:t>
      </w:r>
      <w:proofErr w:type="spellEnd"/>
      <w:r w:rsidR="00BC478B" w:rsidRPr="00E77A52">
        <w:t>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>, R. Fonseca, and E. Upfal.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>, and E. Upfal.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>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C6505F" w:rsidRDefault="00C6505F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Rademacher</w:t>
      </w:r>
      <w:proofErr w:type="spellEnd"/>
      <w:r>
        <w:t xml:space="preserve"> Averages: Theory and Practice, National Institute for Informatics, Tokyo (Japan), </w:t>
      </w:r>
      <w:proofErr w:type="gramStart"/>
      <w:r>
        <w:t>November</w:t>
      </w:r>
      <w:proofErr w:type="gramEnd"/>
      <w:r>
        <w:t xml:space="preserve"> 15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</w:r>
      <w:proofErr w:type="spellStart"/>
      <w:r>
        <w:t>Betweenness</w:t>
      </w:r>
      <w:proofErr w:type="spellEnd"/>
      <w:r>
        <w:t xml:space="preserve"> Centrality Estimation with Rademacher Averages, Center of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proofErr w:type="spellStart"/>
      <w:r w:rsidR="00DC4B1E">
        <w:t>Dagstuhl</w:t>
      </w:r>
      <w:proofErr w:type="spellEnd"/>
      <w:r w:rsidR="00DC4B1E">
        <w:t xml:space="preserve"> Seminar 17141, </w:t>
      </w:r>
      <w:proofErr w:type="spellStart"/>
      <w:r>
        <w:t>Sch</w:t>
      </w:r>
      <w:r w:rsidR="006C6699">
        <w:t>loss</w:t>
      </w:r>
      <w:proofErr w:type="spellEnd"/>
      <w:r w:rsidR="006C6699">
        <w:t xml:space="preserve"> </w:t>
      </w:r>
      <w:proofErr w:type="spellStart"/>
      <w:r w:rsidR="006C6699">
        <w:t>Dagstuhl</w:t>
      </w:r>
      <w:proofErr w:type="spellEnd"/>
      <w:r w:rsidR="006C6699">
        <w:t xml:space="preserve">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 xml:space="preserve">The </w:t>
      </w:r>
      <w:proofErr w:type="spellStart"/>
      <w:r>
        <w:t>Neverending</w:t>
      </w:r>
      <w:proofErr w:type="spellEnd"/>
      <w:r>
        <w:t xml:space="preserve">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</w:t>
      </w:r>
      <w:proofErr w:type="spellStart"/>
      <w:r w:rsidR="00C6505F">
        <w:t>Mining</w:t>
      </w:r>
      <w:proofErr w:type="spellEnd"/>
      <w:r w:rsidR="00C6505F">
        <w:t xml:space="preserve">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C6505F">
      <w:pPr>
        <w:pStyle w:val="normal0"/>
        <w:spacing w:after="60"/>
        <w:ind w:left="1440" w:hanging="1440"/>
      </w:pPr>
      <w:r>
        <w:t>2017</w:t>
      </w:r>
      <w:r>
        <w:tab/>
        <w:t>National Institute for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</w:r>
      <w:proofErr w:type="spellStart"/>
      <w:r>
        <w:t>Monash</w:t>
      </w:r>
      <w:proofErr w:type="spellEnd"/>
      <w:r>
        <w:t xml:space="preserve">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>Foundations of Data Science Workshop (</w:t>
      </w:r>
      <w:proofErr w:type="spellStart"/>
      <w:r>
        <w:rPr>
          <w:bCs/>
        </w:rPr>
        <w:t>Bertinoro</w:t>
      </w:r>
      <w:proofErr w:type="spellEnd"/>
      <w:r>
        <w:rPr>
          <w:bCs/>
        </w:rPr>
        <w:t>, Italy, September 2018) 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FB015B">
    <w:pPr>
      <w:pStyle w:val="normal0"/>
      <w:spacing w:after="1440"/>
      <w:jc w:val="center"/>
    </w:pPr>
    <w:fldSimple w:instr=" PAGE ">
      <w:r w:rsidR="00D43FBF">
        <w:rPr>
          <w:noProof/>
        </w:rPr>
        <w:t>7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5C454F"/>
    <w:rsid w:val="00671904"/>
    <w:rsid w:val="0068023C"/>
    <w:rsid w:val="006C6699"/>
    <w:rsid w:val="00747447"/>
    <w:rsid w:val="007C7AC8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40210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23126"/>
    <w:rsid w:val="00C36C1B"/>
    <w:rsid w:val="00C6505F"/>
    <w:rsid w:val="00D10129"/>
    <w:rsid w:val="00D43FBF"/>
    <w:rsid w:val="00DC4B1E"/>
    <w:rsid w:val="00DF160A"/>
    <w:rsid w:val="00E43766"/>
    <w:rsid w:val="00E77A52"/>
    <w:rsid w:val="00EC7109"/>
    <w:rsid w:val="00ED19D2"/>
    <w:rsid w:val="00ED2C26"/>
    <w:rsid w:val="00ED3ACF"/>
    <w:rsid w:val="00F11348"/>
    <w:rsid w:val="00F5397B"/>
    <w:rsid w:val="00F71419"/>
    <w:rsid w:val="00F9559A"/>
    <w:rsid w:val="00FA483A"/>
    <w:rsid w:val="00FB015B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2064</Words>
  <Characters>11767</Characters>
  <Application>Microsoft Macintosh Word</Application>
  <DocSecurity>0</DocSecurity>
  <Lines>98</Lines>
  <Paragraphs>23</Paragraphs>
  <ScaleCrop>false</ScaleCrop>
  <Company>..</Company>
  <LinksUpToDate>false</LinksUpToDate>
  <CharactersWithSpaces>14450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51</cp:revision>
  <cp:lastPrinted>2016-12-23T02:56:00Z</cp:lastPrinted>
  <dcterms:created xsi:type="dcterms:W3CDTF">2016-10-14T10:47:00Z</dcterms:created>
  <dcterms:modified xsi:type="dcterms:W3CDTF">2017-11-03T13:21:00Z</dcterms:modified>
</cp:coreProperties>
</file>