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6B2837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+1 212 775</w:t>
      </w:r>
      <w:r w:rsidR="00993CEB" w:rsidRPr="005D67A6">
        <w:rPr>
          <w:rFonts w:ascii="Times New Roman" w:eastAsia="Times New Roman" w:hAnsi="Times New Roman" w:cs="Times New Roman"/>
        </w:rPr>
        <w:t xml:space="preserve">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EF1EAE" w:rsidRDefault="00EF1EAE" w:rsidP="00EF1EAE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In press</w:t>
      </w:r>
      <w:r w:rsidR="00A83665" w:rsidRPr="005D67A6">
        <w:rPr>
          <w:rFonts w:ascii="Times New Roman" w:eastAsia="Times New Roman" w:hAnsi="Times New Roman" w:cs="Times New Roman"/>
          <w:i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Pr="00EF1EAE">
        <w:rPr>
          <w:rFonts w:ascii="Times New Roman" w:hAnsi="Times New Roman" w:cs="Times"/>
          <w:color w:val="101010"/>
          <w:szCs w:val="16"/>
        </w:rPr>
        <w:t>DOI</w:t>
      </w:r>
      <w:r w:rsidR="004E404F">
        <w:rPr>
          <w:rFonts w:ascii="Times New Roman" w:hAnsi="Times New Roman" w:cs="Times"/>
          <w:color w:val="101010"/>
          <w:szCs w:val="16"/>
        </w:rPr>
        <w:t>:</w:t>
      </w:r>
      <w:r w:rsidRPr="00EF1EAE">
        <w:rPr>
          <w:rFonts w:ascii="Times New Roman" w:hAnsi="Times New Roman" w:cs="Times"/>
          <w:color w:val="101010"/>
          <w:szCs w:val="16"/>
        </w:rPr>
        <w:t xml:space="preserve"> 10.1007/s10618-016-0468-8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30(2):438–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8(4):20:1–20:32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F. Vandin.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21(2):310–326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Pr="006643B5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</w:t>
      </w:r>
      <w:r w:rsidR="00DE77AA">
        <w:rPr>
          <w:rFonts w:ascii="Times New Roman" w:eastAsia="Times New Roman" w:hAnsi="Times New Roman" w:cs="Times New Roman"/>
        </w:rPr>
        <w:t>Streams with Fixed Memory Size.</w:t>
      </w:r>
      <w:r w:rsid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DE77AA">
        <w:rPr>
          <w:rFonts w:ascii="Times New Roman" w:eastAsia="Times New Roman" w:hAnsi="Times New Roman" w:cs="Times New Roman"/>
        </w:rPr>
        <w:t>, pp. 825–834,</w:t>
      </w:r>
      <w:r w:rsidR="006643B5">
        <w:rPr>
          <w:rFonts w:ascii="Times New Roman" w:eastAsia="Times New Roman" w:hAnsi="Times New Roman" w:cs="Times New Roman"/>
          <w:b/>
        </w:rPr>
        <w:t xml:space="preserve"> Best Student Paper Award</w:t>
      </w:r>
      <w:r w:rsidR="002B0007">
        <w:rPr>
          <w:rFonts w:ascii="Times New Roman" w:eastAsia="Times New Roman" w:hAnsi="Times New Roman" w:cs="Times New Roman"/>
          <w:b/>
        </w:rPr>
        <w:t xml:space="preserve"> (Research Track)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M. Riondato</w:t>
      </w:r>
      <w:r>
        <w:rPr>
          <w:rFonts w:ascii="Times New Roman" w:eastAsia="Times New Roman" w:hAnsi="Times New Roman" w:cs="Times New Roman"/>
        </w:rPr>
        <w:t xml:space="preserve"> and E. Upfal. ABRA: Approximating Betweenness Centrality in Static and Dynamic Graphs with Rademacher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8A402F">
        <w:rPr>
          <w:rFonts w:ascii="Times New Roman" w:eastAsia="Times New Roman" w:hAnsi="Times New Roman" w:cs="Times New Roman"/>
        </w:rPr>
        <w:t xml:space="preserve">, pp. 1145–1154 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 w:rsidR="003E02CE">
        <w:rPr>
          <w:rFonts w:ascii="Times New Roman" w:eastAsia="Times New Roman" w:hAnsi="Times New Roman" w:cs="Times New Roman"/>
          <w:b/>
        </w:rPr>
        <w:t>M. Riondato</w:t>
      </w:r>
      <w:r w:rsidR="003E02CE"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, and E. Upfal. Wiggins: Detecting</w:t>
      </w:r>
      <w:r w:rsidR="00E05C7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Valuable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J. A. DeBrabant, R. Fonseca, and E. Upfal.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F. Silvestri, and E. Upfal.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M. Akdere, U. Çetintemel, S. B. Zdonik, and E. Upfal. The VC-dimension of SQL Queries and Selectivity Estimation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>
        <w:rPr>
          <w:rFonts w:ascii="Times New Roman" w:eastAsia="Times New Roman" w:hAnsi="Times New Roman" w:cs="Times New Roman"/>
          <w:b/>
        </w:rPr>
        <w:t>M. Riondato.</w:t>
      </w:r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643B5" w:rsidRDefault="00692214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>Best Student Paper A</w:t>
      </w:r>
      <w:r w:rsidR="006643B5">
        <w:rPr>
          <w:rFonts w:ascii="Times New Roman" w:eastAsia="Times New Roman" w:hAnsi="Times New Roman" w:cs="Times New Roman"/>
        </w:rPr>
        <w:t xml:space="preserve">ward </w:t>
      </w:r>
      <w:r w:rsidR="002B0007">
        <w:rPr>
          <w:rFonts w:ascii="Times New Roman" w:eastAsia="Times New Roman" w:hAnsi="Times New Roman" w:cs="Times New Roman"/>
        </w:rPr>
        <w:t xml:space="preserve">(Research Track) </w:t>
      </w:r>
      <w:r w:rsidR="006643B5">
        <w:rPr>
          <w:rFonts w:ascii="Times New Roman" w:eastAsia="Times New Roman" w:hAnsi="Times New Roman" w:cs="Times New Roman"/>
        </w:rPr>
        <w:t xml:space="preserve">at ACM </w:t>
      </w:r>
      <w:r>
        <w:rPr>
          <w:rFonts w:ascii="Times New Roman" w:eastAsia="Times New Roman" w:hAnsi="Times New Roman" w:cs="Times New Roman"/>
        </w:rPr>
        <w:t>SIG</w:t>
      </w:r>
      <w:r w:rsidR="006643B5">
        <w:rPr>
          <w:rFonts w:ascii="Times New Roman" w:eastAsia="Times New Roman" w:hAnsi="Times New Roman" w:cs="Times New Roman"/>
        </w:rPr>
        <w:t>KDD</w:t>
      </w:r>
      <w:r>
        <w:rPr>
          <w:rFonts w:ascii="Times New Roman" w:eastAsia="Times New Roman" w:hAnsi="Times New Roman" w:cs="Times New Roman"/>
        </w:rPr>
        <w:t xml:space="preserve"> International Conference on Knowledge Discovery and Data Mining (KDD’16)</w:t>
      </w: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Best Student Poster Award</w:t>
      </w:r>
      <w:r w:rsidR="00692214">
        <w:rPr>
          <w:rFonts w:ascii="Times New Roman" w:eastAsia="Times New Roman" w:hAnsi="Times New Roman" w:cs="Times New Roman"/>
        </w:rPr>
        <w:t xml:space="preserve"> at </w:t>
      </w:r>
      <w:r w:rsidR="00692214" w:rsidRPr="005D67A6">
        <w:rPr>
          <w:rFonts w:ascii="Times New Roman" w:eastAsia="Times New Roman" w:hAnsi="Times New Roman" w:cs="Times New Roman"/>
        </w:rPr>
        <w:t>SIAM International Conference on Data Mining</w:t>
      </w:r>
      <w:r w:rsidR="00692214">
        <w:rPr>
          <w:rFonts w:ascii="Times New Roman" w:eastAsia="Times New Roman" w:hAnsi="Times New Roman" w:cs="Times New Roman"/>
        </w:rPr>
        <w:t xml:space="preserve"> (SDM’14)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>ABRA: Venice, Sampling, and Betweenness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June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 w:rsidR="008517EA">
        <w:rPr>
          <w:rFonts w:ascii="Times New Roman" w:eastAsia="Times New Roman" w:hAnsi="Times New Roman" w:cs="Times New Roman"/>
        </w:rPr>
        <w:t>Sapienza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0E72CA" w:rsidRPr="000E72CA" w:rsidRDefault="000E72CA" w:rsidP="000E72CA">
      <w:pPr>
        <w:pStyle w:val="normal0"/>
        <w:rPr>
          <w:rFonts w:ascii="Times New Roman" w:hAnsi="Times New Roman"/>
        </w:rPr>
      </w:pPr>
    </w:p>
    <w:p w:rsidR="00935DF7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WWW’17</w:t>
      </w:r>
    </w:p>
    <w:p w:rsidR="000E72CA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WSDM</w:t>
      </w:r>
      <w:r w:rsidR="000E72CA">
        <w:rPr>
          <w:rFonts w:ascii="Times New Roman" w:eastAsia="Times New Roman" w:hAnsi="Times New Roman" w:cs="Times New Roman"/>
        </w:rPr>
        <w:t>’17</w:t>
      </w:r>
    </w:p>
    <w:p w:rsidR="00C624ED" w:rsidRDefault="00C624ED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ICDM’16</w:t>
      </w: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KDD’1</w:t>
      </w:r>
      <w:r w:rsidR="00621DEE">
        <w:rPr>
          <w:rFonts w:ascii="Times New Roman" w:eastAsia="Times New Roman" w:hAnsi="Times New Roman" w:cs="Times New Roman"/>
        </w:rPr>
        <w:t>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621DEE">
        <w:rPr>
          <w:rFonts w:ascii="Times New Roman" w:eastAsia="Times New Roman" w:hAnsi="Times New Roman" w:cs="Times New Roman"/>
        </w:rPr>
        <w:t>16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935DF7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5D33" w:rsidRPr="00175D33" w:rsidRDefault="00175D33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ACM Tra</w:t>
      </w:r>
      <w:r w:rsidR="0074703C">
        <w:rPr>
          <w:rFonts w:ascii="Times New Roman" w:eastAsia="Times New Roman" w:hAnsi="Times New Roman" w:cs="Times New Roman"/>
          <w:i/>
        </w:rPr>
        <w:t>nsactions on Information System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</w:rPr>
        <w:t>(TOIS)</w:t>
      </w:r>
    </w:p>
    <w:p w:rsidR="00175D33" w:rsidRPr="00175D33" w:rsidRDefault="00175D33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ACM Transactions on Knowledge Discovery</w:t>
      </w:r>
      <w:r w:rsidR="00A610AB">
        <w:rPr>
          <w:rFonts w:ascii="Times New Roman" w:eastAsia="Times New Roman" w:hAnsi="Times New Roman" w:cs="Times New Roman"/>
          <w:i/>
        </w:rPr>
        <w:t xml:space="preserve"> from Data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(TKDD)</w:t>
      </w: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AC6688" w:rsidRDefault="00117A5F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AC6688" w:rsidRDefault="00AC6688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Expert Systems with Applications</w:t>
      </w:r>
      <w:r>
        <w:rPr>
          <w:rFonts w:ascii="Times New Roman" w:eastAsia="Times New Roman" w:hAnsi="Times New Roman" w:cs="Times New Roman"/>
        </w:rPr>
        <w:t xml:space="preserve"> (ESWA)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1905B6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042EAC" w:rsidRPr="001905B6" w:rsidRDefault="001905B6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Machine Learning</w:t>
      </w:r>
      <w:r>
        <w:rPr>
          <w:rFonts w:ascii="Times New Roman" w:eastAsia="Times New Roman" w:hAnsi="Times New Roman" w:cs="Times New Roman"/>
        </w:rPr>
        <w:t xml:space="preserve"> (Mach. Learn.)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1D5850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SODA’17, </w:t>
      </w:r>
      <w:r w:rsidR="00C624ED">
        <w:rPr>
          <w:rFonts w:ascii="Times New Roman" w:eastAsia="Times New Roman" w:hAnsi="Times New Roman" w:cs="Times New Roman"/>
        </w:rPr>
        <w:t xml:space="preserve">IEEE ICDM’16, </w:t>
      </w:r>
      <w:r w:rsidR="007660E2">
        <w:rPr>
          <w:rFonts w:ascii="Times New Roman" w:eastAsia="Times New Roman" w:hAnsi="Times New Roman" w:cs="Times New Roman"/>
        </w:rPr>
        <w:t xml:space="preserve">ACM CIKM’16, Grace Hopper ’16, </w:t>
      </w:r>
      <w:r w:rsidR="004A5827"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Association for </w:t>
      </w:r>
      <w:r w:rsidR="00E94003">
        <w:rPr>
          <w:rFonts w:ascii="Times New Roman" w:eastAsia="Times New Roman" w:hAnsi="Times New Roman" w:cs="Times New Roman"/>
        </w:rPr>
        <w:t>Computing</w:t>
      </w:r>
      <w:r w:rsidR="00D45378">
        <w:rPr>
          <w:rFonts w:ascii="Times New Roman" w:eastAsia="Times New Roman" w:hAnsi="Times New Roman" w:cs="Times New Roman"/>
        </w:rPr>
        <w:t xml:space="preserve"> Machinery (ACM), 2012 – 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</w:t>
      </w:r>
      <w:r w:rsidR="00E94003">
        <w:rPr>
          <w:rFonts w:ascii="Times New Roman" w:eastAsia="Times New Roman" w:hAnsi="Times New Roman" w:cs="Times New Roman"/>
        </w:rPr>
        <w:t>c Engineers (IEEE), 2012 – 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Society for Industrial and Applied Mathematics </w:t>
      </w:r>
      <w:r w:rsidR="00E94003">
        <w:rPr>
          <w:rFonts w:ascii="Times New Roman" w:eastAsia="Times New Roman" w:hAnsi="Times New Roman" w:cs="Times New Roman"/>
        </w:rPr>
        <w:t>(SIAM), 2012 – 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817651">
    <w:pPr>
      <w:pStyle w:val="normal0"/>
      <w:spacing w:after="1440"/>
      <w:jc w:val="center"/>
    </w:pPr>
    <w:fldSimple w:instr="PAGE">
      <w:r w:rsidR="00AC6688">
        <w:rPr>
          <w:noProof/>
        </w:rPr>
        <w:t>7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B4817"/>
    <w:rsid w:val="000D0DA8"/>
    <w:rsid w:val="000D46D1"/>
    <w:rsid w:val="000E72CA"/>
    <w:rsid w:val="000E7FDA"/>
    <w:rsid w:val="00117A5F"/>
    <w:rsid w:val="00120CAB"/>
    <w:rsid w:val="00123CB8"/>
    <w:rsid w:val="00131DC1"/>
    <w:rsid w:val="001436B4"/>
    <w:rsid w:val="001610AC"/>
    <w:rsid w:val="00163C62"/>
    <w:rsid w:val="00170032"/>
    <w:rsid w:val="00175D33"/>
    <w:rsid w:val="001905B6"/>
    <w:rsid w:val="0019376E"/>
    <w:rsid w:val="001C7769"/>
    <w:rsid w:val="001D5850"/>
    <w:rsid w:val="0021474B"/>
    <w:rsid w:val="00237A8F"/>
    <w:rsid w:val="00253E72"/>
    <w:rsid w:val="002857FC"/>
    <w:rsid w:val="00292743"/>
    <w:rsid w:val="002B0007"/>
    <w:rsid w:val="002D37A7"/>
    <w:rsid w:val="002D3F6D"/>
    <w:rsid w:val="002F12D4"/>
    <w:rsid w:val="00302532"/>
    <w:rsid w:val="003061B7"/>
    <w:rsid w:val="00314BBE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75063"/>
    <w:rsid w:val="00475E6F"/>
    <w:rsid w:val="004948C3"/>
    <w:rsid w:val="00496F00"/>
    <w:rsid w:val="004A5827"/>
    <w:rsid w:val="004C1E15"/>
    <w:rsid w:val="004D256B"/>
    <w:rsid w:val="004E32D4"/>
    <w:rsid w:val="004E404F"/>
    <w:rsid w:val="00520E2D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610C3"/>
    <w:rsid w:val="006643B5"/>
    <w:rsid w:val="00691DF6"/>
    <w:rsid w:val="00692214"/>
    <w:rsid w:val="00697115"/>
    <w:rsid w:val="006B2837"/>
    <w:rsid w:val="006E227B"/>
    <w:rsid w:val="006F5AC8"/>
    <w:rsid w:val="00700582"/>
    <w:rsid w:val="00704ED5"/>
    <w:rsid w:val="0071304A"/>
    <w:rsid w:val="0072697C"/>
    <w:rsid w:val="00745114"/>
    <w:rsid w:val="0074703C"/>
    <w:rsid w:val="0076085C"/>
    <w:rsid w:val="007660E2"/>
    <w:rsid w:val="00780E3C"/>
    <w:rsid w:val="007B76A7"/>
    <w:rsid w:val="00817651"/>
    <w:rsid w:val="00842D81"/>
    <w:rsid w:val="008474EC"/>
    <w:rsid w:val="008517EA"/>
    <w:rsid w:val="00884218"/>
    <w:rsid w:val="00891074"/>
    <w:rsid w:val="008A2BCE"/>
    <w:rsid w:val="008A402F"/>
    <w:rsid w:val="008E1DEB"/>
    <w:rsid w:val="008F6171"/>
    <w:rsid w:val="00935DF7"/>
    <w:rsid w:val="00950B29"/>
    <w:rsid w:val="00973A57"/>
    <w:rsid w:val="00981D73"/>
    <w:rsid w:val="00992382"/>
    <w:rsid w:val="00993CEB"/>
    <w:rsid w:val="009C4FD9"/>
    <w:rsid w:val="009D6BDB"/>
    <w:rsid w:val="009E386A"/>
    <w:rsid w:val="009E50A5"/>
    <w:rsid w:val="00A239C2"/>
    <w:rsid w:val="00A610AB"/>
    <w:rsid w:val="00A83665"/>
    <w:rsid w:val="00A94F4C"/>
    <w:rsid w:val="00A96941"/>
    <w:rsid w:val="00AB2956"/>
    <w:rsid w:val="00AC6688"/>
    <w:rsid w:val="00B0439C"/>
    <w:rsid w:val="00B875D6"/>
    <w:rsid w:val="00BC5F08"/>
    <w:rsid w:val="00BF14E7"/>
    <w:rsid w:val="00C03826"/>
    <w:rsid w:val="00C52167"/>
    <w:rsid w:val="00C624ED"/>
    <w:rsid w:val="00CA2249"/>
    <w:rsid w:val="00CC711A"/>
    <w:rsid w:val="00CD2B21"/>
    <w:rsid w:val="00D033F7"/>
    <w:rsid w:val="00D03EA4"/>
    <w:rsid w:val="00D30AC0"/>
    <w:rsid w:val="00D34D61"/>
    <w:rsid w:val="00D357F1"/>
    <w:rsid w:val="00D45378"/>
    <w:rsid w:val="00D61098"/>
    <w:rsid w:val="00D70EA8"/>
    <w:rsid w:val="00DE1F64"/>
    <w:rsid w:val="00DE77AA"/>
    <w:rsid w:val="00E05C76"/>
    <w:rsid w:val="00E2079B"/>
    <w:rsid w:val="00E211AF"/>
    <w:rsid w:val="00E66C4B"/>
    <w:rsid w:val="00E6764F"/>
    <w:rsid w:val="00E70AF4"/>
    <w:rsid w:val="00E745D6"/>
    <w:rsid w:val="00E94003"/>
    <w:rsid w:val="00E96716"/>
    <w:rsid w:val="00EB551B"/>
    <w:rsid w:val="00ED05D4"/>
    <w:rsid w:val="00ED1978"/>
    <w:rsid w:val="00EF1EAE"/>
    <w:rsid w:val="00F004C8"/>
    <w:rsid w:val="00F27633"/>
    <w:rsid w:val="00F358C6"/>
    <w:rsid w:val="00F41666"/>
    <w:rsid w:val="00F610F6"/>
    <w:rsid w:val="00F650BD"/>
    <w:rsid w:val="00F65BA4"/>
    <w:rsid w:val="00F67F3D"/>
    <w:rsid w:val="00FD14E9"/>
    <w:rsid w:val="00FF5C7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1727</Words>
  <Characters>9845</Characters>
  <Application>Microsoft Macintosh Word</Application>
  <DocSecurity>0</DocSecurity>
  <Lines>82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129</cp:revision>
  <cp:lastPrinted>2016-08-19T12:55:00Z</cp:lastPrinted>
  <dcterms:created xsi:type="dcterms:W3CDTF">2015-11-12T03:01:00Z</dcterms:created>
  <dcterms:modified xsi:type="dcterms:W3CDTF">2016-08-23T12:42:00Z</dcterms:modified>
</cp:coreProperties>
</file>