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&lt;title&gt;Celestial Hub&lt;/title&gt;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background: #4b0082;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'Courier New', monospace;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.button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background: #6a0dad;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padding: 15px 30px;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margin: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box-shadow: 0 4px 8px rgba(0, 0, 0, 0.2);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.button:hover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background: #5a009b;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font-size: 2.5rem;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&lt;h1&gt;Welcome to Celestial Hub&lt;/h1&gt;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&lt;p&gt;Your digital planner and cosmic space for balance and magic.&lt;/p&gt;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&lt;button class="button" onclick="location.href='tasks.html'"&gt;🌟 View Daily Tasks for February 🌟&lt;/button&gt;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