
<file path=[Content_Types].xml><?xml version="1.0" encoding="utf-8"?>
<Types xmlns="http://schemas.openxmlformats.org/package/2006/content-types">
  <Default ContentType="application/xml" Extension="xml"/>
  <Default ContentType="application/x-font-ttf" Extension="ttf"/>
  <Default ContentType="application/vnd.openxmlformats-officedocument.obfuscatedFont" Extension="odttf"/>
  <Default ContentType="application/vnd.openxmlformats-package.relationships+xml" Extension="rels"/>
  <Override ContentType="application/vnd.openxmlformats-officedocument.wordprocessingml.settings+xml" PartName="/word/settings.xml"/>
  <Override ContentType="application/vnd.openxmlformats-officedocument.wordprocessingml.styles+xml" PartName="/word/styles.xml"/>
  <Override ContentType="application/vnd.openxmlformats-officedocument.wordprocessingml.fontTable+xml" PartName="/word/fontTable.xml"/>
  <Override ContentType="application/vnd.openxmlformats-officedocument.wordprocessingml.numbering+xml" PartName="/word/numbering.xml"/>
  <Override ContentType="application/vnd.openxmlformats-officedocument.wordprocessingml.document.main+xml" PartName="/word/document.xml"/>
  <Override ContentType="application/vnd.openxmlformats-officedocument.theme+xml" PartName="/word/theme/theme1.xml"/>
</Types>
</file>

<file path=_rels/.rels><?xml version="1.0" encoding="UTF-8" standalone="yes"?><Relationships xmlns="http://schemas.openxmlformats.org/package/2006/relationships"><Relationship Id="rId1" Type="http://schemas.openxmlformats.org/officeDocument/2006/relationships/officeDocument" Target="word/document.xml"/></Relationships>
</file>

<file path=word/document.xml><?xml version="1.0" encoding="utf-8"?>
<w:document xmlns:mc="http://schemas.openxmlformats.org/markup-compatibility/2006" xmlns:o="urn:schemas-microsoft-com:office:office" xmlns:r="http://schemas.openxmlformats.org/officeDocument/2006/relationships" xmlns:m="http://schemas.openxmlformats.org/officeDocument/2006/math" xmlns:v="urn:schemas-microsoft-com:vml" xmlns:wp="http://schemas.openxmlformats.org/drawingml/2006/wordprocessingDrawing" xmlns:w10="urn:schemas-microsoft-com:office:word" xmlns:w="http://schemas.openxmlformats.org/wordprocessingml/2006/main" xmlns:wne="http://schemas.microsoft.com/office/word/2006/wordml" xmlns:sl="http://schemas.openxmlformats.org/schemaLibrary/2006/main" xmlns:a="http://schemas.openxmlformats.org/drawingml/2006/main" xmlns:pic="http://schemas.openxmlformats.org/drawingml/2006/picture" xmlns:c="http://schemas.openxmlformats.org/drawingml/2006/chart" xmlns:lc="http://schemas.openxmlformats.org/drawingml/2006/lockedCanvas" xmlns:dgm="http://schemas.openxmlformats.org/drawingml/2006/diagram" xmlns:wps="http://schemas.microsoft.com/office/word/2010/wordprocessingShape" xmlns:wpg="http://schemas.microsoft.com/office/word/2010/wordprocessingGroup" xmlns:w14="http://schemas.microsoft.com/office/word/2010/wordml" xmlns:w15="http://schemas.microsoft.com/office/word/2012/wordml" xmlns:w16="http://schemas.microsoft.com/office/word/2018/wordml" xmlns:w16cex="http://schemas.microsoft.com/office/word/2018/wordml/cex" xmlns:w16cid="http://schemas.microsoft.com/office/word/2016/wordml/cid" xmlns="http://schemas.microsoft.com/office/tasks/2019/documenttasks" xmlns:cr="http://schemas.microsoft.com/office/comments/2020/reactions">
  <w:body>
    <w:p w:rsidR="00000000" w:rsidDel="00000000" w:rsidP="00000000" w:rsidRDefault="00000000" w:rsidRPr="00000000" w14:paraId="00000001">
      <w:pPr>
        <w:pStyle w:val="Heading1"/>
        <w:rPr/>
      </w:pPr>
      <w:bookmarkStart w:colFirst="0" w:colLast="0" w:name="_vi2uq57mgvc5" w:id="0"/>
      <w:bookmarkEnd w:id="0"/>
      <w:r w:rsidDel="00000000" w:rsidR="00000000" w:rsidRPr="00000000">
        <w:rPr>
          <w:rtl w:val="0"/>
        </w:rPr>
        <w:t xml:space="preserve">DavinTrade AI Guardrails &amp; Regulatory Compliance Manual</w:t>
      </w:r>
    </w:p>
    <w:p w:rsidR="00000000" w:rsidDel="00000000" w:rsidP="00000000" w:rsidRDefault="00000000" w:rsidRPr="00000000" w14:paraId="00000002">
      <w:pPr>
        <w:spacing w:after="200" w:lineRule="auto"/>
        <w:rPr>
          <w:b w:val="1"/>
          <w:bCs w:val="1"/>
        </w:rPr>
      </w:pPr>
      <w:r w:rsidDel="00000000" w:rsidR="00000000" w:rsidRPr="00000000">
        <w:rPr>
          <w:b w:val="1"/>
          <w:bCs w:val="1"/>
          <w:rtl w:val="0"/>
        </w:rPr>
        <w:t xml:space="preserve">Document Reference:</w:t>
      </w:r>
      <w:r w:rsidDel="00000000" w:rsidR="00000000" w:rsidRPr="00000000">
        <w:rPr>
          <w:rtl w:val="0"/>
        </w:rPr>
        <w:t xml:space="preserve"> DT-COMP-2026-V1</w:t>
        <w:br w:type="textWrapping"/>
      </w:r>
      <w:r w:rsidDel="00000000" w:rsidR="00000000" w:rsidRPr="00000000">
        <w:rPr>
          <w:b w:val="1"/>
          <w:bCs w:val="1"/>
          <w:rtl w:val="0"/>
        </w:rPr>
        <w:t xml:space="preserve">Target Architecture:</w:t>
      </w:r>
      <w:r w:rsidDel="00000000" w:rsidR="00000000" w:rsidRPr="00000000">
        <w:rPr>
          <w:rtl w:val="0"/>
        </w:rPr>
        <w:t xml:space="preserve"> Global Quantitative SaaS Platform (UK, EU/Estonia, US, Thailand)</w:t>
        <w:br w:type="textWrapping"/>
      </w:r>
      <w:r w:rsidDel="00000000" w:rsidR="00000000" w:rsidRPr="00000000">
        <w:rPr>
          <w:b w:val="1"/>
          <w:bCs w:val="1"/>
          <w:rtl w:val="0"/>
        </w:rPr>
        <w:t xml:space="preserve">Classification:</w:t>
      </w:r>
      <w:r w:rsidDel="00000000" w:rsidR="00000000" w:rsidRPr="00000000">
        <w:rPr>
          <w:rtl w:val="0"/>
        </w:rPr>
        <w:t xml:space="preserve"> Internal Engineering &amp; Compliance Specification</w:t>
      </w:r>
      <w:r w:rsidDel="00000000" w:rsidR="00000000" w:rsidRPr="00000000">
        <w:rPr>
          <w:rtl w:val="0"/>
        </w:rPr>
      </w:r>
    </w:p>
    <w:p w:rsidR="00000000" w:rsidDel="00000000" w:rsidP="00000000" w:rsidRDefault="00000000" w:rsidRPr="00000000" w14:paraId="00000003">
      <w:pPr>
        <w:rPr/>
      </w:pPr>
      <w:r w:rsidDel="00000000" w:rsidR="00000000" w:rsidRPr="00000000">
        <w:pict>
          <v:rect style="width:0.0pt;height:1.5pt" o:hr="t" o:hrstd="t" o:hralign="center" fillcolor="#A0A0A0" stroked="f"/>
        </w:pict>
      </w:r>
      <w:r w:rsidDel="00000000" w:rsidR="00000000" w:rsidRPr="00000000">
        <w:rPr>
          <w:rtl w:val="0"/>
        </w:rPr>
      </w:r>
    </w:p>
    <w:p w:rsidR="00000000" w:rsidDel="00000000" w:rsidP="00000000" w:rsidRDefault="00000000" w:rsidRPr="00000000" w14:paraId="00000004">
      <w:pPr>
        <w:pStyle w:val="Heading2"/>
        <w:rPr/>
      </w:pPr>
      <w:bookmarkStart w:colFirst="0" w:colLast="0" w:name="_hhoy5v2xmmrh" w:id="1"/>
      <w:bookmarkEnd w:id="1"/>
      <w:r w:rsidDel="00000000" w:rsidR="00000000" w:rsidRPr="00000000">
        <w:rPr>
          <w:rtl w:val="0"/>
        </w:rPr>
        <w:t xml:space="preserve">1. Executive Summary &amp; Regulatory Purpose</w:t>
      </w:r>
    </w:p>
    <w:p w:rsidR="00000000" w:rsidDel="00000000" w:rsidP="00000000" w:rsidRDefault="00000000" w:rsidRPr="00000000" w14:paraId="00000005">
      <w:pPr>
        <w:spacing w:after="200" w:lineRule="auto"/>
        <w:rPr>
          <w:b w:val="1"/>
          <w:bCs w:val="1"/>
        </w:rPr>
      </w:pPr>
      <w:r w:rsidDel="00000000" w:rsidR="00000000" w:rsidRPr="00000000">
        <w:rPr>
          <w:rtl w:val="0"/>
        </w:rPr>
        <w:t xml:space="preserve">The purpose of this manual is to establish comprehensive guardrails and architectural constraints for DavinTrade. By strictly regulating both automated algorithmic outputs and Conversational AI (LLM) responses, DavinTrade maintains its classification as a </w:t>
      </w:r>
      <w:r w:rsidDel="00000000" w:rsidR="00000000" w:rsidRPr="00000000">
        <w:rPr>
          <w:b w:val="1"/>
          <w:bCs w:val="1"/>
          <w:rtl w:val="0"/>
        </w:rPr>
        <w:t xml:space="preserve">Quantitative Data Analytics &amp; Decision Support Software (SaaS)</w:t>
      </w:r>
      <w:r w:rsidDel="00000000" w:rsidR="00000000" w:rsidRPr="00000000">
        <w:rPr>
          <w:rtl w:val="0"/>
        </w:rPr>
        <w:t xml:space="preserve"> and avoids being categorized as a </w:t>
      </w:r>
      <w:r w:rsidDel="00000000" w:rsidR="00000000" w:rsidRPr="00000000">
        <w:rPr>
          <w:b w:val="1"/>
          <w:bCs w:val="1"/>
          <w:rtl w:val="0"/>
        </w:rPr>
        <w:t xml:space="preserve">Regulated Financial Advisory Service</w:t>
      </w:r>
      <w:r w:rsidDel="00000000" w:rsidR="00000000" w:rsidRPr="00000000">
        <w:rPr>
          <w:rtl w:val="0"/>
        </w:rPr>
        <w:t xml:space="preserve">.</w:t>
      </w:r>
      <w:r w:rsidDel="00000000" w:rsidR="00000000" w:rsidRPr="00000000">
        <w:rPr>
          <w:rtl w:val="0"/>
        </w:rPr>
      </w:r>
    </w:p>
    <w:p w:rsidR="00000000" w:rsidDel="00000000" w:rsidP="00000000" w:rsidRDefault="00000000" w:rsidRPr="00000000" w14:paraId="00000006">
      <w:pPr>
        <w:pStyle w:val="Heading3"/>
        <w:rPr/>
      </w:pPr>
      <w:bookmarkStart w:colFirst="0" w:colLast="0" w:name="_wh1zk5guj16w" w:id="2"/>
      <w:bookmarkEnd w:id="2"/>
      <w:r w:rsidDel="00000000" w:rsidR="00000000" w:rsidRPr="00000000">
        <w:rPr>
          <w:rtl w:val="0"/>
        </w:rPr>
        <w:t xml:space="preserve">1.1 International Regulatory Landscape</w:t>
      </w:r>
    </w:p>
    <w:p w:rsidR="00000000" w:rsidDel="00000000" w:rsidP="00000000" w:rsidRDefault="00000000" w:rsidRPr="00000000" w14:paraId="00000007">
      <w:pPr>
        <w:numPr>
          <w:ilvl w:val="0"/>
          <w:numId w:val="3"/>
        </w:numPr>
        <w:spacing w:after="0" w:afterAutospacing="0" w:lineRule="auto"/>
        <w:ind w:left="720" w:hanging="360"/>
      </w:pPr>
      <w:r w:rsidDel="00000000" w:rsidR="00000000" w:rsidRPr="00000000">
        <w:rPr>
          <w:b w:val="1"/>
          <w:bCs w:val="1"/>
          <w:rtl w:val="0"/>
        </w:rPr>
        <w:t xml:space="preserve">United Kingdom (FCA):</w:t>
      </w:r>
      <w:r w:rsidDel="00000000" w:rsidR="00000000" w:rsidRPr="00000000">
        <w:rPr>
          <w:rtl w:val="0"/>
        </w:rPr>
        <w:t xml:space="preserve"> Under the Financial Services and Markets Act 2000 (Regulated Activities Order) Article 53, providing advice on investments requires authorization if it constitutes a </w:t>
      </w:r>
      <w:r w:rsidDel="00000000" w:rsidR="00000000" w:rsidRPr="00000000">
        <w:rPr>
          <w:i w:val="1"/>
          <w:iCs w:val="1"/>
          <w:rtl w:val="0"/>
        </w:rPr>
        <w:t xml:space="preserve">personal recommendation</w:t>
      </w:r>
      <w:r w:rsidDel="00000000" w:rsidR="00000000" w:rsidRPr="00000000">
        <w:rPr>
          <w:rtl w:val="0"/>
        </w:rPr>
        <w:t xml:space="preserve"> relating to transactions in financial instruments.</w:t>
      </w:r>
      <w:r w:rsidDel="00000000" w:rsidR="00000000" w:rsidRPr="00000000">
        <w:rPr>
          <w:rtl w:val="0"/>
        </w:rPr>
      </w:r>
    </w:p>
    <w:p w:rsidR="00000000" w:rsidDel="00000000" w:rsidP="00000000" w:rsidRDefault="00000000" w:rsidRPr="00000000" w14:paraId="00000008">
      <w:pPr>
        <w:numPr>
          <w:ilvl w:val="0"/>
          <w:numId w:val="3"/>
        </w:numPr>
        <w:spacing w:after="0" w:afterAutospacing="0" w:lineRule="auto"/>
        <w:ind w:left="720" w:hanging="360"/>
      </w:pPr>
      <w:r w:rsidDel="00000000" w:rsidR="00000000" w:rsidRPr="00000000">
        <w:rPr>
          <w:b w:val="1"/>
          <w:bCs w:val="1"/>
          <w:rtl w:val="0"/>
        </w:rPr>
        <w:t xml:space="preserve">European Union / Estonia (MiFID II / FI):</w:t>
      </w:r>
      <w:r w:rsidDel="00000000" w:rsidR="00000000" w:rsidRPr="00000000">
        <w:rPr>
          <w:rtl w:val="0"/>
        </w:rPr>
        <w:t xml:space="preserve"> Directive 2014/65/EU defines investment advice as personal recommendations based on a client's circumstances. Pure statistical and analytical tools operate within safe harbor boundaries.</w:t>
      </w:r>
      <w:r w:rsidDel="00000000" w:rsidR="00000000" w:rsidRPr="00000000">
        <w:rPr>
          <w:rtl w:val="0"/>
        </w:rPr>
      </w:r>
    </w:p>
    <w:p w:rsidR="00000000" w:rsidDel="00000000" w:rsidP="00000000" w:rsidRDefault="00000000" w:rsidRPr="00000000" w14:paraId="00000009">
      <w:pPr>
        <w:numPr>
          <w:ilvl w:val="0"/>
          <w:numId w:val="3"/>
        </w:numPr>
        <w:spacing w:after="0" w:afterAutospacing="0" w:lineRule="auto"/>
        <w:ind w:left="720" w:hanging="360"/>
      </w:pPr>
      <w:r w:rsidDel="00000000" w:rsidR="00000000" w:rsidRPr="00000000">
        <w:rPr>
          <w:b w:val="1"/>
          <w:bCs w:val="1"/>
          <w:rtl w:val="0"/>
        </w:rPr>
        <w:t xml:space="preserve">United States (CFTC / SEC):</w:t>
      </w:r>
      <w:r w:rsidDel="00000000" w:rsidR="00000000" w:rsidRPr="00000000">
        <w:rPr>
          <w:rtl w:val="0"/>
        </w:rPr>
        <w:t xml:space="preserve"> Under CFTC regulations and the Supreme Court precedent (</w:t>
      </w:r>
      <w:r w:rsidDel="00000000" w:rsidR="00000000" w:rsidRPr="00000000">
        <w:rPr>
          <w:i w:val="1"/>
          <w:iCs w:val="1"/>
          <w:rtl w:val="0"/>
        </w:rPr>
        <w:t xml:space="preserve">Lowe v. SEC</w:t>
      </w:r>
      <w:r w:rsidDel="00000000" w:rsidR="00000000" w:rsidRPr="00000000">
        <w:rPr>
          <w:rtl w:val="0"/>
        </w:rPr>
        <w:t xml:space="preserve">), impersonal publications and data tools benefit from publisher exemptions, provided they do not provide personalized investment advice or commodity trading direction.</w:t>
      </w:r>
      <w:r w:rsidDel="00000000" w:rsidR="00000000" w:rsidRPr="00000000">
        <w:rPr>
          <w:rtl w:val="0"/>
        </w:rPr>
      </w:r>
    </w:p>
    <w:p w:rsidR="00000000" w:rsidDel="00000000" w:rsidP="00000000" w:rsidRDefault="00000000" w:rsidRPr="00000000" w14:paraId="0000000A">
      <w:pPr>
        <w:numPr>
          <w:ilvl w:val="0"/>
          <w:numId w:val="3"/>
        </w:numPr>
        <w:spacing w:after="200" w:lineRule="auto"/>
        <w:ind w:left="720" w:hanging="360"/>
      </w:pPr>
      <w:r w:rsidDel="00000000" w:rsidR="00000000" w:rsidRPr="00000000">
        <w:rPr>
          <w:b w:val="1"/>
          <w:bCs w:val="1"/>
          <w:rtl w:val="0"/>
        </w:rPr>
        <w:t xml:space="preserve">Thailand (SEC / Derivatives Act B.E. 2546):</w:t>
      </w:r>
      <w:r w:rsidDel="00000000" w:rsidR="00000000" w:rsidRPr="00000000">
        <w:rPr>
          <w:rtl w:val="0"/>
        </w:rPr>
        <w:t xml:space="preserve"> Direct commercial recommendations regarding foreign exchange derivatives without a license carry significant legal and payment processor risks.</w:t>
      </w:r>
      <w:r w:rsidDel="00000000" w:rsidR="00000000" w:rsidRPr="00000000">
        <w:rPr>
          <w:rtl w:val="0"/>
        </w:rPr>
      </w:r>
    </w:p>
    <w:p w:rsidR="00000000" w:rsidDel="00000000" w:rsidP="00000000" w:rsidRDefault="00000000" w:rsidRPr="00000000" w14:paraId="0000000B">
      <w:pPr>
        <w:rPr/>
      </w:pPr>
      <w:r w:rsidDel="00000000" w:rsidR="00000000" w:rsidRPr="00000000">
        <w:pict>
          <v:rect style="width:0.0pt;height:1.5pt" o:hr="t" o:hrstd="t" o:hralign="center" fillcolor="#A0A0A0" stroked="f"/>
        </w:pict>
      </w:r>
      <w:r w:rsidDel="00000000" w:rsidR="00000000" w:rsidRPr="00000000">
        <w:rPr>
          <w:rtl w:val="0"/>
        </w:rPr>
      </w:r>
    </w:p>
    <w:p w:rsidR="00000000" w:rsidDel="00000000" w:rsidP="00000000" w:rsidRDefault="00000000" w:rsidRPr="00000000" w14:paraId="0000000C">
      <w:pPr>
        <w:pStyle w:val="Heading2"/>
        <w:rPr/>
      </w:pPr>
      <w:bookmarkStart w:colFirst="0" w:colLast="0" w:name="_xj5px6win24x" w:id="3"/>
      <w:bookmarkEnd w:id="3"/>
      <w:r w:rsidDel="00000000" w:rsidR="00000000" w:rsidRPr="00000000">
        <w:rPr>
          <w:rtl w:val="0"/>
        </w:rPr>
        <w:t xml:space="preserve">2. Core Architectural Principles</w:t>
      </w:r>
    </w:p>
    <w:p w:rsidR="00000000" w:rsidDel="00000000" w:rsidP="00000000" w:rsidRDefault="00000000" w:rsidRPr="00000000" w14:paraId="0000000D">
      <w:pPr>
        <w:spacing w:after="200" w:lineRule="auto"/>
        <w:rPr/>
      </w:pPr>
      <w:r w:rsidDel="00000000" w:rsidR="00000000" w:rsidRPr="00000000">
        <w:rPr>
          <w:rtl w:val="0"/>
        </w:rPr>
        <w:t xml:space="preserve">DavinTrade operates under three immutable architectural pillars:</w:t>
      </w:r>
    </w:p>
    <w:p w:rsidR="00000000" w:rsidDel="00000000" w:rsidP="00000000" w:rsidRDefault="00000000" w:rsidRPr="00000000" w14:paraId="0000000E">
      <w:pPr>
        <w:pStyle w:val="Heading3"/>
        <w:rPr/>
      </w:pPr>
      <w:bookmarkStart w:colFirst="0" w:colLast="0" w:name="_8wtw9fbmpe3d" w:id="4"/>
      <w:bookmarkEnd w:id="4"/>
      <w:r w:rsidDel="00000000" w:rsidR="00000000" w:rsidRPr="00000000">
        <w:rPr>
          <w:rtl w:val="0"/>
        </w:rPr>
        <w:t xml:space="preserve">Principle 1: Descriptive, Never Prescriptive</w:t>
      </w:r>
    </w:p>
    <w:p w:rsidR="00000000" w:rsidDel="00000000" w:rsidP="00000000" w:rsidRDefault="00000000" w:rsidRPr="00000000" w14:paraId="0000000F">
      <w:pPr>
        <w:numPr>
          <w:ilvl w:val="0"/>
          <w:numId w:val="3"/>
        </w:numPr>
        <w:spacing w:after="0" w:afterAutospacing="0" w:lineRule="auto"/>
        <w:ind w:left="720" w:hanging="360"/>
      </w:pPr>
      <w:r w:rsidDel="00000000" w:rsidR="00000000" w:rsidRPr="00000000">
        <w:rPr>
          <w:b w:val="1"/>
          <w:bCs w:val="1"/>
          <w:rtl w:val="0"/>
        </w:rPr>
        <w:t xml:space="preserve">Descriptive (Compliant):</w:t>
      </w:r>
      <w:r w:rsidDel="00000000" w:rsidR="00000000" w:rsidRPr="00000000">
        <w:rPr>
          <w:rtl w:val="0"/>
        </w:rPr>
        <w:t xml:space="preserve"> The system exclusively calculates, visualizes, and reports mathematical properties, historical probabilities, volatility distributions, and statistical anomalies.</w:t>
      </w:r>
      <w:r w:rsidDel="00000000" w:rsidR="00000000" w:rsidRPr="00000000">
        <w:rPr>
          <w:rtl w:val="0"/>
        </w:rPr>
      </w:r>
    </w:p>
    <w:p w:rsidR="00000000" w:rsidDel="00000000" w:rsidP="00000000" w:rsidRDefault="00000000" w:rsidRPr="00000000" w14:paraId="00000010">
      <w:pPr>
        <w:numPr>
          <w:ilvl w:val="0"/>
          <w:numId w:val="3"/>
        </w:numPr>
        <w:spacing w:after="200" w:lineRule="auto"/>
        <w:ind w:left="720" w:hanging="360"/>
      </w:pPr>
      <w:r w:rsidDel="00000000" w:rsidR="00000000" w:rsidRPr="00000000">
        <w:rPr>
          <w:b w:val="1"/>
          <w:bCs w:val="1"/>
          <w:rtl w:val="0"/>
        </w:rPr>
        <w:t xml:space="preserve">Prescriptive (Prohibited):</w:t>
      </w:r>
      <w:r w:rsidDel="00000000" w:rsidR="00000000" w:rsidRPr="00000000">
        <w:rPr>
          <w:rtl w:val="0"/>
        </w:rPr>
        <w:t xml:space="preserve"> The system must never instruct, urge, validate, or recommend that a user execute, modify, or liquidate any financial position.</w:t>
      </w:r>
      <w:r w:rsidDel="00000000" w:rsidR="00000000" w:rsidRPr="00000000">
        <w:rPr>
          <w:rtl w:val="0"/>
        </w:rPr>
      </w:r>
    </w:p>
    <w:p w:rsidR="00000000" w:rsidDel="00000000" w:rsidP="00000000" w:rsidRDefault="00000000" w:rsidRPr="00000000" w14:paraId="00000011">
      <w:pPr>
        <w:pStyle w:val="Heading3"/>
        <w:rPr/>
      </w:pPr>
      <w:bookmarkStart w:colFirst="0" w:colLast="0" w:name="_ris2uj7rabpm" w:id="5"/>
      <w:bookmarkEnd w:id="5"/>
      <w:r w:rsidDel="00000000" w:rsidR="00000000" w:rsidRPr="00000000">
        <w:rPr>
          <w:rtl w:val="0"/>
        </w:rPr>
        <w:t xml:space="preserve">Principle 2: Zero Account Personalization (Impersonal Processing)</w:t>
      </w:r>
    </w:p>
    <w:p w:rsidR="00000000" w:rsidDel="00000000" w:rsidP="00000000" w:rsidRDefault="00000000" w:rsidRPr="00000000" w14:paraId="00000012">
      <w:pPr>
        <w:numPr>
          <w:ilvl w:val="0"/>
          <w:numId w:val="3"/>
        </w:numPr>
        <w:spacing w:after="0" w:afterAutospacing="0" w:lineRule="auto"/>
        <w:ind w:left="720" w:hanging="360"/>
      </w:pPr>
      <w:r w:rsidDel="00000000" w:rsidR="00000000" w:rsidRPr="00000000">
        <w:rPr>
          <w:rtl w:val="0"/>
        </w:rPr>
        <w:t xml:space="preserve">The calculation engine and AI layer must remain completely decoupled from the user's private financial situation.</w:t>
      </w:r>
    </w:p>
    <w:p w:rsidR="00000000" w:rsidDel="00000000" w:rsidP="00000000" w:rsidRDefault="00000000" w:rsidRPr="00000000" w14:paraId="00000013">
      <w:pPr>
        <w:numPr>
          <w:ilvl w:val="0"/>
          <w:numId w:val="3"/>
        </w:numPr>
        <w:spacing w:after="200" w:lineRule="auto"/>
        <w:ind w:left="720" w:hanging="360"/>
      </w:pPr>
      <w:r w:rsidDel="00000000" w:rsidR="00000000" w:rsidRPr="00000000">
        <w:rPr>
          <w:rtl w:val="0"/>
        </w:rPr>
        <w:t xml:space="preserve">The system must </w:t>
      </w:r>
      <w:r w:rsidDel="00000000" w:rsidR="00000000" w:rsidRPr="00000000">
        <w:rPr>
          <w:b w:val="1"/>
          <w:bCs w:val="1"/>
          <w:rtl w:val="0"/>
        </w:rPr>
        <w:t xml:space="preserve">never</w:t>
      </w:r>
      <w:r w:rsidDel="00000000" w:rsidR="00000000" w:rsidRPr="00000000">
        <w:rPr>
          <w:rtl w:val="0"/>
        </w:rPr>
        <w:t xml:space="preserve"> ingest account balance, available margin, floating drawdown, historical P&amp;L, or individual risk profiles to determine position sizing, entry levels, or trade viability.</w:t>
      </w:r>
      <w:r w:rsidDel="00000000" w:rsidR="00000000" w:rsidRPr="00000000">
        <w:rPr>
          <w:rtl w:val="0"/>
        </w:rPr>
      </w:r>
    </w:p>
    <w:p w:rsidR="00000000" w:rsidDel="00000000" w:rsidP="00000000" w:rsidRDefault="00000000" w:rsidRPr="00000000" w14:paraId="00000014">
      <w:pPr>
        <w:pStyle w:val="Heading3"/>
        <w:rPr/>
      </w:pPr>
      <w:bookmarkStart w:colFirst="0" w:colLast="0" w:name="_10bm25poe75b" w:id="6"/>
      <w:bookmarkEnd w:id="6"/>
      <w:r w:rsidDel="00000000" w:rsidR="00000000" w:rsidRPr="00000000">
        <w:rPr>
          <w:rtl w:val="0"/>
        </w:rPr>
        <w:t xml:space="preserve">Principle 3: Absolute User Execution Autonomy</w:t>
      </w:r>
    </w:p>
    <w:p w:rsidR="00000000" w:rsidDel="00000000" w:rsidP="00000000" w:rsidRDefault="00000000" w:rsidRPr="00000000" w14:paraId="00000015">
      <w:pPr>
        <w:numPr>
          <w:ilvl w:val="0"/>
          <w:numId w:val="3"/>
        </w:numPr>
        <w:spacing w:after="0" w:afterAutospacing="0" w:lineRule="auto"/>
        <w:ind w:left="720" w:hanging="360"/>
      </w:pPr>
      <w:r w:rsidDel="00000000" w:rsidR="00000000" w:rsidRPr="00000000">
        <w:rPr>
          <w:rtl w:val="0"/>
        </w:rPr>
        <w:t xml:space="preserve">DavinTrade functions strictly as a decision-support workbench.</w:t>
      </w:r>
    </w:p>
    <w:p w:rsidR="00000000" w:rsidDel="00000000" w:rsidP="00000000" w:rsidRDefault="00000000" w:rsidRPr="00000000" w14:paraId="00000016">
      <w:pPr>
        <w:numPr>
          <w:ilvl w:val="0"/>
          <w:numId w:val="3"/>
        </w:numPr>
        <w:spacing w:after="200" w:lineRule="auto"/>
        <w:ind w:left="720" w:hanging="360"/>
      </w:pPr>
      <w:r w:rsidDel="00000000" w:rsidR="00000000" w:rsidRPr="00000000">
        <w:rPr>
          <w:rtl w:val="0"/>
        </w:rPr>
        <w:t xml:space="preserve">All trade decisions, order submissions, risk parameter configurations, and final trade execution remain 100% within the manual control and sole discretion of the end-user.</w:t>
      </w:r>
    </w:p>
    <w:p w:rsidR="00000000" w:rsidDel="00000000" w:rsidP="00000000" w:rsidRDefault="00000000" w:rsidRPr="00000000" w14:paraId="00000017">
      <w:pPr>
        <w:rPr/>
      </w:pPr>
      <w:r w:rsidDel="00000000" w:rsidR="00000000" w:rsidRPr="00000000">
        <w:pict>
          <v:rect style="width:0.0pt;height:1.5pt" o:hr="t" o:hrstd="t" o:hralign="center" fillcolor="#A0A0A0" stroked="f"/>
        </w:pict>
      </w:r>
      <w:r w:rsidDel="00000000" w:rsidR="00000000" w:rsidRPr="00000000">
        <w:rPr>
          <w:rtl w:val="0"/>
        </w:rPr>
      </w:r>
    </w:p>
    <w:p w:rsidR="00000000" w:rsidDel="00000000" w:rsidP="00000000" w:rsidRDefault="00000000" w:rsidRPr="00000000" w14:paraId="00000018">
      <w:pPr>
        <w:pStyle w:val="Heading2"/>
        <w:rPr/>
      </w:pPr>
      <w:bookmarkStart w:colFirst="0" w:colLast="0" w:name="_cc8t6ts104pk" w:id="7"/>
      <w:bookmarkEnd w:id="7"/>
      <w:r w:rsidDel="00000000" w:rsidR="00000000" w:rsidRPr="00000000">
        <w:rPr>
          <w:rtl w:val="0"/>
        </w:rPr>
        <w:t xml:space="preserve">3. Conversational AI (LLM) Guardrails</w:t>
      </w:r>
    </w:p>
    <w:p w:rsidR="00000000" w:rsidDel="00000000" w:rsidP="00000000" w:rsidRDefault="00000000" w:rsidRPr="00000000" w14:paraId="00000019">
      <w:pPr>
        <w:spacing w:after="200" w:lineRule="auto"/>
        <w:rPr/>
      </w:pPr>
      <w:r w:rsidDel="00000000" w:rsidR="00000000" w:rsidRPr="00000000">
        <w:rPr>
          <w:rtl w:val="0"/>
        </w:rPr>
        <w:t xml:space="preserve">When users interact with DavinTrade’s conversational workbench, the underlying LLM must operate under strict system directives.</w:t>
      </w:r>
    </w:p>
    <w:p w:rsidR="00000000" w:rsidDel="00000000" w:rsidP="00000000" w:rsidRDefault="00000000" w:rsidRPr="00000000" w14:paraId="0000001A">
      <w:pPr>
        <w:pStyle w:val="Heading3"/>
        <w:rPr/>
      </w:pPr>
      <w:bookmarkStart w:colFirst="0" w:colLast="0" w:name="_cjsx536a4dx2" w:id="8"/>
      <w:bookmarkEnd w:id="8"/>
      <w:r w:rsidDel="00000000" w:rsidR="00000000" w:rsidRPr="00000000">
        <w:rPr>
          <w:rtl w:val="0"/>
        </w:rPr>
        <w:t xml:space="preserve">3.1 Persona Definition</w:t>
      </w:r>
    </w:p>
    <w:p w:rsidR="00000000" w:rsidDel="00000000" w:rsidP="00000000" w:rsidRDefault="00000000" w:rsidRPr="00000000" w14:paraId="0000001B">
      <w:pPr>
        <w:numPr>
          <w:ilvl w:val="0"/>
          <w:numId w:val="3"/>
        </w:numPr>
        <w:spacing w:after="0" w:afterAutospacing="0" w:lineRule="auto"/>
        <w:ind w:left="720" w:hanging="360"/>
      </w:pPr>
      <w:r w:rsidDel="00000000" w:rsidR="00000000" w:rsidRPr="00000000">
        <w:rPr>
          <w:b w:val="1"/>
          <w:bCs w:val="1"/>
          <w:rtl w:val="0"/>
        </w:rPr>
        <w:t xml:space="preserve">Assigned Role:</w:t>
      </w:r>
      <w:r w:rsidDel="00000000" w:rsidR="00000000" w:rsidRPr="00000000">
        <w:rPr>
          <w:rtl w:val="0"/>
        </w:rPr>
        <w:t xml:space="preserve"> Senior Quantitative Market Data Analyst and Applied Mathematics Engine.</w:t>
      </w:r>
      <w:r w:rsidDel="00000000" w:rsidR="00000000" w:rsidRPr="00000000">
        <w:rPr>
          <w:rtl w:val="0"/>
        </w:rPr>
      </w:r>
    </w:p>
    <w:p w:rsidR="00000000" w:rsidDel="00000000" w:rsidP="00000000" w:rsidRDefault="00000000" w:rsidRPr="00000000" w14:paraId="0000001C">
      <w:pPr>
        <w:numPr>
          <w:ilvl w:val="0"/>
          <w:numId w:val="3"/>
        </w:numPr>
        <w:spacing w:after="0" w:afterAutospacing="0" w:lineRule="auto"/>
        <w:ind w:left="720" w:hanging="360"/>
      </w:pPr>
      <w:r w:rsidDel="00000000" w:rsidR="00000000" w:rsidRPr="00000000">
        <w:rPr>
          <w:b w:val="1"/>
          <w:bCs w:val="1"/>
          <w:rtl w:val="0"/>
        </w:rPr>
        <w:t xml:space="preserve">Prohibited Role:</w:t>
      </w:r>
      <w:r w:rsidDel="00000000" w:rsidR="00000000" w:rsidRPr="00000000">
        <w:rPr>
          <w:rtl w:val="0"/>
        </w:rPr>
        <w:t xml:space="preserve"> Financial Advisor, Investment Strategist, Trading Coach, or Signal Caller.</w:t>
      </w:r>
      <w:r w:rsidDel="00000000" w:rsidR="00000000" w:rsidRPr="00000000">
        <w:rPr>
          <w:rtl w:val="0"/>
        </w:rPr>
      </w:r>
    </w:p>
    <w:p w:rsidR="00000000" w:rsidDel="00000000" w:rsidP="00000000" w:rsidRDefault="00000000" w:rsidRPr="00000000" w14:paraId="0000001D">
      <w:pPr>
        <w:numPr>
          <w:ilvl w:val="0"/>
          <w:numId w:val="3"/>
        </w:numPr>
        <w:spacing w:after="200" w:lineRule="auto"/>
        <w:ind w:left="720" w:hanging="360"/>
      </w:pPr>
      <w:r w:rsidDel="00000000" w:rsidR="00000000" w:rsidRPr="00000000">
        <w:rPr>
          <w:b w:val="1"/>
          <w:bCs w:val="1"/>
          <w:rtl w:val="0"/>
        </w:rPr>
        <w:t xml:space="preserve">Tone:</w:t>
      </w:r>
      <w:r w:rsidDel="00000000" w:rsidR="00000000" w:rsidRPr="00000000">
        <w:rPr>
          <w:rtl w:val="0"/>
        </w:rPr>
        <w:t xml:space="preserve"> Objective, neutral, academic, empirical, and strictly mathematical.</w:t>
      </w:r>
      <w:r w:rsidDel="00000000" w:rsidR="00000000" w:rsidRPr="00000000">
        <w:rPr>
          <w:rtl w:val="0"/>
        </w:rPr>
      </w:r>
    </w:p>
    <w:p w:rsidR="00000000" w:rsidDel="00000000" w:rsidP="00000000" w:rsidRDefault="00000000" w:rsidRPr="00000000" w14:paraId="0000001E">
      <w:pPr>
        <w:pStyle w:val="Heading3"/>
        <w:rPr/>
      </w:pPr>
      <w:bookmarkStart w:colFirst="0" w:colLast="0" w:name="_z8yqlqp008j" w:id="9"/>
      <w:bookmarkEnd w:id="9"/>
      <w:r w:rsidDel="00000000" w:rsidR="00000000" w:rsidRPr="00000000">
        <w:rPr>
          <w:rtl w:val="0"/>
        </w:rPr>
        <w:t xml:space="preserve">3.2 Negative Constraints (Hard Boundaries)</w:t>
      </w:r>
    </w:p>
    <w:p w:rsidR="00000000" w:rsidDel="00000000" w:rsidP="00000000" w:rsidRDefault="00000000" w:rsidRPr="00000000" w14:paraId="0000001F">
      <w:pPr>
        <w:numPr>
          <w:ilvl w:val="0"/>
          <w:numId w:val="1"/>
        </w:numPr>
        <w:spacing w:after="0" w:afterAutospacing="0" w:lineRule="auto"/>
        <w:ind w:left="720" w:hanging="360"/>
      </w:pPr>
      <w:r w:rsidDel="00000000" w:rsidR="00000000" w:rsidRPr="00000000">
        <w:rPr>
          <w:b w:val="1"/>
          <w:bCs w:val="1"/>
          <w:rtl w:val="0"/>
        </w:rPr>
        <w:t xml:space="preserve">Never use action-oriented trading verbs:</w:t>
      </w:r>
      <w:r w:rsidDel="00000000" w:rsidR="00000000" w:rsidRPr="00000000">
        <w:rPr>
          <w:rtl w:val="0"/>
        </w:rPr>
        <w:t xml:space="preserve"> Do not use words such as </w:t>
      </w:r>
      <w:r w:rsidDel="00000000" w:rsidR="00000000" w:rsidRPr="00000000">
        <w:rPr>
          <w:i w:val="1"/>
          <w:iCs w:val="1"/>
          <w:rtl w:val="0"/>
        </w:rPr>
        <w:t xml:space="preserve">Buy, Sell, Long, Short, Open position, Close position, Take profit, Cut loss, Enter now</w:t>
      </w:r>
      <w:r w:rsidDel="00000000" w:rsidR="00000000" w:rsidRPr="00000000">
        <w:rPr>
          <w:rtl w:val="0"/>
        </w:rPr>
        <w:t xml:space="preserve">.</w:t>
      </w:r>
      <w:r w:rsidDel="00000000" w:rsidR="00000000" w:rsidRPr="00000000">
        <w:rPr>
          <w:rtl w:val="0"/>
        </w:rPr>
      </w:r>
    </w:p>
    <w:p w:rsidR="00000000" w:rsidDel="00000000" w:rsidP="00000000" w:rsidRDefault="00000000" w:rsidRPr="00000000" w14:paraId="00000020">
      <w:pPr>
        <w:numPr>
          <w:ilvl w:val="0"/>
          <w:numId w:val="1"/>
        </w:numPr>
        <w:spacing w:after="0" w:afterAutospacing="0" w:lineRule="auto"/>
        <w:ind w:left="720" w:hanging="360"/>
      </w:pPr>
      <w:r w:rsidDel="00000000" w:rsidR="00000000" w:rsidRPr="00000000">
        <w:rPr>
          <w:b w:val="1"/>
          <w:bCs w:val="1"/>
          <w:rtl w:val="0"/>
        </w:rPr>
        <w:t xml:space="preserve">Never evaluate trade quality:</w:t>
      </w:r>
      <w:r w:rsidDel="00000000" w:rsidR="00000000" w:rsidRPr="00000000">
        <w:rPr>
          <w:rtl w:val="0"/>
        </w:rPr>
        <w:t xml:space="preserve"> Never answer whether a user's trade idea is "good," "bad," "safe," or "profitable."</w:t>
      </w:r>
      <w:r w:rsidDel="00000000" w:rsidR="00000000" w:rsidRPr="00000000">
        <w:rPr>
          <w:rtl w:val="0"/>
        </w:rPr>
      </w:r>
    </w:p>
    <w:p w:rsidR="00000000" w:rsidDel="00000000" w:rsidP="00000000" w:rsidRDefault="00000000" w:rsidRPr="00000000" w14:paraId="00000021">
      <w:pPr>
        <w:numPr>
          <w:ilvl w:val="0"/>
          <w:numId w:val="1"/>
        </w:numPr>
        <w:spacing w:after="200" w:lineRule="auto"/>
        <w:ind w:left="720" w:hanging="360"/>
      </w:pPr>
      <w:r w:rsidDel="00000000" w:rsidR="00000000" w:rsidRPr="00000000">
        <w:rPr>
          <w:b w:val="1"/>
          <w:bCs w:val="1"/>
          <w:rtl w:val="0"/>
        </w:rPr>
        <w:t xml:space="preserve">Never guarantee outcomes:</w:t>
      </w:r>
      <w:r w:rsidDel="00000000" w:rsidR="00000000" w:rsidRPr="00000000">
        <w:rPr>
          <w:rtl w:val="0"/>
        </w:rPr>
        <w:t xml:space="preserve"> Probabilistic figures must always reflect historical calculations, never certainty or guaranteed returns.</w:t>
      </w:r>
      <w:r w:rsidDel="00000000" w:rsidR="00000000" w:rsidRPr="00000000">
        <w:rPr>
          <w:rtl w:val="0"/>
        </w:rPr>
      </w:r>
    </w:p>
    <w:p w:rsidR="00000000" w:rsidDel="00000000" w:rsidP="00000000" w:rsidRDefault="00000000" w:rsidRPr="00000000" w14:paraId="00000022">
      <w:pPr>
        <w:pStyle w:val="Heading3"/>
        <w:rPr/>
      </w:pPr>
      <w:bookmarkStart w:colFirst="0" w:colLast="0" w:name="_kynbk1tjx0ch" w:id="10"/>
      <w:bookmarkEnd w:id="10"/>
      <w:r w:rsidDel="00000000" w:rsidR="00000000" w:rsidRPr="00000000">
        <w:rPr>
          <w:rtl w:val="0"/>
        </w:rPr>
        <w:t xml:space="preserve">3.3 Query Reframing Framework</w:t>
      </w:r>
    </w:p>
    <w:p w:rsidR="00000000" w:rsidDel="00000000" w:rsidP="00000000" w:rsidRDefault="00000000" w:rsidRPr="00000000" w14:paraId="00000023">
      <w:pPr>
        <w:spacing w:after="200" w:lineRule="auto"/>
        <w:rPr/>
      </w:pPr>
      <w:r w:rsidDel="00000000" w:rsidR="00000000" w:rsidRPr="00000000">
        <w:rPr>
          <w:rtl w:val="0"/>
        </w:rPr>
        <w:t xml:space="preserve">Whenever a user asks a leading or advisory question, the AI must automatically reframe the response to focus solely on mathematical models and statistical distributions:</w:t>
      </w:r>
    </w:p>
    <w:p w:rsidR="00000000" w:rsidDel="00000000" w:rsidP="00000000" w:rsidRDefault="00000000" w:rsidRPr="00000000" w14:paraId="00000024">
      <w:pPr>
        <w:numPr>
          <w:ilvl w:val="0"/>
          <w:numId w:val="4"/>
        </w:numPr>
        <w:spacing w:after="0" w:afterAutospacing="0" w:lineRule="auto"/>
        <w:ind w:left="720" w:hanging="360"/>
      </w:pPr>
      <w:r w:rsidDel="00000000" w:rsidR="00000000" w:rsidRPr="00000000">
        <w:rPr>
          <w:b w:val="1"/>
          <w:bCs w:val="1"/>
          <w:rtl w:val="0"/>
        </w:rPr>
        <w:t xml:space="preserve">User Input:</w:t>
      </w:r>
      <w:r w:rsidDel="00000000" w:rsidR="00000000" w:rsidRPr="00000000">
        <w:rPr>
          <w:rtl w:val="0"/>
        </w:rPr>
        <w:t xml:space="preserve"> </w:t>
      </w:r>
      <w:r w:rsidDel="00000000" w:rsidR="00000000" w:rsidRPr="00000000">
        <w:rPr>
          <w:i w:val="1"/>
          <w:iCs w:val="1"/>
          <w:rtl w:val="0"/>
        </w:rPr>
        <w:t xml:space="preserve">"Should I buy Gold (XAUUSD) at 2540 right now?"</w:t>
      </w:r>
    </w:p>
    <w:p w:rsidR="00000000" w:rsidDel="00000000" w:rsidP="00000000" w:rsidRDefault="00000000" w:rsidRPr="00000000" w14:paraId="00000025">
      <w:pPr>
        <w:numPr>
          <w:ilvl w:val="0"/>
          <w:numId w:val="4"/>
        </w:numPr>
        <w:spacing w:after="200" w:lineRule="auto"/>
        <w:ind w:left="720" w:hanging="360"/>
      </w:pPr>
      <w:r w:rsidDel="00000000" w:rsidR="00000000" w:rsidRPr="00000000">
        <w:rPr>
          <w:b w:val="1"/>
          <w:bCs w:val="1"/>
          <w:rtl w:val="0"/>
        </w:rPr>
        <w:t xml:space="preserve">AI Reframing Response:</w:t>
      </w:r>
    </w:p>
    <w:p w:rsidR="00000000" w:rsidDel="00000000" w:rsidP="00000000" w:rsidRDefault="00000000" w:rsidRPr="00000000" w14:paraId="00000026">
      <w:pPr>
        <w:spacing w:after="200" w:lineRule="auto"/>
        <w:ind w:left="1320" w:right="600" w:firstLine="0"/>
        <w:rPr/>
      </w:pPr>
      <w:r w:rsidDel="00000000" w:rsidR="00000000" w:rsidRPr="00000000">
        <w:rPr>
          <w:rtl w:val="0"/>
        </w:rPr>
        <w:t xml:space="preserve">*"DavinTrade does not provide financial advice, trading signals, or execution recommendations.</w:t>
      </w:r>
    </w:p>
    <w:p w:rsidR="00000000" w:rsidDel="00000000" w:rsidP="00000000" w:rsidRDefault="00000000" w:rsidRPr="00000000" w14:paraId="00000027">
      <w:pPr>
        <w:spacing w:after="200" w:lineRule="auto"/>
        <w:ind w:left="1320" w:right="600" w:firstLine="0"/>
        <w:rPr/>
      </w:pPr>
      <w:r w:rsidDel="00000000" w:rsidR="00000000" w:rsidRPr="00000000">
        <w:rPr>
          <w:rtl w:val="0"/>
        </w:rPr>
        <w:t xml:space="preserve">From a purely quantitative perspective, current mathematical models calculate the following for XAUUSD:</w:t>
      </w:r>
    </w:p>
    <w:p w:rsidR="00000000" w:rsidDel="00000000" w:rsidP="00000000" w:rsidRDefault="00000000" w:rsidRPr="00000000" w14:paraId="00000028">
      <w:pPr>
        <w:numPr>
          <w:ilvl w:val="1"/>
          <w:numId w:val="4"/>
        </w:numPr>
        <w:spacing w:after="0" w:afterAutospacing="0" w:lineRule="auto"/>
        <w:ind w:left="2760" w:right="600" w:hanging="360"/>
      </w:pPr>
      <w:r w:rsidDel="00000000" w:rsidR="00000000" w:rsidRPr="00000000">
        <w:rPr>
          <w:b w:val="1"/>
          <w:bCs w:val="1"/>
          <w:rtl w:val="0"/>
        </w:rPr>
        <w:t xml:space="preserve">Reversal Probability Index:</w:t>
      </w:r>
      <w:r w:rsidDel="00000000" w:rsidR="00000000" w:rsidRPr="00000000">
        <w:rPr>
          <w:rtl w:val="0"/>
        </w:rPr>
        <w:t xml:space="preserve"> 74% within the 2520 – 2560 statistical density zone.</w:t>
      </w:r>
      <w:r w:rsidDel="00000000" w:rsidR="00000000" w:rsidRPr="00000000">
        <w:rPr>
          <w:rtl w:val="0"/>
        </w:rPr>
      </w:r>
    </w:p>
    <w:p w:rsidR="00000000" w:rsidDel="00000000" w:rsidP="00000000" w:rsidRDefault="00000000" w:rsidRPr="00000000" w14:paraId="00000029">
      <w:pPr>
        <w:numPr>
          <w:ilvl w:val="1"/>
          <w:numId w:val="4"/>
        </w:numPr>
        <w:spacing w:after="0" w:afterAutospacing="0" w:lineRule="auto"/>
        <w:ind w:left="2760" w:right="600" w:hanging="360"/>
      </w:pPr>
      <w:r w:rsidDel="00000000" w:rsidR="00000000" w:rsidRPr="00000000">
        <w:rPr>
          <w:b w:val="1"/>
          <w:bCs w:val="1"/>
          <w:rtl w:val="0"/>
        </w:rPr>
        <w:t xml:space="preserve">Standard Deviation Boundary:</w:t>
      </w:r>
      <w:r w:rsidDel="00000000" w:rsidR="00000000" w:rsidRPr="00000000">
        <w:rPr>
          <w:rtl w:val="0"/>
        </w:rPr>
        <w:t xml:space="preserve"> The lower boundary is currently located at 2518.</w:t>
      </w:r>
      <w:r w:rsidDel="00000000" w:rsidR="00000000" w:rsidRPr="00000000">
        <w:rPr>
          <w:rtl w:val="0"/>
        </w:rPr>
      </w:r>
    </w:p>
    <w:p w:rsidR="00000000" w:rsidDel="00000000" w:rsidP="00000000" w:rsidRDefault="00000000" w:rsidRPr="00000000" w14:paraId="0000002A">
      <w:pPr>
        <w:numPr>
          <w:ilvl w:val="1"/>
          <w:numId w:val="4"/>
        </w:numPr>
        <w:spacing w:after="200" w:lineRule="auto"/>
        <w:ind w:left="2760" w:right="600" w:hanging="360"/>
      </w:pPr>
      <w:r w:rsidDel="00000000" w:rsidR="00000000" w:rsidRPr="00000000">
        <w:rPr>
          <w:b w:val="1"/>
          <w:bCs w:val="1"/>
          <w:rtl w:val="0"/>
        </w:rPr>
        <w:t xml:space="preserve">Historical Sample:</w:t>
      </w:r>
      <w:r w:rsidDel="00000000" w:rsidR="00000000" w:rsidRPr="00000000">
        <w:rPr>
          <w:rtl w:val="0"/>
        </w:rPr>
        <w:t xml:space="preserve"> Based on the last 500 instances of structural compression on the H1 timeframe, mean-reversion occurred in 68% of test cycles."*</w:t>
      </w:r>
      <w:r w:rsidDel="00000000" w:rsidR="00000000" w:rsidRPr="00000000">
        <w:rPr>
          <w:rtl w:val="0"/>
        </w:rPr>
      </w:r>
    </w:p>
    <w:p w:rsidR="00000000" w:rsidDel="00000000" w:rsidP="00000000" w:rsidRDefault="00000000" w:rsidRPr="00000000" w14:paraId="0000002B">
      <w:pPr>
        <w:rPr/>
      </w:pPr>
      <w:r w:rsidDel="00000000" w:rsidR="00000000" w:rsidRPr="00000000">
        <w:pict>
          <v:rect style="width:0.0pt;height:1.5pt" o:hr="t" o:hrstd="t" o:hralign="center" fillcolor="#A0A0A0" stroked="f"/>
        </w:pict>
      </w:r>
      <w:r w:rsidDel="00000000" w:rsidR="00000000" w:rsidRPr="00000000">
        <w:rPr>
          <w:rtl w:val="0"/>
        </w:rPr>
      </w:r>
    </w:p>
    <w:p w:rsidR="00000000" w:rsidDel="00000000" w:rsidP="00000000" w:rsidRDefault="00000000" w:rsidRPr="00000000" w14:paraId="0000002C">
      <w:pPr>
        <w:pStyle w:val="Heading2"/>
        <w:rPr/>
      </w:pPr>
      <w:bookmarkStart w:colFirst="0" w:colLast="0" w:name="_ggp4ctc15ufb" w:id="11"/>
      <w:bookmarkEnd w:id="11"/>
      <w:r w:rsidDel="00000000" w:rsidR="00000000" w:rsidRPr="00000000">
        <w:rPr>
          <w:rtl w:val="0"/>
        </w:rPr>
        <w:t xml:space="preserve">4. Controlled Lexicon &amp; Terminology Matrix</w:t>
      </w:r>
    </w:p>
    <w:p w:rsidR="00000000" w:rsidDel="00000000" w:rsidP="00000000" w:rsidRDefault="00000000" w:rsidRPr="00000000" w14:paraId="0000002D">
      <w:pPr>
        <w:spacing w:after="200" w:lineRule="auto"/>
        <w:rPr/>
      </w:pPr>
      <w:r w:rsidDel="00000000" w:rsidR="00000000" w:rsidRPr="00000000">
        <w:rPr>
          <w:rtl w:val="0"/>
        </w:rPr>
        <w:t xml:space="preserve">All marketing copy, UI labels, tooltips, and AI-generated text must adhere strictly to the following terminology mappings:</w:t>
      </w:r>
    </w:p>
    <w:tbl>
      <w:tblPr>
        <w:tblStyle w:val="Table1"/>
        <w:tblW w:w="9360.0" w:type="dxa"/>
        <w:jc w:val="left"/>
        <w:tblBorders>
          <w:top w:color="000000" w:space="0" w:sz="8" w:val="single"/>
          <w:left w:color="000000" w:space="0" w:sz="8" w:val="single"/>
          <w:bottom w:color="000000" w:space="0" w:sz="8" w:val="single"/>
          <w:right w:color="000000" w:space="0" w:sz="8" w:val="single"/>
          <w:insideH w:color="000000" w:space="0" w:sz="8" w:val="single"/>
          <w:insideV w:color="000000" w:space="0" w:sz="8" w:val="single"/>
        </w:tblBorders>
        <w:tblLayout w:type="fixed"/>
        <w:tblLook w:val="0600"/>
      </w:tblPr>
      <w:tblGrid>
        <w:gridCol w:w="3120"/>
        <w:gridCol w:w="3120"/>
        <w:gridCol w:w="3120"/>
        <w:tblGridChange w:id="0">
          <w:tblGrid>
            <w:gridCol w:w="3120"/>
            <w:gridCol w:w="3120"/>
            <w:gridCol w:w="3120"/>
          </w:tblGrid>
        </w:tblGridChange>
      </w:tblGrid>
      <w:tr>
        <w:trPr>
          <w:cantSplit w:val="0"/>
          <w:tblHeader w:val="1"/>
        </w:trPr>
        <w:tc>
          <w:tcPr>
            <w:shd w:fill="auto" w:val="clear"/>
            <w:tcMar>
              <w:top w:w="100.0" w:type="dxa"/>
              <w:left w:w="100.0" w:type="dxa"/>
              <w:bottom w:w="100.0" w:type="dxa"/>
              <w:right w:w="100.0" w:type="dxa"/>
            </w:tcMar>
            <w:vAlign w:val="top"/>
          </w:tcPr>
          <w:p w:rsidR="00000000" w:rsidDel="00000000" w:rsidP="00000000" w:rsidRDefault="00000000" w:rsidRPr="00000000" w14:paraId="0000002E">
            <w:pPr>
              <w:jc w:val="left"/>
              <w:rPr>
                <w:b w:val="1"/>
                <w:bCs w:val="1"/>
              </w:rPr>
            </w:pPr>
            <w:r w:rsidDel="00000000" w:rsidR="00000000" w:rsidRPr="00000000">
              <w:rPr>
                <w:b w:val="1"/>
                <w:bCs w:val="1"/>
                <w:rtl w:val="0"/>
              </w:rPr>
              <w:t xml:space="preserve">High-Risk / Prohibited Terminology</w:t>
            </w:r>
          </w:p>
        </w:tc>
        <w:tc>
          <w:tcPr>
            <w:shd w:fill="auto" w:val="clear"/>
            <w:tcMar>
              <w:top w:w="100.0" w:type="dxa"/>
              <w:left w:w="100.0" w:type="dxa"/>
              <w:bottom w:w="100.0" w:type="dxa"/>
              <w:right w:w="100.0" w:type="dxa"/>
            </w:tcMar>
            <w:vAlign w:val="top"/>
          </w:tcPr>
          <w:p w:rsidR="00000000" w:rsidDel="00000000" w:rsidP="00000000" w:rsidRDefault="00000000" w:rsidRPr="00000000" w14:paraId="0000002F">
            <w:pPr>
              <w:jc w:val="left"/>
              <w:rPr>
                <w:b w:val="1"/>
                <w:bCs w:val="1"/>
              </w:rPr>
            </w:pPr>
            <w:r w:rsidDel="00000000" w:rsidR="00000000" w:rsidRPr="00000000">
              <w:rPr>
                <w:b w:val="1"/>
                <w:bCs w:val="1"/>
                <w:rtl w:val="0"/>
              </w:rPr>
              <w:t xml:space="preserve">Approved Quantitative / Compliant Terminology</w:t>
            </w:r>
          </w:p>
        </w:tc>
        <w:tc>
          <w:tcPr>
            <w:shd w:fill="auto" w:val="clear"/>
            <w:tcMar>
              <w:top w:w="100.0" w:type="dxa"/>
              <w:left w:w="100.0" w:type="dxa"/>
              <w:bottom w:w="100.0" w:type="dxa"/>
              <w:right w:w="100.0" w:type="dxa"/>
            </w:tcMar>
            <w:vAlign w:val="top"/>
          </w:tcPr>
          <w:p w:rsidR="00000000" w:rsidDel="00000000" w:rsidP="00000000" w:rsidRDefault="00000000" w:rsidRPr="00000000" w14:paraId="00000030">
            <w:pPr>
              <w:jc w:val="left"/>
              <w:rPr>
                <w:b w:val="1"/>
                <w:bCs w:val="1"/>
              </w:rPr>
            </w:pPr>
            <w:r w:rsidDel="00000000" w:rsidR="00000000" w:rsidRPr="00000000">
              <w:rPr>
                <w:b w:val="1"/>
                <w:bCs w:val="1"/>
                <w:rtl w:val="0"/>
              </w:rPr>
              <w:t xml:space="preserve">Regulatory Rationale</w:t>
            </w:r>
          </w:p>
        </w:tc>
      </w:tr>
      <w:tr>
        <w:trPr>
          <w:cantSplit w:val="0"/>
          <w:tblHeader w:val="0"/>
        </w:trPr>
        <w:tc>
          <w:tcPr>
            <w:shd w:fill="auto" w:val="clear"/>
            <w:tcMar>
              <w:top w:w="100.0" w:type="dxa"/>
              <w:left w:w="100.0" w:type="dxa"/>
              <w:bottom w:w="100.0" w:type="dxa"/>
              <w:right w:w="100.0" w:type="dxa"/>
            </w:tcMar>
            <w:vAlign w:val="top"/>
          </w:tcPr>
          <w:p w:rsidR="00000000" w:rsidDel="00000000" w:rsidP="00000000" w:rsidRDefault="00000000" w:rsidRPr="00000000" w14:paraId="00000031">
            <w:pPr>
              <w:jc w:val="left"/>
              <w:rPr/>
            </w:pPr>
            <w:r w:rsidDel="00000000" w:rsidR="00000000" w:rsidRPr="00000000">
              <w:rPr>
                <w:b w:val="1"/>
                <w:bCs w:val="1"/>
                <w:rtl w:val="0"/>
              </w:rPr>
              <w:t xml:space="preserve">Buy / Sell Signal</w:t>
            </w:r>
            <w:r w:rsidDel="00000000" w:rsidR="00000000" w:rsidRPr="00000000">
              <w:rPr>
                <w:rtl w:val="0"/>
              </w:rPr>
            </w:r>
          </w:p>
        </w:tc>
        <w:tc>
          <w:tcPr>
            <w:shd w:fill="auto" w:val="clear"/>
            <w:tcMar>
              <w:top w:w="100.0" w:type="dxa"/>
              <w:left w:w="100.0" w:type="dxa"/>
              <w:bottom w:w="100.0" w:type="dxa"/>
              <w:right w:w="100.0" w:type="dxa"/>
            </w:tcMar>
            <w:vAlign w:val="top"/>
          </w:tcPr>
          <w:p w:rsidR="00000000" w:rsidDel="00000000" w:rsidP="00000000" w:rsidRDefault="00000000" w:rsidRPr="00000000" w14:paraId="00000032">
            <w:pPr>
              <w:jc w:val="left"/>
              <w:rPr/>
            </w:pPr>
            <w:r w:rsidDel="00000000" w:rsidR="00000000" w:rsidRPr="00000000">
              <w:rPr>
                <w:b w:val="1"/>
                <w:bCs w:val="1"/>
                <w:rtl w:val="0"/>
              </w:rPr>
              <w:t xml:space="preserve">Model Confluence / Probability Boundary</w:t>
            </w:r>
            <w:r w:rsidDel="00000000" w:rsidR="00000000" w:rsidRPr="00000000">
              <w:rPr>
                <w:rtl w:val="0"/>
              </w:rPr>
            </w:r>
          </w:p>
        </w:tc>
        <w:tc>
          <w:tcPr>
            <w:shd w:fill="auto" w:val="clear"/>
            <w:tcMar>
              <w:top w:w="100.0" w:type="dxa"/>
              <w:left w:w="100.0" w:type="dxa"/>
              <w:bottom w:w="100.0" w:type="dxa"/>
              <w:right w:w="100.0" w:type="dxa"/>
            </w:tcMar>
            <w:vAlign w:val="top"/>
          </w:tcPr>
          <w:p w:rsidR="00000000" w:rsidDel="00000000" w:rsidP="00000000" w:rsidRDefault="00000000" w:rsidRPr="00000000" w14:paraId="00000033">
            <w:pPr>
              <w:jc w:val="left"/>
              <w:rPr/>
            </w:pPr>
            <w:r w:rsidDel="00000000" w:rsidR="00000000" w:rsidRPr="00000000">
              <w:rPr>
                <w:rtl w:val="0"/>
              </w:rPr>
              <w:t xml:space="preserve">Prevents classification as order routing or direct signaling.</w:t>
            </w:r>
          </w:p>
        </w:tc>
      </w:tr>
      <w:tr>
        <w:trPr>
          <w:cantSplit w:val="0"/>
          <w:tblHeader w:val="0"/>
        </w:trPr>
        <w:tc>
          <w:tcPr>
            <w:shd w:fill="auto" w:val="clear"/>
            <w:tcMar>
              <w:top w:w="100.0" w:type="dxa"/>
              <w:left w:w="100.0" w:type="dxa"/>
              <w:bottom w:w="100.0" w:type="dxa"/>
              <w:right w:w="100.0" w:type="dxa"/>
            </w:tcMar>
            <w:vAlign w:val="top"/>
          </w:tcPr>
          <w:p w:rsidR="00000000" w:rsidDel="00000000" w:rsidP="00000000" w:rsidRDefault="00000000" w:rsidRPr="00000000" w14:paraId="00000034">
            <w:pPr>
              <w:jc w:val="left"/>
              <w:rPr/>
            </w:pPr>
            <w:r w:rsidDel="00000000" w:rsidR="00000000" w:rsidRPr="00000000">
              <w:rPr>
                <w:b w:val="1"/>
                <w:bCs w:val="1"/>
                <w:rtl w:val="0"/>
              </w:rPr>
              <w:t xml:space="preserve">94.8% Signal Accuracy / Win Rate</w:t>
            </w:r>
            <w:r w:rsidDel="00000000" w:rsidR="00000000" w:rsidRPr="00000000">
              <w:rPr>
                <w:rtl w:val="0"/>
              </w:rPr>
            </w:r>
          </w:p>
        </w:tc>
        <w:tc>
          <w:tcPr>
            <w:shd w:fill="auto" w:val="clear"/>
            <w:tcMar>
              <w:top w:w="100.0" w:type="dxa"/>
              <w:left w:w="100.0" w:type="dxa"/>
              <w:bottom w:w="100.0" w:type="dxa"/>
              <w:right w:w="100.0" w:type="dxa"/>
            </w:tcMar>
            <w:vAlign w:val="top"/>
          </w:tcPr>
          <w:p w:rsidR="00000000" w:rsidDel="00000000" w:rsidP="00000000" w:rsidRDefault="00000000" w:rsidRPr="00000000" w14:paraId="00000035">
            <w:pPr>
              <w:jc w:val="left"/>
              <w:rPr/>
            </w:pPr>
            <w:r w:rsidDel="00000000" w:rsidR="00000000" w:rsidRPr="00000000">
              <w:rPr>
                <w:b w:val="1"/>
                <w:bCs w:val="1"/>
                <w:rtl w:val="0"/>
              </w:rPr>
              <w:t xml:space="preserve">94.8% Model Confluence Rate / Algorithmic Consensus</w:t>
            </w:r>
            <w:r w:rsidDel="00000000" w:rsidR="00000000" w:rsidRPr="00000000">
              <w:rPr>
                <w:rtl w:val="0"/>
              </w:rPr>
            </w:r>
          </w:p>
        </w:tc>
        <w:tc>
          <w:tcPr>
            <w:shd w:fill="auto" w:val="clear"/>
            <w:tcMar>
              <w:top w:w="100.0" w:type="dxa"/>
              <w:left w:w="100.0" w:type="dxa"/>
              <w:bottom w:w="100.0" w:type="dxa"/>
              <w:right w:w="100.0" w:type="dxa"/>
            </w:tcMar>
            <w:vAlign w:val="top"/>
          </w:tcPr>
          <w:p w:rsidR="00000000" w:rsidDel="00000000" w:rsidP="00000000" w:rsidRDefault="00000000" w:rsidRPr="00000000" w14:paraId="00000036">
            <w:pPr>
              <w:jc w:val="left"/>
              <w:rPr/>
            </w:pPr>
            <w:r w:rsidDel="00000000" w:rsidR="00000000" w:rsidRPr="00000000">
              <w:rPr>
                <w:rtl w:val="0"/>
              </w:rPr>
              <w:t xml:space="preserve">Avoids false performance guarantees and high-risk merchant flags.</w:t>
            </w:r>
          </w:p>
        </w:tc>
      </w:tr>
      <w:tr>
        <w:trPr>
          <w:cantSplit w:val="0"/>
          <w:tblHeader w:val="0"/>
        </w:trPr>
        <w:tc>
          <w:tcPr>
            <w:shd w:fill="auto" w:val="clear"/>
            <w:tcMar>
              <w:top w:w="100.0" w:type="dxa"/>
              <w:left w:w="100.0" w:type="dxa"/>
              <w:bottom w:w="100.0" w:type="dxa"/>
              <w:right w:w="100.0" w:type="dxa"/>
            </w:tcMar>
            <w:vAlign w:val="top"/>
          </w:tcPr>
          <w:p w:rsidR="00000000" w:rsidDel="00000000" w:rsidP="00000000" w:rsidRDefault="00000000" w:rsidRPr="00000000" w14:paraId="00000037">
            <w:pPr>
              <w:jc w:val="left"/>
              <w:rPr/>
            </w:pPr>
            <w:r w:rsidDel="00000000" w:rsidR="00000000" w:rsidRPr="00000000">
              <w:rPr>
                <w:b w:val="1"/>
                <w:bCs w:val="1"/>
                <w:rtl w:val="0"/>
              </w:rPr>
              <w:t xml:space="preserve">Entry Price / Recommended Buy</w:t>
            </w:r>
            <w:r w:rsidDel="00000000" w:rsidR="00000000" w:rsidRPr="00000000">
              <w:rPr>
                <w:rtl w:val="0"/>
              </w:rPr>
            </w:r>
          </w:p>
        </w:tc>
        <w:tc>
          <w:tcPr>
            <w:shd w:fill="auto" w:val="clear"/>
            <w:tcMar>
              <w:top w:w="100.0" w:type="dxa"/>
              <w:left w:w="100.0" w:type="dxa"/>
              <w:bottom w:w="100.0" w:type="dxa"/>
              <w:right w:w="100.0" w:type="dxa"/>
            </w:tcMar>
            <w:vAlign w:val="top"/>
          </w:tcPr>
          <w:p w:rsidR="00000000" w:rsidDel="00000000" w:rsidP="00000000" w:rsidRDefault="00000000" w:rsidRPr="00000000" w14:paraId="00000038">
            <w:pPr>
              <w:jc w:val="left"/>
              <w:rPr/>
            </w:pPr>
            <w:r w:rsidDel="00000000" w:rsidR="00000000" w:rsidRPr="00000000">
              <w:rPr>
                <w:b w:val="1"/>
                <w:bCs w:val="1"/>
                <w:rtl w:val="0"/>
              </w:rPr>
              <w:t xml:space="preserve">Statistical Support Zone / Density Cluster</w:t>
            </w:r>
            <w:r w:rsidDel="00000000" w:rsidR="00000000" w:rsidRPr="00000000">
              <w:rPr>
                <w:rtl w:val="0"/>
              </w:rPr>
            </w:r>
          </w:p>
        </w:tc>
        <w:tc>
          <w:tcPr>
            <w:shd w:fill="auto" w:val="clear"/>
            <w:tcMar>
              <w:top w:w="100.0" w:type="dxa"/>
              <w:left w:w="100.0" w:type="dxa"/>
              <w:bottom w:w="100.0" w:type="dxa"/>
              <w:right w:w="100.0" w:type="dxa"/>
            </w:tcMar>
            <w:vAlign w:val="top"/>
          </w:tcPr>
          <w:p w:rsidR="00000000" w:rsidDel="00000000" w:rsidP="00000000" w:rsidRDefault="00000000" w:rsidRPr="00000000" w14:paraId="00000039">
            <w:pPr>
              <w:jc w:val="left"/>
              <w:rPr/>
            </w:pPr>
            <w:r w:rsidDel="00000000" w:rsidR="00000000" w:rsidRPr="00000000">
              <w:rPr>
                <w:rtl w:val="0"/>
              </w:rPr>
              <w:t xml:space="preserve">Describes price levels as mathematical distributions rather than instructions.</w:t>
            </w:r>
          </w:p>
        </w:tc>
      </w:tr>
      <w:tr>
        <w:trPr>
          <w:cantSplit w:val="0"/>
          <w:tblHeader w:val="0"/>
        </w:trPr>
        <w:tc>
          <w:tcPr>
            <w:shd w:fill="auto" w:val="clear"/>
            <w:tcMar>
              <w:top w:w="100.0" w:type="dxa"/>
              <w:left w:w="100.0" w:type="dxa"/>
              <w:bottom w:w="100.0" w:type="dxa"/>
              <w:right w:w="100.0" w:type="dxa"/>
            </w:tcMar>
            <w:vAlign w:val="top"/>
          </w:tcPr>
          <w:p w:rsidR="00000000" w:rsidDel="00000000" w:rsidP="00000000" w:rsidRDefault="00000000" w:rsidRPr="00000000" w14:paraId="0000003A">
            <w:pPr>
              <w:jc w:val="left"/>
              <w:rPr/>
            </w:pPr>
            <w:r w:rsidDel="00000000" w:rsidR="00000000" w:rsidRPr="00000000">
              <w:rPr>
                <w:b w:val="1"/>
                <w:bCs w:val="1"/>
                <w:rtl w:val="0"/>
              </w:rPr>
              <w:t xml:space="preserve">Take Profit (TP)</w:t>
            </w:r>
            <w:r w:rsidDel="00000000" w:rsidR="00000000" w:rsidRPr="00000000">
              <w:rPr>
                <w:rtl w:val="0"/>
              </w:rPr>
            </w:r>
          </w:p>
        </w:tc>
        <w:tc>
          <w:tcPr>
            <w:shd w:fill="auto" w:val="clear"/>
            <w:tcMar>
              <w:top w:w="100.0" w:type="dxa"/>
              <w:left w:w="100.0" w:type="dxa"/>
              <w:bottom w:w="100.0" w:type="dxa"/>
              <w:right w:w="100.0" w:type="dxa"/>
            </w:tcMar>
            <w:vAlign w:val="top"/>
          </w:tcPr>
          <w:p w:rsidR="00000000" w:rsidDel="00000000" w:rsidP="00000000" w:rsidRDefault="00000000" w:rsidRPr="00000000" w14:paraId="0000003B">
            <w:pPr>
              <w:jc w:val="left"/>
              <w:rPr/>
            </w:pPr>
            <w:r w:rsidDel="00000000" w:rsidR="00000000" w:rsidRPr="00000000">
              <w:rPr>
                <w:b w:val="1"/>
                <w:bCs w:val="1"/>
                <w:rtl w:val="0"/>
              </w:rPr>
              <w:t xml:space="preserve">Upper Statistical Extension / Projected Volatility Range</w:t>
            </w:r>
            <w:r w:rsidDel="00000000" w:rsidR="00000000" w:rsidRPr="00000000">
              <w:rPr>
                <w:rtl w:val="0"/>
              </w:rPr>
            </w:r>
          </w:p>
        </w:tc>
        <w:tc>
          <w:tcPr>
            <w:shd w:fill="auto" w:val="clear"/>
            <w:tcMar>
              <w:top w:w="100.0" w:type="dxa"/>
              <w:left w:w="100.0" w:type="dxa"/>
              <w:bottom w:w="100.0" w:type="dxa"/>
              <w:right w:w="100.0" w:type="dxa"/>
            </w:tcMar>
            <w:vAlign w:val="top"/>
          </w:tcPr>
          <w:p w:rsidR="00000000" w:rsidDel="00000000" w:rsidP="00000000" w:rsidRDefault="00000000" w:rsidRPr="00000000" w14:paraId="0000003C">
            <w:pPr>
              <w:jc w:val="left"/>
              <w:rPr/>
            </w:pPr>
            <w:r w:rsidDel="00000000" w:rsidR="00000000" w:rsidRPr="00000000">
              <w:rPr>
                <w:rtl w:val="0"/>
              </w:rPr>
              <w:t xml:space="preserve">Describes historical price distribution rather than target profit claims.</w:t>
            </w:r>
          </w:p>
        </w:tc>
      </w:tr>
      <w:tr>
        <w:trPr>
          <w:cantSplit w:val="0"/>
          <w:tblHeader w:val="0"/>
        </w:trPr>
        <w:tc>
          <w:tcPr>
            <w:shd w:fill="auto" w:val="clear"/>
            <w:tcMar>
              <w:top w:w="100.0" w:type="dxa"/>
              <w:left w:w="100.0" w:type="dxa"/>
              <w:bottom w:w="100.0" w:type="dxa"/>
              <w:right w:w="100.0" w:type="dxa"/>
            </w:tcMar>
            <w:vAlign w:val="top"/>
          </w:tcPr>
          <w:p w:rsidR="00000000" w:rsidDel="00000000" w:rsidP="00000000" w:rsidRDefault="00000000" w:rsidRPr="00000000" w14:paraId="0000003D">
            <w:pPr>
              <w:jc w:val="left"/>
              <w:rPr/>
            </w:pPr>
            <w:r w:rsidDel="00000000" w:rsidR="00000000" w:rsidRPr="00000000">
              <w:rPr>
                <w:b w:val="1"/>
                <w:bCs w:val="1"/>
                <w:rtl w:val="0"/>
              </w:rPr>
              <w:t xml:space="preserve">Stop Loss (SL)</w:t>
            </w:r>
            <w:r w:rsidDel="00000000" w:rsidR="00000000" w:rsidRPr="00000000">
              <w:rPr>
                <w:rtl w:val="0"/>
              </w:rPr>
            </w:r>
          </w:p>
        </w:tc>
        <w:tc>
          <w:tcPr>
            <w:shd w:fill="auto" w:val="clear"/>
            <w:tcMar>
              <w:top w:w="100.0" w:type="dxa"/>
              <w:left w:w="100.0" w:type="dxa"/>
              <w:bottom w:w="100.0" w:type="dxa"/>
              <w:right w:w="100.0" w:type="dxa"/>
            </w:tcMar>
            <w:vAlign w:val="top"/>
          </w:tcPr>
          <w:p w:rsidR="00000000" w:rsidDel="00000000" w:rsidP="00000000" w:rsidRDefault="00000000" w:rsidRPr="00000000" w14:paraId="0000003E">
            <w:pPr>
              <w:jc w:val="left"/>
              <w:rPr/>
            </w:pPr>
            <w:r w:rsidDel="00000000" w:rsidR="00000000" w:rsidRPr="00000000">
              <w:rPr>
                <w:b w:val="1"/>
                <w:bCs w:val="1"/>
                <w:rtl w:val="0"/>
              </w:rPr>
              <w:t xml:space="preserve">Model Invalidation Level / Statistical Risk Boundary</w:t>
            </w:r>
            <w:r w:rsidDel="00000000" w:rsidR="00000000" w:rsidRPr="00000000">
              <w:rPr>
                <w:rtl w:val="0"/>
              </w:rPr>
            </w:r>
          </w:p>
        </w:tc>
        <w:tc>
          <w:tcPr>
            <w:shd w:fill="auto" w:val="clear"/>
            <w:tcMar>
              <w:top w:w="100.0" w:type="dxa"/>
              <w:left w:w="100.0" w:type="dxa"/>
              <w:bottom w:w="100.0" w:type="dxa"/>
              <w:right w:w="100.0" w:type="dxa"/>
            </w:tcMar>
            <w:vAlign w:val="top"/>
          </w:tcPr>
          <w:p w:rsidR="00000000" w:rsidDel="00000000" w:rsidP="00000000" w:rsidRDefault="00000000" w:rsidRPr="00000000" w14:paraId="0000003F">
            <w:pPr>
              <w:jc w:val="left"/>
              <w:rPr/>
            </w:pPr>
            <w:r w:rsidDel="00000000" w:rsidR="00000000" w:rsidRPr="00000000">
              <w:rPr>
                <w:rtl w:val="0"/>
              </w:rPr>
              <w:t xml:space="preserve">Frames boundaries around mathematical validity rather than trade management.</w:t>
            </w:r>
          </w:p>
        </w:tc>
      </w:tr>
      <w:tr>
        <w:trPr>
          <w:cantSplit w:val="0"/>
          <w:tblHeader w:val="0"/>
        </w:trPr>
        <w:tc>
          <w:tcPr>
            <w:shd w:fill="auto" w:val="clear"/>
            <w:tcMar>
              <w:top w:w="100.0" w:type="dxa"/>
              <w:left w:w="100.0" w:type="dxa"/>
              <w:bottom w:w="100.0" w:type="dxa"/>
              <w:right w:w="100.0" w:type="dxa"/>
            </w:tcMar>
            <w:vAlign w:val="top"/>
          </w:tcPr>
          <w:p w:rsidR="00000000" w:rsidDel="00000000" w:rsidP="00000000" w:rsidRDefault="00000000" w:rsidRPr="00000000" w14:paraId="00000040">
            <w:pPr>
              <w:jc w:val="left"/>
              <w:rPr/>
            </w:pPr>
            <w:r w:rsidDel="00000000" w:rsidR="00000000" w:rsidRPr="00000000">
              <w:rPr>
                <w:b w:val="1"/>
                <w:bCs w:val="1"/>
                <w:rtl w:val="0"/>
              </w:rPr>
              <w:t xml:space="preserve">Trade Recommendation / Tip</w:t>
            </w:r>
            <w:r w:rsidDel="00000000" w:rsidR="00000000" w:rsidRPr="00000000">
              <w:rPr>
                <w:rtl w:val="0"/>
              </w:rPr>
            </w:r>
          </w:p>
        </w:tc>
        <w:tc>
          <w:tcPr>
            <w:shd w:fill="auto" w:val="clear"/>
            <w:tcMar>
              <w:top w:w="100.0" w:type="dxa"/>
              <w:left w:w="100.0" w:type="dxa"/>
              <w:bottom w:w="100.0" w:type="dxa"/>
              <w:right w:w="100.0" w:type="dxa"/>
            </w:tcMar>
            <w:vAlign w:val="top"/>
          </w:tcPr>
          <w:p w:rsidR="00000000" w:rsidDel="00000000" w:rsidP="00000000" w:rsidRDefault="00000000" w:rsidRPr="00000000" w14:paraId="00000041">
            <w:pPr>
              <w:jc w:val="left"/>
              <w:rPr/>
            </w:pPr>
            <w:r w:rsidDel="00000000" w:rsidR="00000000" w:rsidRPr="00000000">
              <w:rPr>
                <w:b w:val="1"/>
                <w:bCs w:val="1"/>
                <w:rtl w:val="0"/>
              </w:rPr>
              <w:t xml:space="preserve">Quantitative Observation / Algorithmic Metric</w:t>
            </w:r>
            <w:r w:rsidDel="00000000" w:rsidR="00000000" w:rsidRPr="00000000">
              <w:rPr>
                <w:rtl w:val="0"/>
              </w:rPr>
            </w:r>
          </w:p>
        </w:tc>
        <w:tc>
          <w:tcPr>
            <w:shd w:fill="auto" w:val="clear"/>
            <w:tcMar>
              <w:top w:w="100.0" w:type="dxa"/>
              <w:left w:w="100.0" w:type="dxa"/>
              <w:bottom w:w="100.0" w:type="dxa"/>
              <w:right w:w="100.0" w:type="dxa"/>
            </w:tcMar>
            <w:vAlign w:val="top"/>
          </w:tcPr>
          <w:p w:rsidR="00000000" w:rsidDel="00000000" w:rsidP="00000000" w:rsidRDefault="00000000" w:rsidRPr="00000000" w14:paraId="00000042">
            <w:pPr>
              <w:jc w:val="left"/>
              <w:rPr/>
            </w:pPr>
            <w:r w:rsidDel="00000000" w:rsidR="00000000" w:rsidRPr="00000000">
              <w:rPr>
                <w:rtl w:val="0"/>
              </w:rPr>
              <w:t xml:space="preserve">Clarifies that output is data-driven analysis, not advisory service.</w:t>
            </w:r>
          </w:p>
        </w:tc>
      </w:tr>
      <w:tr>
        <w:trPr>
          <w:cantSplit w:val="0"/>
          <w:tblHeader w:val="0"/>
        </w:trPr>
        <w:tc>
          <w:tcPr>
            <w:shd w:fill="auto" w:val="clear"/>
            <w:tcMar>
              <w:top w:w="100.0" w:type="dxa"/>
              <w:left w:w="100.0" w:type="dxa"/>
              <w:bottom w:w="100.0" w:type="dxa"/>
              <w:right w:w="100.0" w:type="dxa"/>
            </w:tcMar>
            <w:vAlign w:val="top"/>
          </w:tcPr>
          <w:p w:rsidR="00000000" w:rsidDel="00000000" w:rsidP="00000000" w:rsidRDefault="00000000" w:rsidRPr="00000000" w14:paraId="00000043">
            <w:pPr>
              <w:jc w:val="left"/>
              <w:rPr/>
            </w:pPr>
            <w:r w:rsidDel="00000000" w:rsidR="00000000" w:rsidRPr="00000000">
              <w:rPr>
                <w:b w:val="1"/>
                <w:bCs w:val="1"/>
                <w:rtl w:val="0"/>
              </w:rPr>
              <w:t xml:space="preserve">Guaranteed Return / Edge</w:t>
            </w:r>
            <w:r w:rsidDel="00000000" w:rsidR="00000000" w:rsidRPr="00000000">
              <w:rPr>
                <w:rtl w:val="0"/>
              </w:rPr>
            </w:r>
          </w:p>
        </w:tc>
        <w:tc>
          <w:tcPr>
            <w:shd w:fill="auto" w:val="clear"/>
            <w:tcMar>
              <w:top w:w="100.0" w:type="dxa"/>
              <w:left w:w="100.0" w:type="dxa"/>
              <w:bottom w:w="100.0" w:type="dxa"/>
              <w:right w:w="100.0" w:type="dxa"/>
            </w:tcMar>
            <w:vAlign w:val="top"/>
          </w:tcPr>
          <w:p w:rsidR="00000000" w:rsidDel="00000000" w:rsidP="00000000" w:rsidRDefault="00000000" w:rsidRPr="00000000" w14:paraId="00000044">
            <w:pPr>
              <w:jc w:val="left"/>
              <w:rPr/>
            </w:pPr>
            <w:r w:rsidDel="00000000" w:rsidR="00000000" w:rsidRPr="00000000">
              <w:rPr>
                <w:b w:val="1"/>
                <w:bCs w:val="1"/>
                <w:rtl w:val="0"/>
              </w:rPr>
              <w:t xml:space="preserve">Historical Distribution / Probabilistic Tendency</w:t>
            </w:r>
            <w:r w:rsidDel="00000000" w:rsidR="00000000" w:rsidRPr="00000000">
              <w:rPr>
                <w:rtl w:val="0"/>
              </w:rPr>
            </w:r>
          </w:p>
        </w:tc>
        <w:tc>
          <w:tcPr>
            <w:shd w:fill="auto" w:val="clear"/>
            <w:tcMar>
              <w:top w:w="100.0" w:type="dxa"/>
              <w:left w:w="100.0" w:type="dxa"/>
              <w:bottom w:w="100.0" w:type="dxa"/>
              <w:right w:w="100.0" w:type="dxa"/>
            </w:tcMar>
            <w:vAlign w:val="top"/>
          </w:tcPr>
          <w:p w:rsidR="00000000" w:rsidDel="00000000" w:rsidP="00000000" w:rsidRDefault="00000000" w:rsidRPr="00000000" w14:paraId="00000045">
            <w:pPr>
              <w:jc w:val="left"/>
              <w:rPr/>
            </w:pPr>
            <w:r w:rsidDel="00000000" w:rsidR="00000000" w:rsidRPr="00000000">
              <w:rPr>
                <w:rtl w:val="0"/>
              </w:rPr>
              <w:t xml:space="preserve">Mitigates compliance risks under consumer protection and fraud laws.</w:t>
            </w:r>
          </w:p>
        </w:tc>
      </w:tr>
    </w:tbl>
    <w:p w:rsidR="00000000" w:rsidDel="00000000" w:rsidP="00000000" w:rsidRDefault="00000000" w:rsidRPr="00000000" w14:paraId="00000046">
      <w:pPr>
        <w:rPr/>
      </w:pPr>
      <w:r w:rsidDel="00000000" w:rsidR="00000000" w:rsidRPr="00000000">
        <w:pict>
          <v:rect style="width:0.0pt;height:1.5pt" o:hr="t" o:hrstd="t" o:hralign="center" fillcolor="#A0A0A0" stroked="f"/>
        </w:pict>
      </w:r>
      <w:r w:rsidDel="00000000" w:rsidR="00000000" w:rsidRPr="00000000">
        <w:rPr>
          <w:rtl w:val="0"/>
        </w:rPr>
      </w:r>
    </w:p>
    <w:p w:rsidR="00000000" w:rsidDel="00000000" w:rsidP="00000000" w:rsidRDefault="00000000" w:rsidRPr="00000000" w14:paraId="00000047">
      <w:pPr>
        <w:pStyle w:val="Heading2"/>
        <w:rPr/>
      </w:pPr>
      <w:bookmarkStart w:colFirst="0" w:colLast="0" w:name="_7hg7mmw96knl" w:id="12"/>
      <w:bookmarkEnd w:id="12"/>
      <w:r w:rsidDel="00000000" w:rsidR="00000000" w:rsidRPr="00000000">
        <w:rPr>
          <w:rtl w:val="0"/>
        </w:rPr>
        <w:t xml:space="preserve">5. Technical Implementation &amp; Multi-Layer Defense</w:t>
      </w:r>
    </w:p>
    <w:p w:rsidR="00000000" w:rsidDel="00000000" w:rsidP="00000000" w:rsidRDefault="00000000" w:rsidRPr="00000000" w14:paraId="00000048">
      <w:pPr>
        <w:spacing w:after="200" w:lineRule="auto"/>
        <w:rPr/>
      </w:pPr>
      <w:r w:rsidDel="00000000" w:rsidR="00000000" w:rsidRPr="00000000">
        <w:rPr>
          <w:rtl w:val="0"/>
        </w:rPr>
        <w:t xml:space="preserve">To guarantee compliance at runtime, the platform deploys a three-layer defense pipeline:</w:t>
      </w:r>
    </w:p>
    <w:p w:rsidR="00000000" w:rsidDel="00000000" w:rsidP="00000000" w:rsidRDefault="00000000" w:rsidRPr="00000000" w14:paraId="00000049">
      <w:pPr>
        <w:rPr/>
      </w:pPr>
      <w:r w:rsidDel="00000000" w:rsidR="00000000" w:rsidRPr="00000000">
        <w:rPr>
          <w:rtl w:val="0"/>
        </w:rPr>
        <w:t xml:space="preserve">[User Query] </w:t>
      </w:r>
    </w:p>
    <w:p w:rsidR="00000000" w:rsidDel="00000000" w:rsidP="00000000" w:rsidRDefault="00000000" w:rsidRPr="00000000" w14:paraId="0000004A">
      <w:pPr>
        <w:rPr/>
      </w:pPr>
      <w:r w:rsidDel="00000000" w:rsidR="00000000" w:rsidRPr="00000000">
        <w:rPr>
          <w:rtl w:val="0"/>
        </w:rPr>
        <w:t xml:space="preserve">     │</w:t>
      </w:r>
    </w:p>
    <w:p w:rsidR="00000000" w:rsidDel="00000000" w:rsidP="00000000" w:rsidRDefault="00000000" w:rsidRPr="00000000" w14:paraId="0000004B">
      <w:pPr>
        <w:rPr/>
      </w:pPr>
      <w:r w:rsidDel="00000000" w:rsidR="00000000" w:rsidRPr="00000000">
        <w:rPr>
          <w:rtl w:val="0"/>
        </w:rPr>
        <w:t xml:space="preserve">     ▼</w:t>
      </w:r>
    </w:p>
    <w:p w:rsidR="00000000" w:rsidDel="00000000" w:rsidP="00000000" w:rsidRDefault="00000000" w:rsidRPr="00000000" w14:paraId="0000004C">
      <w:pPr>
        <w:rPr/>
      </w:pPr>
      <w:r w:rsidDel="00000000" w:rsidR="00000000" w:rsidRPr="00000000">
        <w:rPr>
          <w:rtl w:val="0"/>
        </w:rPr>
        <w:t xml:space="preserve">[Layer 1: System Prompt &amp; Role Constraints]</w:t>
      </w:r>
    </w:p>
    <w:p w:rsidR="00000000" w:rsidDel="00000000" w:rsidP="00000000" w:rsidRDefault="00000000" w:rsidRPr="00000000" w14:paraId="0000004D">
      <w:pPr>
        <w:rPr/>
      </w:pPr>
      <w:r w:rsidDel="00000000" w:rsidR="00000000" w:rsidRPr="00000000">
        <w:rPr>
          <w:rtl w:val="0"/>
        </w:rPr>
        <w:t xml:space="preserve">     │</w:t>
      </w:r>
    </w:p>
    <w:p w:rsidR="00000000" w:rsidDel="00000000" w:rsidP="00000000" w:rsidRDefault="00000000" w:rsidRPr="00000000" w14:paraId="0000004E">
      <w:pPr>
        <w:rPr/>
      </w:pPr>
      <w:r w:rsidDel="00000000" w:rsidR="00000000" w:rsidRPr="00000000">
        <w:rPr>
          <w:rtl w:val="0"/>
        </w:rPr>
        <w:t xml:space="preserve">     ▼</w:t>
      </w:r>
    </w:p>
    <w:p w:rsidR="00000000" w:rsidDel="00000000" w:rsidP="00000000" w:rsidRDefault="00000000" w:rsidRPr="00000000" w14:paraId="0000004F">
      <w:pPr>
        <w:rPr/>
      </w:pPr>
      <w:r w:rsidDel="00000000" w:rsidR="00000000" w:rsidRPr="00000000">
        <w:rPr>
          <w:rtl w:val="0"/>
        </w:rPr>
        <w:t xml:space="preserve">[Layer 2: Structured JSON Output Enforcement]</w:t>
      </w:r>
    </w:p>
    <w:p w:rsidR="00000000" w:rsidDel="00000000" w:rsidP="00000000" w:rsidRDefault="00000000" w:rsidRPr="00000000" w14:paraId="00000050">
      <w:pPr>
        <w:rPr/>
      </w:pPr>
      <w:r w:rsidDel="00000000" w:rsidR="00000000" w:rsidRPr="00000000">
        <w:rPr>
          <w:rtl w:val="0"/>
        </w:rPr>
        <w:t xml:space="preserve">     │</w:t>
      </w:r>
    </w:p>
    <w:p w:rsidR="00000000" w:rsidDel="00000000" w:rsidP="00000000" w:rsidRDefault="00000000" w:rsidRPr="00000000" w14:paraId="00000051">
      <w:pPr>
        <w:rPr/>
      </w:pPr>
      <w:r w:rsidDel="00000000" w:rsidR="00000000" w:rsidRPr="00000000">
        <w:rPr>
          <w:rtl w:val="0"/>
        </w:rPr>
        <w:t xml:space="preserve">     ▼</w:t>
      </w:r>
    </w:p>
    <w:p w:rsidR="00000000" w:rsidDel="00000000" w:rsidP="00000000" w:rsidRDefault="00000000" w:rsidRPr="00000000" w14:paraId="00000052">
      <w:pPr>
        <w:rPr/>
      </w:pPr>
      <w:r w:rsidDel="00000000" w:rsidR="00000000" w:rsidRPr="00000000">
        <w:rPr>
          <w:rtl w:val="0"/>
        </w:rPr>
        <w:t xml:space="preserve">[Layer 3: Regex &amp; Keyword Interceptor Proxy]</w:t>
      </w:r>
    </w:p>
    <w:p w:rsidR="00000000" w:rsidDel="00000000" w:rsidP="00000000" w:rsidRDefault="00000000" w:rsidRPr="00000000" w14:paraId="00000053">
      <w:pPr>
        <w:rPr/>
      </w:pPr>
      <w:r w:rsidDel="00000000" w:rsidR="00000000" w:rsidRPr="00000000">
        <w:rPr>
          <w:rtl w:val="0"/>
        </w:rPr>
        <w:t xml:space="preserve">     │</w:t>
      </w:r>
    </w:p>
    <w:p w:rsidR="00000000" w:rsidDel="00000000" w:rsidP="00000000" w:rsidRDefault="00000000" w:rsidRPr="00000000" w14:paraId="00000054">
      <w:pPr>
        <w:rPr/>
      </w:pPr>
      <w:r w:rsidDel="00000000" w:rsidR="00000000" w:rsidRPr="00000000">
        <w:rPr>
          <w:rtl w:val="0"/>
        </w:rPr>
        <w:t xml:space="preserve">     ▼</w:t>
      </w:r>
    </w:p>
    <w:p w:rsidR="00000000" w:rsidDel="00000000" w:rsidP="00000000" w:rsidRDefault="00000000" w:rsidRPr="00000000" w14:paraId="00000055">
      <w:pPr>
        <w:rPr/>
      </w:pPr>
      <w:r w:rsidDel="00000000" w:rsidR="00000000" w:rsidRPr="00000000">
        <w:rPr>
          <w:rtl w:val="0"/>
        </w:rPr>
        <w:t xml:space="preserve">[Compliant UI Display]</w:t>
      </w:r>
    </w:p>
    <w:p w:rsidR="00000000" w:rsidDel="00000000" w:rsidP="00000000" w:rsidRDefault="00000000" w:rsidRPr="00000000" w14:paraId="00000056">
      <w:pPr>
        <w:pStyle w:val="Heading3"/>
        <w:rPr/>
      </w:pPr>
      <w:bookmarkStart w:colFirst="0" w:colLast="0" w:name="_z71g75mnba72" w:id="13"/>
      <w:bookmarkEnd w:id="13"/>
      <w:r w:rsidDel="00000000" w:rsidR="00000000" w:rsidRPr="00000000">
        <w:rPr>
          <w:rtl w:val="0"/>
        </w:rPr>
        <w:t xml:space="preserve">Layer 1: Core System Prompt Rules</w:t>
      </w:r>
    </w:p>
    <w:p w:rsidR="00000000" w:rsidDel="00000000" w:rsidP="00000000" w:rsidRDefault="00000000" w:rsidRPr="00000000" w14:paraId="00000057">
      <w:pPr>
        <w:rPr/>
      </w:pPr>
      <w:r w:rsidDel="00000000" w:rsidR="00000000" w:rsidRPr="00000000">
        <w:rPr>
          <w:rtl w:val="0"/>
        </w:rPr>
        <w:t xml:space="preserve">You are the DavinTrade Quantitative Analytics Engine. Your role is exclusively to analyze and explain financial market data using mathematical, statistical, and quantitative models.</w:t>
      </w:r>
    </w:p>
    <w:p w:rsidR="00000000" w:rsidDel="00000000" w:rsidP="00000000" w:rsidRDefault="00000000" w:rsidRPr="00000000" w14:paraId="00000058">
      <w:pPr>
        <w:rPr/>
      </w:pPr>
      <w:r w:rsidDel="00000000" w:rsidR="00000000" w:rsidRPr="00000000">
        <w:rPr>
          <w:rtl w:val="0"/>
        </w:rPr>
      </w:r>
    </w:p>
    <w:p w:rsidR="00000000" w:rsidDel="00000000" w:rsidP="00000000" w:rsidRDefault="00000000" w:rsidRPr="00000000" w14:paraId="00000059">
      <w:pPr>
        <w:rPr/>
      </w:pPr>
      <w:r w:rsidDel="00000000" w:rsidR="00000000" w:rsidRPr="00000000">
        <w:rPr>
          <w:rtl w:val="0"/>
        </w:rPr>
        <w:t xml:space="preserve">CRITICAL COMPLIANCE RULES:</w:t>
      </w:r>
    </w:p>
    <w:p w:rsidR="00000000" w:rsidDel="00000000" w:rsidP="00000000" w:rsidRDefault="00000000" w:rsidRPr="00000000" w14:paraId="0000005A">
      <w:pPr>
        <w:rPr/>
      </w:pPr>
      <w:r w:rsidDel="00000000" w:rsidR="00000000" w:rsidRPr="00000000">
        <w:rPr>
          <w:rtl w:val="0"/>
        </w:rPr>
        <w:t xml:space="preserve">1. You DO NOT provide investment advice, financial recommendations, or trading signals.</w:t>
      </w:r>
    </w:p>
    <w:p w:rsidR="00000000" w:rsidDel="00000000" w:rsidP="00000000" w:rsidRDefault="00000000" w:rsidRPr="00000000" w14:paraId="0000005B">
      <w:pPr>
        <w:rPr/>
      </w:pPr>
      <w:r w:rsidDel="00000000" w:rsidR="00000000" w:rsidRPr="00000000">
        <w:rPr>
          <w:rtl w:val="0"/>
        </w:rPr>
        <w:t xml:space="preserve">2. Under NO circumstances should you output actionable trading directives (e.g., "Buy", "Sell", "Long", "Short", "Enter", "Take profit").</w:t>
      </w:r>
    </w:p>
    <w:p w:rsidR="00000000" w:rsidDel="00000000" w:rsidP="00000000" w:rsidRDefault="00000000" w:rsidRPr="00000000" w14:paraId="0000005C">
      <w:pPr>
        <w:rPr/>
      </w:pPr>
      <w:r w:rsidDel="00000000" w:rsidR="00000000" w:rsidRPr="00000000">
        <w:rPr>
          <w:rtl w:val="0"/>
        </w:rPr>
        <w:t xml:space="preserve">3. Describe all price levels as statistical distributions, density clusters, or volatility boundaries.</w:t>
      </w:r>
    </w:p>
    <w:p w:rsidR="00000000" w:rsidDel="00000000" w:rsidP="00000000" w:rsidRDefault="00000000" w:rsidRPr="00000000" w14:paraId="0000005D">
      <w:pPr>
        <w:rPr/>
      </w:pPr>
      <w:r w:rsidDel="00000000" w:rsidR="00000000" w:rsidRPr="00000000">
        <w:rPr>
          <w:rtl w:val="0"/>
        </w:rPr>
        <w:t xml:space="preserve">4. If the user asks for trading advice, explicitly state that you provide statistical analysis only, then describe the mathematical context.</w:t>
      </w:r>
    </w:p>
    <w:p w:rsidR="00000000" w:rsidDel="00000000" w:rsidP="00000000" w:rsidRDefault="00000000" w:rsidRPr="00000000" w14:paraId="0000005E">
      <w:pPr>
        <w:pStyle w:val="Heading3"/>
        <w:rPr/>
      </w:pPr>
      <w:bookmarkStart w:colFirst="0" w:colLast="0" w:name="_pnp0a6drti15" w:id="14"/>
      <w:bookmarkEnd w:id="14"/>
      <w:r w:rsidDel="00000000" w:rsidR="00000000" w:rsidRPr="00000000">
        <w:rPr>
          <w:rtl w:val="0"/>
        </w:rPr>
        <w:t xml:space="preserve">Layer 2: Structured JSON Schema Enforcement</w:t>
      </w:r>
    </w:p>
    <w:p w:rsidR="00000000" w:rsidDel="00000000" w:rsidP="00000000" w:rsidRDefault="00000000" w:rsidRPr="00000000" w14:paraId="0000005F">
      <w:pPr>
        <w:spacing w:after="200" w:lineRule="auto"/>
        <w:rPr/>
      </w:pPr>
      <w:r w:rsidDel="00000000" w:rsidR="00000000" w:rsidRPr="00000000">
        <w:rPr>
          <w:rtl w:val="0"/>
        </w:rPr>
        <w:t xml:space="preserve">The LLM should output structured JSON to ensure that parameters are passed directly into deterministic UI cards rather than generating unconstrained prose:</w:t>
      </w:r>
    </w:p>
    <w:p w:rsidR="00000000" w:rsidDel="00000000" w:rsidP="00000000" w:rsidRDefault="00000000" w:rsidRPr="00000000" w14:paraId="00000060">
      <w:pPr>
        <w:rPr/>
      </w:pPr>
      <w:r w:rsidDel="00000000" w:rsidR="00000000" w:rsidRPr="00000000">
        <w:rPr>
          <w:rtl w:val="0"/>
        </w:rPr>
        <w:t xml:space="preserve">{</w:t>
      </w:r>
    </w:p>
    <w:p w:rsidR="00000000" w:rsidDel="00000000" w:rsidP="00000000" w:rsidRDefault="00000000" w:rsidRPr="00000000" w14:paraId="00000061">
      <w:pPr>
        <w:rPr/>
      </w:pPr>
      <w:r w:rsidDel="00000000" w:rsidR="00000000" w:rsidRPr="00000000">
        <w:rPr>
          <w:rtl w:val="0"/>
        </w:rPr>
        <w:t xml:space="preserve">  "asset": "XAUUSD",</w:t>
      </w:r>
    </w:p>
    <w:p w:rsidR="00000000" w:rsidDel="00000000" w:rsidP="00000000" w:rsidRDefault="00000000" w:rsidRPr="00000000" w14:paraId="00000062">
      <w:pPr>
        <w:rPr/>
      </w:pPr>
      <w:r w:rsidDel="00000000" w:rsidR="00000000" w:rsidRPr="00000000">
        <w:rPr>
          <w:rtl w:val="0"/>
        </w:rPr>
        <w:t xml:space="preserve">  "timeframe": "H1",</w:t>
      </w:r>
    </w:p>
    <w:p w:rsidR="00000000" w:rsidDel="00000000" w:rsidP="00000000" w:rsidRDefault="00000000" w:rsidRPr="00000000" w14:paraId="00000063">
      <w:pPr>
        <w:rPr/>
      </w:pPr>
      <w:r w:rsidDel="00000000" w:rsidR="00000000" w:rsidRPr="00000000">
        <w:rPr>
          <w:rtl w:val="0"/>
        </w:rPr>
        <w:t xml:space="preserve">  "metric_name": "Reversal Probability Index",</w:t>
      </w:r>
    </w:p>
    <w:p w:rsidR="00000000" w:rsidDel="00000000" w:rsidP="00000000" w:rsidRDefault="00000000" w:rsidRPr="00000000" w14:paraId="00000064">
      <w:pPr>
        <w:rPr/>
      </w:pPr>
      <w:r w:rsidDel="00000000" w:rsidR="00000000" w:rsidRPr="00000000">
        <w:rPr>
          <w:rtl w:val="0"/>
        </w:rPr>
        <w:t xml:space="preserve">  "probability_value": "74%",</w:t>
      </w:r>
    </w:p>
    <w:p w:rsidR="00000000" w:rsidDel="00000000" w:rsidP="00000000" w:rsidRDefault="00000000" w:rsidRPr="00000000" w14:paraId="00000065">
      <w:pPr>
        <w:rPr/>
      </w:pPr>
      <w:r w:rsidDel="00000000" w:rsidR="00000000" w:rsidRPr="00000000">
        <w:rPr>
          <w:rtl w:val="0"/>
        </w:rPr>
        <w:t xml:space="preserve">  "statistical_zone": "2520.00 - 2560.00",</w:t>
      </w:r>
    </w:p>
    <w:p w:rsidR="00000000" w:rsidDel="00000000" w:rsidP="00000000" w:rsidRDefault="00000000" w:rsidRPr="00000000" w14:paraId="00000066">
      <w:pPr>
        <w:rPr/>
      </w:pPr>
      <w:r w:rsidDel="00000000" w:rsidR="00000000" w:rsidRPr="00000000">
        <w:rPr>
          <w:rtl w:val="0"/>
        </w:rPr>
        <w:t xml:space="preserve">  "market_regime": "Compression Squeeze",</w:t>
      </w:r>
    </w:p>
    <w:p w:rsidR="00000000" w:rsidDel="00000000" w:rsidP="00000000" w:rsidRDefault="00000000" w:rsidRPr="00000000" w14:paraId="00000067">
      <w:pPr>
        <w:rPr/>
      </w:pPr>
      <w:r w:rsidDel="00000000" w:rsidR="00000000" w:rsidRPr="00000000">
        <w:rPr>
          <w:rtl w:val="0"/>
        </w:rPr>
        <w:t xml:space="preserve">  "historical_sample_size": 500,</w:t>
      </w:r>
    </w:p>
    <w:p w:rsidR="00000000" w:rsidDel="00000000" w:rsidP="00000000" w:rsidRDefault="00000000" w:rsidRPr="00000000" w14:paraId="00000068">
      <w:pPr>
        <w:rPr/>
      </w:pPr>
      <w:r w:rsidDel="00000000" w:rsidR="00000000" w:rsidRPr="00000000">
        <w:rPr>
          <w:rtl w:val="0"/>
        </w:rPr>
        <w:t xml:space="preserve">  "objective_summary": "Model indicates elevated mean-reversion probability upon testing the lower density boundary."</w:t>
      </w:r>
    </w:p>
    <w:p w:rsidR="00000000" w:rsidDel="00000000" w:rsidP="00000000" w:rsidRDefault="00000000" w:rsidRPr="00000000" w14:paraId="00000069">
      <w:pPr>
        <w:rPr/>
      </w:pPr>
      <w:r w:rsidDel="00000000" w:rsidR="00000000" w:rsidRPr="00000000">
        <w:rPr>
          <w:rtl w:val="0"/>
        </w:rPr>
        <w:t xml:space="preserve">}</w:t>
      </w:r>
    </w:p>
    <w:p w:rsidR="00000000" w:rsidDel="00000000" w:rsidP="00000000" w:rsidRDefault="00000000" w:rsidRPr="00000000" w14:paraId="0000006A">
      <w:pPr>
        <w:pStyle w:val="Heading3"/>
        <w:rPr/>
      </w:pPr>
      <w:bookmarkStart w:colFirst="0" w:colLast="0" w:name="_tcrckds2b8y1" w:id="15"/>
      <w:bookmarkEnd w:id="15"/>
      <w:r w:rsidDel="00000000" w:rsidR="00000000" w:rsidRPr="00000000">
        <w:rPr>
          <w:rtl w:val="0"/>
        </w:rPr>
        <w:t xml:space="preserve">Layer 3: Post-Processing Filter (Middleware Interceptor)</w:t>
      </w:r>
    </w:p>
    <w:p w:rsidR="00000000" w:rsidDel="00000000" w:rsidP="00000000" w:rsidRDefault="00000000" w:rsidRPr="00000000" w14:paraId="0000006B">
      <w:pPr>
        <w:spacing w:after="200" w:lineRule="auto"/>
        <w:rPr/>
      </w:pPr>
      <w:r w:rsidDel="00000000" w:rsidR="00000000" w:rsidRPr="00000000">
        <w:rPr>
          <w:rtl w:val="0"/>
        </w:rPr>
        <w:t xml:space="preserve">Before rendering any conversational output, a fast middleware regex scanner intercepts prohibited terminology:</w:t>
      </w:r>
    </w:p>
    <w:p w:rsidR="00000000" w:rsidDel="00000000" w:rsidP="00000000" w:rsidRDefault="00000000" w:rsidRPr="00000000" w14:paraId="0000006C">
      <w:pPr>
        <w:numPr>
          <w:ilvl w:val="0"/>
          <w:numId w:val="4"/>
        </w:numPr>
        <w:spacing w:after="0" w:afterAutospacing="0" w:lineRule="auto"/>
        <w:ind w:left="720" w:hanging="360"/>
      </w:pPr>
      <w:r w:rsidDel="00000000" w:rsidR="00000000" w:rsidRPr="00000000">
        <w:rPr>
          <w:b w:val="1"/>
          <w:bCs w:val="1"/>
          <w:rtl w:val="0"/>
        </w:rPr>
        <w:t xml:space="preserve">Banned Patterns:</w:t>
      </w:r>
      <w:r w:rsidDel="00000000" w:rsidR="00000000" w:rsidRPr="00000000">
        <w:rPr>
          <w:rtl w:val="0"/>
        </w:rPr>
        <w:t xml:space="preserve"> </w:t>
      </w:r>
      <w:r w:rsidDel="00000000" w:rsidR="00000000" w:rsidRPr="00000000">
        <w:rPr>
          <w:rFonts w:ascii="Roboto Mono" w:cs="Roboto Mono" w:eastAsia="Roboto Mono" w:hAnsi="Roboto Mono"/>
          <w:color w:val="188038"/>
          <w:rtl w:val="0"/>
        </w:rPr>
        <w:t xml:space="preserve">/\b(buy now|sell now|strong buy|strong sell|guaranteed profit|recommended entry|take profit at|stop loss at)\b/i</w:t>
      </w:r>
    </w:p>
    <w:p w:rsidR="00000000" w:rsidDel="00000000" w:rsidP="00000000" w:rsidRDefault="00000000" w:rsidRPr="00000000" w14:paraId="0000006D">
      <w:pPr>
        <w:numPr>
          <w:ilvl w:val="0"/>
          <w:numId w:val="4"/>
        </w:numPr>
        <w:spacing w:after="200" w:lineRule="auto"/>
        <w:ind w:left="720" w:hanging="360"/>
      </w:pPr>
      <w:r w:rsidDel="00000000" w:rsidR="00000000" w:rsidRPr="00000000">
        <w:rPr>
          <w:b w:val="1"/>
          <w:bCs w:val="1"/>
          <w:rtl w:val="0"/>
        </w:rPr>
        <w:t xml:space="preserve">Fallback Action:</w:t>
      </w:r>
      <w:r w:rsidDel="00000000" w:rsidR="00000000" w:rsidRPr="00000000">
        <w:rPr>
          <w:rtl w:val="0"/>
        </w:rPr>
        <w:t xml:space="preserve"> If a violation is flagged, the middleware drops the unverified text block and substitutes a sanitized standard metric summary card.</w:t>
      </w:r>
      <w:r w:rsidDel="00000000" w:rsidR="00000000" w:rsidRPr="00000000">
        <w:rPr>
          <w:rtl w:val="0"/>
        </w:rPr>
      </w:r>
    </w:p>
    <w:p w:rsidR="00000000" w:rsidDel="00000000" w:rsidP="00000000" w:rsidRDefault="00000000" w:rsidRPr="00000000" w14:paraId="0000006E">
      <w:pPr>
        <w:rPr/>
      </w:pPr>
      <w:r w:rsidDel="00000000" w:rsidR="00000000" w:rsidRPr="00000000">
        <w:pict>
          <v:rect style="width:0.0pt;height:1.5pt" o:hr="t" o:hrstd="t" o:hralign="center" fillcolor="#A0A0A0" stroked="f"/>
        </w:pict>
      </w:r>
      <w:r w:rsidDel="00000000" w:rsidR="00000000" w:rsidRPr="00000000">
        <w:rPr>
          <w:rtl w:val="0"/>
        </w:rPr>
      </w:r>
    </w:p>
    <w:p w:rsidR="00000000" w:rsidDel="00000000" w:rsidP="00000000" w:rsidRDefault="00000000" w:rsidRPr="00000000" w14:paraId="0000006F">
      <w:pPr>
        <w:pStyle w:val="Heading2"/>
        <w:rPr/>
      </w:pPr>
      <w:bookmarkStart w:colFirst="0" w:colLast="0" w:name="_9izccq189ccx" w:id="16"/>
      <w:bookmarkEnd w:id="16"/>
      <w:r w:rsidDel="00000000" w:rsidR="00000000" w:rsidRPr="00000000">
        <w:rPr>
          <w:rtl w:val="0"/>
        </w:rPr>
        <w:t xml:space="preserve">6. Landing Page, Marketing &amp; Legal Disclaimers</w:t>
      </w:r>
    </w:p>
    <w:p w:rsidR="00000000" w:rsidDel="00000000" w:rsidP="00000000" w:rsidRDefault="00000000" w:rsidRPr="00000000" w14:paraId="00000070">
      <w:pPr>
        <w:pStyle w:val="Heading3"/>
        <w:rPr/>
      </w:pPr>
      <w:bookmarkStart w:colFirst="0" w:colLast="0" w:name="_3822x4pmvvzy" w:id="17"/>
      <w:bookmarkEnd w:id="17"/>
      <w:r w:rsidDel="00000000" w:rsidR="00000000" w:rsidRPr="00000000">
        <w:rPr>
          <w:rtl w:val="0"/>
        </w:rPr>
        <w:t xml:space="preserve">6.1 Landing Page Verification Checklist</w:t>
      </w:r>
    </w:p>
    <w:p w:rsidR="00000000" w:rsidDel="00000000" w:rsidP="00000000" w:rsidRDefault="00000000" w:rsidRPr="00000000" w14:paraId="00000071">
      <w:pPr>
        <w:numPr>
          <w:ilvl w:val="0"/>
          <w:numId w:val="2"/>
        </w:numPr>
        <w:spacing w:after="0" w:afterAutospacing="0" w:lineRule="auto"/>
        <w:ind w:left="720" w:hanging="360"/>
      </w:pPr>
      <w:r w:rsidDel="00000000" w:rsidR="00000000" w:rsidRPr="00000000">
        <w:rPr>
          <w:rtl w:val="0"/>
        </w:rPr>
        <w:t xml:space="preserve">Hero section emphasizes: </w:t>
      </w:r>
      <w:r w:rsidDel="00000000" w:rsidR="00000000" w:rsidRPr="00000000">
        <w:rPr>
          <w:i w:val="1"/>
          <w:iCs w:val="1"/>
          <w:rtl w:val="0"/>
        </w:rPr>
        <w:t xml:space="preserve">"Trade is not Opinion but Mathematics"</w:t>
      </w:r>
      <w:r w:rsidDel="00000000" w:rsidR="00000000" w:rsidRPr="00000000">
        <w:rPr>
          <w:rtl w:val="0"/>
        </w:rPr>
        <w:t xml:space="preserve">.</w:t>
      </w:r>
      <w:r w:rsidDel="00000000" w:rsidR="00000000" w:rsidRPr="00000000">
        <w:rPr>
          <w:rtl w:val="0"/>
        </w:rPr>
      </w:r>
    </w:p>
    <w:p w:rsidR="00000000" w:rsidDel="00000000" w:rsidP="00000000" w:rsidRDefault="00000000" w:rsidRPr="00000000" w14:paraId="00000072">
      <w:pPr>
        <w:numPr>
          <w:ilvl w:val="0"/>
          <w:numId w:val="2"/>
        </w:numPr>
        <w:spacing w:after="0" w:afterAutospacing="0" w:lineRule="auto"/>
        <w:ind w:left="720" w:hanging="360"/>
      </w:pPr>
      <w:r w:rsidDel="00000000" w:rsidR="00000000" w:rsidRPr="00000000">
        <w:rPr>
          <w:rtl w:val="0"/>
        </w:rPr>
        <w:t xml:space="preserve">Metric badges updated: </w:t>
      </w:r>
      <w:r w:rsidDel="00000000" w:rsidR="00000000" w:rsidRPr="00000000">
        <w:rPr>
          <w:i w:val="1"/>
          <w:iCs w:val="1"/>
          <w:rtl w:val="0"/>
        </w:rPr>
        <w:t xml:space="preserve">"94.8% Model Confluence Rate"</w:t>
      </w:r>
      <w:r w:rsidDel="00000000" w:rsidR="00000000" w:rsidRPr="00000000">
        <w:rPr>
          <w:rtl w:val="0"/>
        </w:rPr>
        <w:t xml:space="preserve"> (never "Signal Confluence Rate").</w:t>
      </w:r>
      <w:r w:rsidDel="00000000" w:rsidR="00000000" w:rsidRPr="00000000">
        <w:rPr>
          <w:rtl w:val="0"/>
        </w:rPr>
      </w:r>
    </w:p>
    <w:p w:rsidR="00000000" w:rsidDel="00000000" w:rsidP="00000000" w:rsidRDefault="00000000" w:rsidRPr="00000000" w14:paraId="00000073">
      <w:pPr>
        <w:numPr>
          <w:ilvl w:val="0"/>
          <w:numId w:val="2"/>
        </w:numPr>
        <w:spacing w:after="0" w:afterAutospacing="0" w:lineRule="auto"/>
        <w:ind w:left="720" w:hanging="360"/>
      </w:pPr>
      <w:r w:rsidDel="00000000" w:rsidR="00000000" w:rsidRPr="00000000">
        <w:rPr>
          <w:rtl w:val="0"/>
        </w:rPr>
        <w:t xml:space="preserve">Action buttons framed as analytical navigation: </w:t>
      </w:r>
      <w:r w:rsidDel="00000000" w:rsidR="00000000" w:rsidRPr="00000000">
        <w:rPr>
          <w:i w:val="1"/>
          <w:iCs w:val="1"/>
          <w:rtl w:val="0"/>
        </w:rPr>
        <w:t xml:space="preserve">"Enter Workbench"</w:t>
      </w:r>
      <w:r w:rsidDel="00000000" w:rsidR="00000000" w:rsidRPr="00000000">
        <w:rPr>
          <w:rtl w:val="0"/>
        </w:rPr>
        <w:t xml:space="preserve">, </w:t>
      </w:r>
      <w:r w:rsidDel="00000000" w:rsidR="00000000" w:rsidRPr="00000000">
        <w:rPr>
          <w:i w:val="1"/>
          <w:iCs w:val="1"/>
          <w:rtl w:val="0"/>
        </w:rPr>
        <w:t xml:space="preserve">"Explore Models"</w:t>
      </w:r>
      <w:r w:rsidDel="00000000" w:rsidR="00000000" w:rsidRPr="00000000">
        <w:rPr>
          <w:rtl w:val="0"/>
        </w:rPr>
        <w:t xml:space="preserve">.</w:t>
      </w:r>
      <w:r w:rsidDel="00000000" w:rsidR="00000000" w:rsidRPr="00000000">
        <w:rPr>
          <w:rtl w:val="0"/>
        </w:rPr>
      </w:r>
    </w:p>
    <w:p w:rsidR="00000000" w:rsidDel="00000000" w:rsidP="00000000" w:rsidRDefault="00000000" w:rsidRPr="00000000" w14:paraId="00000074">
      <w:pPr>
        <w:numPr>
          <w:ilvl w:val="0"/>
          <w:numId w:val="2"/>
        </w:numPr>
        <w:spacing w:after="200" w:lineRule="auto"/>
        <w:ind w:left="720" w:hanging="360"/>
      </w:pPr>
      <w:r w:rsidDel="00000000" w:rsidR="00000000" w:rsidRPr="00000000">
        <w:rPr>
          <w:rtl w:val="0"/>
        </w:rPr>
        <w:t xml:space="preserve">No claims of guaranteed win rates, effortless income, or automated profits.</w:t>
      </w:r>
    </w:p>
    <w:p w:rsidR="00000000" w:rsidDel="00000000" w:rsidP="00000000" w:rsidRDefault="00000000" w:rsidRPr="00000000" w14:paraId="00000075">
      <w:pPr>
        <w:pStyle w:val="Heading3"/>
        <w:rPr/>
      </w:pPr>
      <w:bookmarkStart w:colFirst="0" w:colLast="0" w:name="_kqwbno5iqryj" w:id="18"/>
      <w:bookmarkEnd w:id="18"/>
      <w:r w:rsidDel="00000000" w:rsidR="00000000" w:rsidRPr="00000000">
        <w:rPr>
          <w:rtl w:val="0"/>
        </w:rPr>
        <w:t xml:space="preserve">6.2 Mandatory UI Micro-Disclaimer</w:t>
      </w:r>
    </w:p>
    <w:p w:rsidR="00000000" w:rsidDel="00000000" w:rsidP="00000000" w:rsidRDefault="00000000" w:rsidRPr="00000000" w14:paraId="00000076">
      <w:pPr>
        <w:spacing w:after="200" w:lineRule="auto"/>
        <w:rPr/>
      </w:pPr>
      <w:r w:rsidDel="00000000" w:rsidR="00000000" w:rsidRPr="00000000">
        <w:rPr>
          <w:rtl w:val="0"/>
        </w:rPr>
        <w:t xml:space="preserve">Place this notice beneath all analytical widgets and conversational answer bubbles:</w:t>
      </w:r>
    </w:p>
    <w:p w:rsidR="00000000" w:rsidDel="00000000" w:rsidP="00000000" w:rsidRDefault="00000000" w:rsidRPr="00000000" w14:paraId="00000077">
      <w:pPr>
        <w:spacing w:after="200" w:lineRule="auto"/>
        <w:ind w:left="600" w:right="600" w:firstLine="0"/>
        <w:rPr>
          <w:i w:val="1"/>
          <w:iCs w:val="1"/>
        </w:rPr>
      </w:pPr>
      <w:r w:rsidDel="00000000" w:rsidR="00000000" w:rsidRPr="00000000">
        <w:rPr>
          <w:i w:val="1"/>
          <w:iCs w:val="1"/>
          <w:rtl w:val="0"/>
        </w:rPr>
        <w:t xml:space="preserve">"Calculations and probability scores are algorithmic outputs derived from historical data for educational and research purposes only. They do not constitute investment advice or trading recommendations."</w:t>
      </w:r>
    </w:p>
    <w:p w:rsidR="00000000" w:rsidDel="00000000" w:rsidP="00000000" w:rsidRDefault="00000000" w:rsidRPr="00000000" w14:paraId="00000078">
      <w:pPr>
        <w:pStyle w:val="Heading3"/>
        <w:rPr/>
      </w:pPr>
      <w:bookmarkStart w:colFirst="0" w:colLast="0" w:name="_4xg541tytr0n" w:id="19"/>
      <w:bookmarkEnd w:id="19"/>
      <w:r w:rsidDel="00000000" w:rsidR="00000000" w:rsidRPr="00000000">
        <w:rPr>
          <w:rtl w:val="0"/>
        </w:rPr>
        <w:t xml:space="preserve">6.3 Terms of Service (ToS) Limitation of Liability Clause</w:t>
      </w:r>
    </w:p>
    <w:p w:rsidR="00000000" w:rsidDel="00000000" w:rsidP="00000000" w:rsidRDefault="00000000" w:rsidRPr="00000000" w14:paraId="00000079">
      <w:pPr>
        <w:spacing w:after="200" w:lineRule="auto"/>
        <w:rPr/>
      </w:pPr>
      <w:r w:rsidDel="00000000" w:rsidR="00000000" w:rsidRPr="00000000">
        <w:rPr>
          <w:rtl w:val="0"/>
        </w:rPr>
        <w:t xml:space="preserve">Ensure the following clause is integrated into the DavinTrade Terms of Service:</w:t>
      </w:r>
    </w:p>
    <w:p w:rsidR="00000000" w:rsidDel="00000000" w:rsidP="00000000" w:rsidRDefault="00000000" w:rsidRPr="00000000" w14:paraId="0000007A">
      <w:pPr>
        <w:spacing w:after="200" w:lineRule="auto"/>
        <w:ind w:left="600" w:right="600" w:firstLine="0"/>
        <w:rPr>
          <w:i w:val="1"/>
          <w:iCs w:val="1"/>
        </w:rPr>
      </w:pPr>
      <w:r w:rsidDel="00000000" w:rsidR="00000000" w:rsidRPr="00000000">
        <w:rPr>
          <w:b w:val="1"/>
          <w:bCs w:val="1"/>
          <w:rtl w:val="0"/>
        </w:rPr>
        <w:t xml:space="preserve">Non-Advisory Status &amp; Assumption of Risk:</w:t>
      </w:r>
      <w:r w:rsidDel="00000000" w:rsidR="00000000" w:rsidRPr="00000000">
        <w:rPr>
          <w:rtl w:val="0"/>
        </w:rPr>
        <w:br w:type="textWrapping"/>
      </w:r>
      <w:r w:rsidDel="00000000" w:rsidR="00000000" w:rsidRPr="00000000">
        <w:rPr>
          <w:i w:val="1"/>
          <w:iCs w:val="1"/>
          <w:rtl w:val="0"/>
        </w:rPr>
        <w:t xml:space="preserve">"DavinTrade provides quantitative analysis, mathematical modeling, and market data visualization tools for informational and educational purposes only. DavinTrade is not an investment adviser, broker-dealer, commodity trading advisor, or financial service provider. No content, probabilistic metric, or analytical output generated by the platform constitutes a personal recommendation, financial advice, or an offer to buy or sell any financial instrument. Trading in foreign exchange, commodities, and derivatives carries substantial risk of loss. Users assume sole responsibility for all investment decisions and trading actions."</w:t>
      </w:r>
    </w:p>
    <w:p w:rsidR="00000000" w:rsidDel="00000000" w:rsidP="00000000" w:rsidRDefault="00000000" w:rsidRPr="00000000" w14:paraId="0000007B">
      <w:pPr>
        <w:rPr/>
      </w:pPr>
      <w:r w:rsidDel="00000000" w:rsidR="00000000" w:rsidRPr="00000000">
        <w:pict>
          <v:rect style="width:0.0pt;height:1.5pt" o:hr="t" o:hrstd="t" o:hralign="center" fillcolor="#A0A0A0" stroked="f"/>
        </w:pict>
      </w:r>
      <w:r w:rsidDel="00000000" w:rsidR="00000000" w:rsidRPr="00000000">
        <w:rPr>
          <w:rtl w:val="0"/>
        </w:rPr>
      </w:r>
    </w:p>
    <w:p w:rsidR="00000000" w:rsidDel="00000000" w:rsidP="00000000" w:rsidRDefault="00000000" w:rsidRPr="00000000" w14:paraId="0000007C">
      <w:pPr>
        <w:spacing w:after="200" w:lineRule="auto"/>
        <w:rPr>
          <w:b w:val="1"/>
          <w:bCs w:val="1"/>
        </w:rPr>
      </w:pPr>
      <w:r w:rsidDel="00000000" w:rsidR="00000000" w:rsidRPr="00000000">
        <w:rPr>
          <w:b w:val="1"/>
          <w:bCs w:val="1"/>
          <w:rtl w:val="0"/>
        </w:rPr>
        <w:t xml:space="preserve">Approved by:</w:t>
      </w:r>
      <w:r w:rsidDel="00000000" w:rsidR="00000000" w:rsidRPr="00000000">
        <w:rPr>
          <w:rtl w:val="0"/>
        </w:rPr>
        <w:t xml:space="preserve"> DavinTrade Engineering &amp; Compliance</w:t>
        <w:br w:type="textWrapping"/>
      </w:r>
      <w:r w:rsidDel="00000000" w:rsidR="00000000" w:rsidRPr="00000000">
        <w:rPr>
          <w:b w:val="1"/>
          <w:bCs w:val="1"/>
          <w:rtl w:val="0"/>
        </w:rPr>
        <w:t xml:space="preserve">Effective Date:</w:t>
      </w:r>
      <w:r w:rsidDel="00000000" w:rsidR="00000000" w:rsidRPr="00000000">
        <w:rPr>
          <w:rtl w:val="0"/>
        </w:rPr>
        <w:t xml:space="preserve"> October 2026</w:t>
      </w:r>
      <w:r w:rsidDel="00000000" w:rsidR="00000000" w:rsidRPr="00000000">
        <w:rPr>
          <w:rtl w:val="0"/>
        </w:rPr>
      </w:r>
    </w:p>
    <w:p w:rsidR="00000000" w:rsidDel="00000000" w:rsidP="00000000" w:rsidRDefault="00000000" w:rsidRPr="00000000" w14:paraId="0000007D">
      <w:pPr>
        <w:rPr/>
      </w:pPr>
      <w:r w:rsidDel="00000000" w:rsidR="00000000" w:rsidRPr="00000000">
        <w:rPr>
          <w:rtl w:val="0"/>
        </w:rPr>
      </w:r>
    </w:p>
    <w:sectPr>
      <w:pgSz w:h="15840" w:w="12240" w:orient="portrait"/>
      <w:pgMar w:bottom="1440" w:top="1440" w:left="1440" w:right="1440" w:header="0" w:footer="720"/>
      <w:pgNumType w:start="1"/>
    </w:sectPr>
  </w:body>
</w:document>
</file>

<file path=word/fontTable.xml><?xml version="1.0" encoding="utf-8"?>
<w:fonts xmlns:mc="http://schemas.openxmlformats.org/markup-compatibility/2006" xmlns:o="urn:schemas-microsoft-com:office:office" xmlns:r="http://schemas.openxmlformats.org/officeDocument/2006/relationships" xmlns:m="http://schemas.openxmlformats.org/officeDocument/2006/math" xmlns:v="urn:schemas-microsoft-com:vml" xmlns:wp="http://schemas.openxmlformats.org/drawingml/2006/wordprocessingDrawing" xmlns:w10="urn:schemas-microsoft-com:office:word" xmlns:w="http://schemas.openxmlformats.org/wordprocessingml/2006/main" xmlns:wne="http://schemas.microsoft.com/office/word/2006/wordml" xmlns:sl="http://schemas.openxmlformats.org/schemaLibrary/2006/main" xmlns:a="http://schemas.openxmlformats.org/drawingml/2006/main" xmlns:pic="http://schemas.openxmlformats.org/drawingml/2006/picture" xmlns:c="http://schemas.openxmlformats.org/drawingml/2006/chart" xmlns:lc="http://schemas.openxmlformats.org/drawingml/2006/lockedCanvas" xmlns:dgm="http://schemas.openxmlformats.org/drawingml/2006/diagram" xmlns:wps="http://schemas.microsoft.com/office/word/2010/wordprocessingShape" xmlns:wpg="http://schemas.microsoft.com/office/word/2010/wordprocessingGroup" xmlns:w14="http://schemas.microsoft.com/office/word/2010/wordml" xmlns:w15="http://schemas.microsoft.com/office/word/2012/wordml" xmlns:w16="http://schemas.microsoft.com/office/word/2018/wordml" xmlns:w16cex="http://schemas.microsoft.com/office/word/2018/wordml/cex" xmlns:w16cid="http://schemas.microsoft.com/office/word/2016/wordml/cid" xmlns="http://schemas.microsoft.com/office/tasks/2019/documenttasks" xmlns:cr="http://schemas.microsoft.com/office/comments/2020/reactions">
  <w:font w:name="Arial"/>
  <w:font w:name="Roboto Mono">
    <w:embedRegular w:fontKey="{00000000-0000-0000-0000-000000000000}" r:id="rId1" w:subsetted="0"/>
    <w:embedBold w:fontKey="{00000000-0000-0000-0000-000000000000}" r:id="rId2" w:subsetted="0"/>
    <w:embedItalic w:fontKey="{00000000-0000-0000-0000-000000000000}" r:id="rId3" w:subsetted="0"/>
    <w:embedBoldItalic w:fontKey="{00000000-0000-0000-0000-000000000000}" r:id="rId4" w:subsetted="0"/>
  </w:font>
</w:fonts>
</file>

<file path=word/numbering.xml><?xml version="1.0" encoding="utf-8"?>
<w:numbering xmlns:mc="http://schemas.openxmlformats.org/markup-compatibility/2006" xmlns:o="urn:schemas-microsoft-com:office:office" xmlns:r="http://schemas.openxmlformats.org/officeDocument/2006/relationships" xmlns:m="http://schemas.openxmlformats.org/officeDocument/2006/math" xmlns:v="urn:schemas-microsoft-com:vml" xmlns:wp="http://schemas.openxmlformats.org/drawingml/2006/wordprocessingDrawing" xmlns:w10="urn:schemas-microsoft-com:office:word" xmlns:w="http://schemas.openxmlformats.org/wordprocessingml/2006/main" xmlns:wne="http://schemas.microsoft.com/office/word/2006/wordml" xmlns:sl="http://schemas.openxmlformats.org/schemaLibrary/2006/main" xmlns:a="http://schemas.openxmlformats.org/drawingml/2006/main" xmlns:pic="http://schemas.openxmlformats.org/drawingml/2006/picture" xmlns:c="http://schemas.openxmlformats.org/drawingml/2006/chart" xmlns:lc="http://schemas.openxmlformats.org/drawingml/2006/lockedCanvas" xmlns:dgm="http://schemas.openxmlformats.org/drawingml/2006/diagram" xmlns:wps="http://schemas.microsoft.com/office/word/2010/wordprocessingShape" xmlns:wpg="http://schemas.microsoft.com/office/word/2010/wordprocessingGroup" xmlns:w14="http://schemas.microsoft.com/office/word/2010/wordml" xmlns:w15="http://schemas.microsoft.com/office/word/2012/wordml" xmlns:w16="http://schemas.microsoft.com/office/word/2018/wordml" xmlns:w16cex="http://schemas.microsoft.com/office/word/2018/wordml/cex" xmlns:w16cid="http://schemas.microsoft.com/office/word/2016/wordml/cid" xmlns="http://schemas.microsoft.com/office/tasks/2019/documenttasks" xmlns:cr="http://schemas.microsoft.com/office/comments/2020/reactions">
  <w:abstractNum w:abstractNumId="1">
    <w:lvl w:ilvl="0">
      <w:start w:val="1"/>
      <w:numFmt w:val="decimal"/>
      <w:lvlText w:val="%1."/>
      <w:lvlJc w:val="left"/>
      <w:pPr>
        <w:ind w:left="720" w:hanging="360"/>
      </w:pPr>
      <w:rPr>
        <w:rFonts w:ascii="Arial" w:cs="Arial" w:eastAsia="Arial" w:hAnsi="Arial"/>
        <w:b w:val="0"/>
        <w:bCs w:val="0"/>
        <w:i w:val="0"/>
        <w:iCs w:val="0"/>
        <w:smallCaps w:val="0"/>
        <w:strike w:val="0"/>
        <w:color w:val="000000"/>
        <w:sz w:val="22"/>
        <w:szCs w:val="22"/>
        <w:u w:val="none"/>
        <w:shd w:fill="auto" w:val="clear"/>
        <w:vertAlign w:val="baseline"/>
      </w:rPr>
    </w:lvl>
    <w:lvl w:ilvl="1">
      <w:start w:val="1"/>
      <w:numFmt w:val="bullet"/>
      <w:lvlText w:val="○"/>
      <w:lvlJc w:val="left"/>
      <w:pPr>
        <w:ind w:left="1440" w:hanging="360"/>
      </w:pPr>
      <w:rPr>
        <w:rFonts w:ascii="Arial" w:cs="Arial" w:eastAsia="Arial" w:hAnsi="Arial"/>
        <w:b w:val="0"/>
        <w:bCs w:val="0"/>
        <w:i w:val="0"/>
        <w:iCs w:val="0"/>
        <w:smallCaps w:val="0"/>
        <w:strike w:val="0"/>
        <w:color w:val="000000"/>
        <w:sz w:val="22"/>
        <w:szCs w:val="22"/>
        <w:u w:val="none"/>
        <w:shd w:fill="auto" w:val="clear"/>
        <w:vertAlign w:val="baseline"/>
      </w:rPr>
    </w:lvl>
    <w:lvl w:ilvl="2">
      <w:start w:val="1"/>
      <w:numFmt w:val="bullet"/>
      <w:lvlText w:val="■"/>
      <w:lvlJc w:val="left"/>
      <w:pPr>
        <w:ind w:left="2160" w:hanging="360"/>
      </w:pPr>
      <w:rPr>
        <w:rFonts w:ascii="Arial" w:cs="Arial" w:eastAsia="Arial" w:hAnsi="Arial"/>
        <w:b w:val="0"/>
        <w:bCs w:val="0"/>
        <w:i w:val="0"/>
        <w:iCs w:val="0"/>
        <w:smallCaps w:val="0"/>
        <w:strike w:val="0"/>
        <w:color w:val="000000"/>
        <w:sz w:val="22"/>
        <w:szCs w:val="22"/>
        <w:u w:val="none"/>
        <w:shd w:fill="auto" w:val="clear"/>
        <w:vertAlign w:val="baseline"/>
      </w:rPr>
    </w:lvl>
    <w:lvl w:ilvl="3">
      <w:start w:val="1"/>
      <w:numFmt w:val="bullet"/>
      <w:lvlText w:val="●"/>
      <w:lvlJc w:val="left"/>
      <w:pPr>
        <w:ind w:left="2880" w:hanging="360"/>
      </w:pPr>
      <w:rPr>
        <w:rFonts w:ascii="Arial" w:cs="Arial" w:eastAsia="Arial" w:hAnsi="Arial"/>
        <w:b w:val="0"/>
        <w:bCs w:val="0"/>
        <w:i w:val="0"/>
        <w:iCs w:val="0"/>
        <w:smallCaps w:val="0"/>
        <w:strike w:val="0"/>
        <w:color w:val="000000"/>
        <w:sz w:val="22"/>
        <w:szCs w:val="22"/>
        <w:u w:val="none"/>
        <w:shd w:fill="auto" w:val="clear"/>
        <w:vertAlign w:val="baseline"/>
      </w:rPr>
    </w:lvl>
    <w:lvl w:ilvl="4">
      <w:start w:val="1"/>
      <w:numFmt w:val="bullet"/>
      <w:lvlText w:val="○"/>
      <w:lvlJc w:val="left"/>
      <w:pPr>
        <w:ind w:left="3600" w:hanging="360"/>
      </w:pPr>
      <w:rPr>
        <w:rFonts w:ascii="Arial" w:cs="Arial" w:eastAsia="Arial" w:hAnsi="Arial"/>
        <w:b w:val="0"/>
        <w:bCs w:val="0"/>
        <w:i w:val="0"/>
        <w:iCs w:val="0"/>
        <w:smallCaps w:val="0"/>
        <w:strike w:val="0"/>
        <w:color w:val="000000"/>
        <w:sz w:val="22"/>
        <w:szCs w:val="22"/>
        <w:u w:val="none"/>
        <w:shd w:fill="auto" w:val="clear"/>
        <w:vertAlign w:val="baseline"/>
      </w:rPr>
    </w:lvl>
    <w:lvl w:ilvl="5">
      <w:start w:val="1"/>
      <w:numFmt w:val="bullet"/>
      <w:lvlText w:val="■"/>
      <w:lvlJc w:val="left"/>
      <w:pPr>
        <w:ind w:left="4320" w:hanging="360"/>
      </w:pPr>
      <w:rPr>
        <w:rFonts w:ascii="Arial" w:cs="Arial" w:eastAsia="Arial" w:hAnsi="Arial"/>
        <w:b w:val="0"/>
        <w:bCs w:val="0"/>
        <w:i w:val="0"/>
        <w:iCs w:val="0"/>
        <w:smallCaps w:val="0"/>
        <w:strike w:val="0"/>
        <w:color w:val="000000"/>
        <w:sz w:val="22"/>
        <w:szCs w:val="22"/>
        <w:u w:val="none"/>
        <w:shd w:fill="auto" w:val="clear"/>
        <w:vertAlign w:val="baseline"/>
      </w:rPr>
    </w:lvl>
    <w:lvl w:ilvl="6">
      <w:start w:val="1"/>
      <w:numFmt w:val="bullet"/>
      <w:lvlText w:val="●"/>
      <w:lvlJc w:val="left"/>
      <w:pPr>
        <w:ind w:left="5040" w:hanging="360"/>
      </w:pPr>
      <w:rPr>
        <w:rFonts w:ascii="Arial" w:cs="Arial" w:eastAsia="Arial" w:hAnsi="Arial"/>
        <w:b w:val="0"/>
        <w:bCs w:val="0"/>
        <w:i w:val="0"/>
        <w:iCs w:val="0"/>
        <w:smallCaps w:val="0"/>
        <w:strike w:val="0"/>
        <w:color w:val="000000"/>
        <w:sz w:val="22"/>
        <w:szCs w:val="22"/>
        <w:u w:val="none"/>
        <w:shd w:fill="auto" w:val="clear"/>
        <w:vertAlign w:val="baseline"/>
      </w:rPr>
    </w:lvl>
    <w:lvl w:ilvl="7">
      <w:start w:val="1"/>
      <w:numFmt w:val="bullet"/>
      <w:lvlText w:val="○"/>
      <w:lvlJc w:val="left"/>
      <w:pPr>
        <w:ind w:left="5760" w:hanging="360"/>
      </w:pPr>
      <w:rPr>
        <w:rFonts w:ascii="Arial" w:cs="Arial" w:eastAsia="Arial" w:hAnsi="Arial"/>
        <w:b w:val="0"/>
        <w:bCs w:val="0"/>
        <w:i w:val="0"/>
        <w:iCs w:val="0"/>
        <w:smallCaps w:val="0"/>
        <w:strike w:val="0"/>
        <w:color w:val="000000"/>
        <w:sz w:val="22"/>
        <w:szCs w:val="22"/>
        <w:u w:val="none"/>
        <w:shd w:fill="auto" w:val="clear"/>
        <w:vertAlign w:val="baseline"/>
      </w:rPr>
    </w:lvl>
    <w:lvl w:ilvl="8">
      <w:start w:val="1"/>
      <w:numFmt w:val="bullet"/>
      <w:lvlText w:val="■"/>
      <w:lvlJc w:val="left"/>
      <w:pPr>
        <w:ind w:left="6480" w:hanging="360"/>
      </w:pPr>
      <w:rPr>
        <w:rFonts w:ascii="Arial" w:cs="Arial" w:eastAsia="Arial" w:hAnsi="Arial"/>
        <w:b w:val="0"/>
        <w:bCs w:val="0"/>
        <w:i w:val="0"/>
        <w:iCs w:val="0"/>
        <w:smallCaps w:val="0"/>
        <w:strike w:val="0"/>
        <w:color w:val="000000"/>
        <w:sz w:val="22"/>
        <w:szCs w:val="22"/>
        <w:u w:val="none"/>
        <w:shd w:fill="auto" w:val="clear"/>
        <w:vertAlign w:val="baseline"/>
      </w:rPr>
    </w:lvl>
  </w:abstractNum>
  <w:abstractNum w:abstractNumId="2">
    <w:lvl w:ilvl="0">
      <w:start w:val="1"/>
      <w:numFmt w:val="bullet"/>
      <w:lvlText w:val=""/>
      <w:lvlJc w:val="left"/>
      <w:pPr>
        <w:ind w:left="720" w:hanging="360"/>
      </w:pPr>
      <w:rPr>
        <w:rFonts w:ascii="Arial" w:cs="Arial" w:eastAsia="Arial" w:hAnsi="Arial"/>
        <w:b w:val="0"/>
        <w:bCs w:val="0"/>
        <w:i w:val="0"/>
        <w:iCs w:val="0"/>
        <w:smallCaps w:val="0"/>
        <w:strike w:val="0"/>
        <w:color w:val="000000"/>
        <w:sz w:val="22"/>
        <w:szCs w:val="22"/>
        <w:u w:val="none"/>
        <w:shd w:fill="auto" w:val="clear"/>
        <w:vertAlign w:val="baseline"/>
      </w:rPr>
    </w:lvl>
    <w:lvl w:ilvl="1">
      <w:start w:val="1"/>
      <w:numFmt w:val="bullet"/>
      <w:lvlText w:val="-"/>
      <w:lvlJc w:val="left"/>
      <w:pPr>
        <w:ind w:left="1440" w:hanging="360"/>
      </w:pPr>
      <w:rPr>
        <w:rFonts w:ascii="Arial" w:cs="Arial" w:eastAsia="Arial" w:hAnsi="Arial"/>
        <w:b w:val="0"/>
        <w:bCs w:val="0"/>
        <w:i w:val="0"/>
        <w:iCs w:val="0"/>
        <w:smallCaps w:val="0"/>
        <w:strike w:val="0"/>
        <w:color w:val="000000"/>
        <w:sz w:val="22"/>
        <w:szCs w:val="22"/>
        <w:u w:val="none"/>
        <w:shd w:fill="auto" w:val="clear"/>
        <w:vertAlign w:val="baseline"/>
      </w:rPr>
    </w:lvl>
    <w:lvl w:ilvl="2">
      <w:start w:val="1"/>
      <w:numFmt w:val="bullet"/>
      <w:lvlText w:val="■"/>
      <w:lvlJc w:val="left"/>
      <w:pPr>
        <w:ind w:left="2160" w:hanging="360"/>
      </w:pPr>
      <w:rPr>
        <w:rFonts w:ascii="Arial" w:cs="Arial" w:eastAsia="Arial" w:hAnsi="Arial"/>
        <w:b w:val="0"/>
        <w:bCs w:val="0"/>
        <w:i w:val="0"/>
        <w:iCs w:val="0"/>
        <w:smallCaps w:val="0"/>
        <w:strike w:val="0"/>
        <w:color w:val="000000"/>
        <w:sz w:val="22"/>
        <w:szCs w:val="22"/>
        <w:u w:val="none"/>
        <w:shd w:fill="auto" w:val="clear"/>
        <w:vertAlign w:val="baseline"/>
      </w:rPr>
    </w:lvl>
    <w:lvl w:ilvl="3">
      <w:start w:val="1"/>
      <w:numFmt w:val="bullet"/>
      <w:lvlText w:val="●"/>
      <w:lvlJc w:val="left"/>
      <w:pPr>
        <w:ind w:left="2880" w:hanging="360"/>
      </w:pPr>
      <w:rPr>
        <w:rFonts w:ascii="Arial" w:cs="Arial" w:eastAsia="Arial" w:hAnsi="Arial"/>
        <w:b w:val="0"/>
        <w:bCs w:val="0"/>
        <w:i w:val="0"/>
        <w:iCs w:val="0"/>
        <w:smallCaps w:val="0"/>
        <w:strike w:val="0"/>
        <w:color w:val="000000"/>
        <w:sz w:val="22"/>
        <w:szCs w:val="22"/>
        <w:u w:val="none"/>
        <w:shd w:fill="auto" w:val="clear"/>
        <w:vertAlign w:val="baseline"/>
      </w:rPr>
    </w:lvl>
    <w:lvl w:ilvl="4">
      <w:start w:val="1"/>
      <w:numFmt w:val="bullet"/>
      <w:lvlText w:val="○"/>
      <w:lvlJc w:val="left"/>
      <w:pPr>
        <w:ind w:left="3600" w:hanging="360"/>
      </w:pPr>
      <w:rPr>
        <w:rFonts w:ascii="Arial" w:cs="Arial" w:eastAsia="Arial" w:hAnsi="Arial"/>
        <w:b w:val="0"/>
        <w:bCs w:val="0"/>
        <w:i w:val="0"/>
        <w:iCs w:val="0"/>
        <w:smallCaps w:val="0"/>
        <w:strike w:val="0"/>
        <w:color w:val="000000"/>
        <w:sz w:val="22"/>
        <w:szCs w:val="22"/>
        <w:u w:val="none"/>
        <w:shd w:fill="auto" w:val="clear"/>
        <w:vertAlign w:val="baseline"/>
      </w:rPr>
    </w:lvl>
    <w:lvl w:ilvl="5">
      <w:start w:val="1"/>
      <w:numFmt w:val="bullet"/>
      <w:lvlText w:val="■"/>
      <w:lvlJc w:val="left"/>
      <w:pPr>
        <w:ind w:left="4320" w:hanging="360"/>
      </w:pPr>
      <w:rPr>
        <w:rFonts w:ascii="Arial" w:cs="Arial" w:eastAsia="Arial" w:hAnsi="Arial"/>
        <w:b w:val="0"/>
        <w:bCs w:val="0"/>
        <w:i w:val="0"/>
        <w:iCs w:val="0"/>
        <w:smallCaps w:val="0"/>
        <w:strike w:val="0"/>
        <w:color w:val="000000"/>
        <w:sz w:val="22"/>
        <w:szCs w:val="22"/>
        <w:u w:val="none"/>
        <w:shd w:fill="auto" w:val="clear"/>
        <w:vertAlign w:val="baseline"/>
      </w:rPr>
    </w:lvl>
    <w:lvl w:ilvl="6">
      <w:start w:val="1"/>
      <w:numFmt w:val="bullet"/>
      <w:lvlText w:val="●"/>
      <w:lvlJc w:val="left"/>
      <w:pPr>
        <w:ind w:left="5040" w:hanging="360"/>
      </w:pPr>
      <w:rPr>
        <w:rFonts w:ascii="Arial" w:cs="Arial" w:eastAsia="Arial" w:hAnsi="Arial"/>
        <w:b w:val="0"/>
        <w:bCs w:val="0"/>
        <w:i w:val="0"/>
        <w:iCs w:val="0"/>
        <w:smallCaps w:val="0"/>
        <w:strike w:val="0"/>
        <w:color w:val="000000"/>
        <w:sz w:val="22"/>
        <w:szCs w:val="22"/>
        <w:u w:val="none"/>
        <w:shd w:fill="auto" w:val="clear"/>
        <w:vertAlign w:val="baseline"/>
      </w:rPr>
    </w:lvl>
    <w:lvl w:ilvl="7">
      <w:start w:val="1"/>
      <w:numFmt w:val="bullet"/>
      <w:lvlText w:val="○"/>
      <w:lvlJc w:val="left"/>
      <w:pPr>
        <w:ind w:left="5760" w:hanging="360"/>
      </w:pPr>
      <w:rPr>
        <w:rFonts w:ascii="Arial" w:cs="Arial" w:eastAsia="Arial" w:hAnsi="Arial"/>
        <w:b w:val="0"/>
        <w:bCs w:val="0"/>
        <w:i w:val="0"/>
        <w:iCs w:val="0"/>
        <w:smallCaps w:val="0"/>
        <w:strike w:val="0"/>
        <w:color w:val="000000"/>
        <w:sz w:val="22"/>
        <w:szCs w:val="22"/>
        <w:u w:val="none"/>
        <w:shd w:fill="auto" w:val="clear"/>
        <w:vertAlign w:val="baseline"/>
      </w:rPr>
    </w:lvl>
    <w:lvl w:ilvl="8">
      <w:start w:val="1"/>
      <w:numFmt w:val="bullet"/>
      <w:lvlText w:val="■"/>
      <w:lvlJc w:val="left"/>
      <w:pPr>
        <w:ind w:left="6480" w:hanging="360"/>
      </w:pPr>
      <w:rPr>
        <w:rFonts w:ascii="Arial" w:cs="Arial" w:eastAsia="Arial" w:hAnsi="Arial"/>
        <w:b w:val="0"/>
        <w:bCs w:val="0"/>
        <w:i w:val="0"/>
        <w:iCs w:val="0"/>
        <w:smallCaps w:val="0"/>
        <w:strike w:val="0"/>
        <w:color w:val="000000"/>
        <w:sz w:val="22"/>
        <w:szCs w:val="22"/>
        <w:u w:val="none"/>
        <w:shd w:fill="auto" w:val="clear"/>
        <w:vertAlign w:val="baseline"/>
      </w:rPr>
    </w:lvl>
  </w:abstractNum>
  <w:abstractNum w:abstractNumId="3">
    <w:lvl w:ilvl="0">
      <w:start w:val="1"/>
      <w:numFmt w:val="bullet"/>
      <w:lvlText w:val="●"/>
      <w:lvlJc w:val="left"/>
      <w:pPr>
        <w:ind w:left="720" w:hanging="360"/>
      </w:pPr>
      <w:rPr>
        <w:rFonts w:ascii="Arial" w:cs="Arial" w:eastAsia="Arial" w:hAnsi="Arial"/>
        <w:b w:val="0"/>
        <w:bCs w:val="0"/>
        <w:i w:val="0"/>
        <w:iCs w:val="0"/>
        <w:smallCaps w:val="0"/>
        <w:strike w:val="0"/>
        <w:color w:val="000000"/>
        <w:sz w:val="22"/>
        <w:szCs w:val="22"/>
        <w:u w:val="none"/>
        <w:shd w:fill="auto" w:val="clear"/>
        <w:vertAlign w:val="baseline"/>
      </w:rPr>
    </w:lvl>
    <w:lvl w:ilvl="1">
      <w:start w:val="1"/>
      <w:numFmt w:val="bullet"/>
      <w:lvlText w:val="○"/>
      <w:lvlJc w:val="left"/>
      <w:pPr>
        <w:ind w:left="1440" w:hanging="360"/>
      </w:pPr>
      <w:rPr>
        <w:rFonts w:ascii="Arial" w:cs="Arial" w:eastAsia="Arial" w:hAnsi="Arial"/>
        <w:b w:val="0"/>
        <w:bCs w:val="0"/>
        <w:i w:val="0"/>
        <w:iCs w:val="0"/>
        <w:smallCaps w:val="0"/>
        <w:strike w:val="0"/>
        <w:color w:val="000000"/>
        <w:sz w:val="22"/>
        <w:szCs w:val="22"/>
        <w:u w:val="none"/>
        <w:shd w:fill="auto" w:val="clear"/>
        <w:vertAlign w:val="baseline"/>
      </w:rPr>
    </w:lvl>
    <w:lvl w:ilvl="2">
      <w:start w:val="1"/>
      <w:numFmt w:val="bullet"/>
      <w:lvlText w:val="■"/>
      <w:lvlJc w:val="left"/>
      <w:pPr>
        <w:ind w:left="2160" w:hanging="360"/>
      </w:pPr>
      <w:rPr>
        <w:rFonts w:ascii="Arial" w:cs="Arial" w:eastAsia="Arial" w:hAnsi="Arial"/>
        <w:b w:val="0"/>
        <w:bCs w:val="0"/>
        <w:i w:val="0"/>
        <w:iCs w:val="0"/>
        <w:smallCaps w:val="0"/>
        <w:strike w:val="0"/>
        <w:color w:val="000000"/>
        <w:sz w:val="22"/>
        <w:szCs w:val="22"/>
        <w:u w:val="none"/>
        <w:shd w:fill="auto" w:val="clear"/>
        <w:vertAlign w:val="baseline"/>
      </w:rPr>
    </w:lvl>
    <w:lvl w:ilvl="3">
      <w:start w:val="1"/>
      <w:numFmt w:val="bullet"/>
      <w:lvlText w:val="●"/>
      <w:lvlJc w:val="left"/>
      <w:pPr>
        <w:ind w:left="2880" w:hanging="360"/>
      </w:pPr>
      <w:rPr>
        <w:rFonts w:ascii="Arial" w:cs="Arial" w:eastAsia="Arial" w:hAnsi="Arial"/>
        <w:b w:val="0"/>
        <w:bCs w:val="0"/>
        <w:i w:val="0"/>
        <w:iCs w:val="0"/>
        <w:smallCaps w:val="0"/>
        <w:strike w:val="0"/>
        <w:color w:val="000000"/>
        <w:sz w:val="22"/>
        <w:szCs w:val="22"/>
        <w:u w:val="none"/>
        <w:shd w:fill="auto" w:val="clear"/>
        <w:vertAlign w:val="baseline"/>
      </w:rPr>
    </w:lvl>
    <w:lvl w:ilvl="4">
      <w:start w:val="1"/>
      <w:numFmt w:val="bullet"/>
      <w:lvlText w:val="○"/>
      <w:lvlJc w:val="left"/>
      <w:pPr>
        <w:ind w:left="3600" w:hanging="360"/>
      </w:pPr>
      <w:rPr>
        <w:rFonts w:ascii="Arial" w:cs="Arial" w:eastAsia="Arial" w:hAnsi="Arial"/>
        <w:b w:val="0"/>
        <w:bCs w:val="0"/>
        <w:i w:val="0"/>
        <w:iCs w:val="0"/>
        <w:smallCaps w:val="0"/>
        <w:strike w:val="0"/>
        <w:color w:val="000000"/>
        <w:sz w:val="22"/>
        <w:szCs w:val="22"/>
        <w:u w:val="none"/>
        <w:shd w:fill="auto" w:val="clear"/>
        <w:vertAlign w:val="baseline"/>
      </w:rPr>
    </w:lvl>
    <w:lvl w:ilvl="5">
      <w:start w:val="1"/>
      <w:numFmt w:val="bullet"/>
      <w:lvlText w:val="■"/>
      <w:lvlJc w:val="left"/>
      <w:pPr>
        <w:ind w:left="4320" w:hanging="360"/>
      </w:pPr>
      <w:rPr>
        <w:rFonts w:ascii="Arial" w:cs="Arial" w:eastAsia="Arial" w:hAnsi="Arial"/>
        <w:b w:val="0"/>
        <w:bCs w:val="0"/>
        <w:i w:val="0"/>
        <w:iCs w:val="0"/>
        <w:smallCaps w:val="0"/>
        <w:strike w:val="0"/>
        <w:color w:val="000000"/>
        <w:sz w:val="22"/>
        <w:szCs w:val="22"/>
        <w:u w:val="none"/>
        <w:shd w:fill="auto" w:val="clear"/>
        <w:vertAlign w:val="baseline"/>
      </w:rPr>
    </w:lvl>
    <w:lvl w:ilvl="6">
      <w:start w:val="1"/>
      <w:numFmt w:val="bullet"/>
      <w:lvlText w:val="●"/>
      <w:lvlJc w:val="left"/>
      <w:pPr>
        <w:ind w:left="5040" w:hanging="360"/>
      </w:pPr>
      <w:rPr>
        <w:rFonts w:ascii="Arial" w:cs="Arial" w:eastAsia="Arial" w:hAnsi="Arial"/>
        <w:b w:val="0"/>
        <w:bCs w:val="0"/>
        <w:i w:val="0"/>
        <w:iCs w:val="0"/>
        <w:smallCaps w:val="0"/>
        <w:strike w:val="0"/>
        <w:color w:val="000000"/>
        <w:sz w:val="22"/>
        <w:szCs w:val="22"/>
        <w:u w:val="none"/>
        <w:shd w:fill="auto" w:val="clear"/>
        <w:vertAlign w:val="baseline"/>
      </w:rPr>
    </w:lvl>
    <w:lvl w:ilvl="7">
      <w:start w:val="1"/>
      <w:numFmt w:val="bullet"/>
      <w:lvlText w:val="○"/>
      <w:lvlJc w:val="left"/>
      <w:pPr>
        <w:ind w:left="5760" w:hanging="360"/>
      </w:pPr>
      <w:rPr>
        <w:rFonts w:ascii="Arial" w:cs="Arial" w:eastAsia="Arial" w:hAnsi="Arial"/>
        <w:b w:val="0"/>
        <w:bCs w:val="0"/>
        <w:i w:val="0"/>
        <w:iCs w:val="0"/>
        <w:smallCaps w:val="0"/>
        <w:strike w:val="0"/>
        <w:color w:val="000000"/>
        <w:sz w:val="22"/>
        <w:szCs w:val="22"/>
        <w:u w:val="none"/>
        <w:shd w:fill="auto" w:val="clear"/>
        <w:vertAlign w:val="baseline"/>
      </w:rPr>
    </w:lvl>
    <w:lvl w:ilvl="8">
      <w:start w:val="1"/>
      <w:numFmt w:val="bullet"/>
      <w:lvlText w:val="■"/>
      <w:lvlJc w:val="left"/>
      <w:pPr>
        <w:ind w:left="6480" w:hanging="360"/>
      </w:pPr>
      <w:rPr>
        <w:rFonts w:ascii="Arial" w:cs="Arial" w:eastAsia="Arial" w:hAnsi="Arial"/>
        <w:b w:val="0"/>
        <w:bCs w:val="0"/>
        <w:i w:val="0"/>
        <w:iCs w:val="0"/>
        <w:smallCaps w:val="0"/>
        <w:strike w:val="0"/>
        <w:color w:val="000000"/>
        <w:sz w:val="22"/>
        <w:szCs w:val="22"/>
        <w:u w:val="none"/>
        <w:shd w:fill="auto" w:val="clear"/>
        <w:vertAlign w:val="baseline"/>
      </w:rPr>
    </w:lvl>
  </w:abstractNum>
  <w:abstractNum w:abstractNumId="4">
    <w:lvl w:ilvl="0">
      <w:start w:val="1"/>
      <w:numFmt w:val="bullet"/>
      <w:lvlText w:val="●"/>
      <w:lvlJc w:val="left"/>
      <w:pPr>
        <w:ind w:left="720" w:hanging="360"/>
      </w:pPr>
      <w:rPr>
        <w:rFonts w:ascii="Arial" w:cs="Arial" w:eastAsia="Arial" w:hAnsi="Arial"/>
        <w:b w:val="0"/>
        <w:bCs w:val="0"/>
        <w:i w:val="0"/>
        <w:iCs w:val="0"/>
        <w:smallCaps w:val="0"/>
        <w:strike w:val="0"/>
        <w:color w:val="000000"/>
        <w:sz w:val="22"/>
        <w:szCs w:val="22"/>
        <w:u w:val="none"/>
        <w:shd w:fill="auto" w:val="clear"/>
        <w:vertAlign w:val="baseline"/>
      </w:rPr>
    </w:lvl>
    <w:lvl w:ilvl="1">
      <w:start w:val="1"/>
      <w:numFmt w:val="bullet"/>
      <w:lvlText w:val="-"/>
      <w:lvlJc w:val="left"/>
      <w:pPr>
        <w:ind w:left="1440" w:hanging="360"/>
      </w:pPr>
      <w:rPr>
        <w:rFonts w:ascii="Arial" w:cs="Arial" w:eastAsia="Arial" w:hAnsi="Arial"/>
        <w:b w:val="0"/>
        <w:bCs w:val="0"/>
        <w:i w:val="0"/>
        <w:iCs w:val="0"/>
        <w:smallCaps w:val="0"/>
        <w:strike w:val="0"/>
        <w:color w:val="000000"/>
        <w:sz w:val="22"/>
        <w:szCs w:val="22"/>
        <w:u w:val="none"/>
        <w:shd w:fill="auto" w:val="clear"/>
        <w:vertAlign w:val="baseline"/>
      </w:rPr>
    </w:lvl>
    <w:lvl w:ilvl="2">
      <w:start w:val="1"/>
      <w:numFmt w:val="bullet"/>
      <w:lvlText w:val="■"/>
      <w:lvlJc w:val="left"/>
      <w:pPr>
        <w:ind w:left="2160" w:hanging="360"/>
      </w:pPr>
      <w:rPr>
        <w:rFonts w:ascii="Arial" w:cs="Arial" w:eastAsia="Arial" w:hAnsi="Arial"/>
        <w:b w:val="0"/>
        <w:bCs w:val="0"/>
        <w:i w:val="0"/>
        <w:iCs w:val="0"/>
        <w:smallCaps w:val="0"/>
        <w:strike w:val="0"/>
        <w:color w:val="000000"/>
        <w:sz w:val="22"/>
        <w:szCs w:val="22"/>
        <w:u w:val="none"/>
        <w:shd w:fill="auto" w:val="clear"/>
        <w:vertAlign w:val="baseline"/>
      </w:rPr>
    </w:lvl>
    <w:lvl w:ilvl="3">
      <w:start w:val="1"/>
      <w:numFmt w:val="bullet"/>
      <w:lvlText w:val="●"/>
      <w:lvlJc w:val="left"/>
      <w:pPr>
        <w:ind w:left="2880" w:hanging="360"/>
      </w:pPr>
      <w:rPr>
        <w:rFonts w:ascii="Arial" w:cs="Arial" w:eastAsia="Arial" w:hAnsi="Arial"/>
        <w:b w:val="0"/>
        <w:bCs w:val="0"/>
        <w:i w:val="0"/>
        <w:iCs w:val="0"/>
        <w:smallCaps w:val="0"/>
        <w:strike w:val="0"/>
        <w:color w:val="000000"/>
        <w:sz w:val="22"/>
        <w:szCs w:val="22"/>
        <w:u w:val="none"/>
        <w:shd w:fill="auto" w:val="clear"/>
        <w:vertAlign w:val="baseline"/>
      </w:rPr>
    </w:lvl>
    <w:lvl w:ilvl="4">
      <w:start w:val="1"/>
      <w:numFmt w:val="bullet"/>
      <w:lvlText w:val="○"/>
      <w:lvlJc w:val="left"/>
      <w:pPr>
        <w:ind w:left="3600" w:hanging="360"/>
      </w:pPr>
      <w:rPr>
        <w:rFonts w:ascii="Arial" w:cs="Arial" w:eastAsia="Arial" w:hAnsi="Arial"/>
        <w:b w:val="0"/>
        <w:bCs w:val="0"/>
        <w:i w:val="0"/>
        <w:iCs w:val="0"/>
        <w:smallCaps w:val="0"/>
        <w:strike w:val="0"/>
        <w:color w:val="000000"/>
        <w:sz w:val="22"/>
        <w:szCs w:val="22"/>
        <w:u w:val="none"/>
        <w:shd w:fill="auto" w:val="clear"/>
        <w:vertAlign w:val="baseline"/>
      </w:rPr>
    </w:lvl>
    <w:lvl w:ilvl="5">
      <w:start w:val="1"/>
      <w:numFmt w:val="bullet"/>
      <w:lvlText w:val="■"/>
      <w:lvlJc w:val="left"/>
      <w:pPr>
        <w:ind w:left="4320" w:hanging="360"/>
      </w:pPr>
      <w:rPr>
        <w:rFonts w:ascii="Arial" w:cs="Arial" w:eastAsia="Arial" w:hAnsi="Arial"/>
        <w:b w:val="0"/>
        <w:bCs w:val="0"/>
        <w:i w:val="0"/>
        <w:iCs w:val="0"/>
        <w:smallCaps w:val="0"/>
        <w:strike w:val="0"/>
        <w:color w:val="000000"/>
        <w:sz w:val="22"/>
        <w:szCs w:val="22"/>
        <w:u w:val="none"/>
        <w:shd w:fill="auto" w:val="clear"/>
        <w:vertAlign w:val="baseline"/>
      </w:rPr>
    </w:lvl>
    <w:lvl w:ilvl="6">
      <w:start w:val="1"/>
      <w:numFmt w:val="bullet"/>
      <w:lvlText w:val="●"/>
      <w:lvlJc w:val="left"/>
      <w:pPr>
        <w:ind w:left="5040" w:hanging="360"/>
      </w:pPr>
      <w:rPr>
        <w:rFonts w:ascii="Arial" w:cs="Arial" w:eastAsia="Arial" w:hAnsi="Arial"/>
        <w:b w:val="0"/>
        <w:bCs w:val="0"/>
        <w:i w:val="0"/>
        <w:iCs w:val="0"/>
        <w:smallCaps w:val="0"/>
        <w:strike w:val="0"/>
        <w:color w:val="000000"/>
        <w:sz w:val="22"/>
        <w:szCs w:val="22"/>
        <w:u w:val="none"/>
        <w:shd w:fill="auto" w:val="clear"/>
        <w:vertAlign w:val="baseline"/>
      </w:rPr>
    </w:lvl>
    <w:lvl w:ilvl="7">
      <w:start w:val="1"/>
      <w:numFmt w:val="bullet"/>
      <w:lvlText w:val="○"/>
      <w:lvlJc w:val="left"/>
      <w:pPr>
        <w:ind w:left="5760" w:hanging="360"/>
      </w:pPr>
      <w:rPr>
        <w:rFonts w:ascii="Arial" w:cs="Arial" w:eastAsia="Arial" w:hAnsi="Arial"/>
        <w:b w:val="0"/>
        <w:bCs w:val="0"/>
        <w:i w:val="0"/>
        <w:iCs w:val="0"/>
        <w:smallCaps w:val="0"/>
        <w:strike w:val="0"/>
        <w:color w:val="000000"/>
        <w:sz w:val="22"/>
        <w:szCs w:val="22"/>
        <w:u w:val="none"/>
        <w:shd w:fill="auto" w:val="clear"/>
        <w:vertAlign w:val="baseline"/>
      </w:rPr>
    </w:lvl>
    <w:lvl w:ilvl="8">
      <w:start w:val="1"/>
      <w:numFmt w:val="bullet"/>
      <w:lvlText w:val="■"/>
      <w:lvlJc w:val="left"/>
      <w:pPr>
        <w:ind w:left="6480" w:hanging="360"/>
      </w:pPr>
      <w:rPr>
        <w:rFonts w:ascii="Arial" w:cs="Arial" w:eastAsia="Arial" w:hAnsi="Arial"/>
        <w:b w:val="0"/>
        <w:bCs w:val="0"/>
        <w:i w:val="0"/>
        <w:iCs w:val="0"/>
        <w:smallCaps w:val="0"/>
        <w:strike w:val="0"/>
        <w:color w:val="000000"/>
        <w:sz w:val="22"/>
        <w:szCs w:val="22"/>
        <w:u w:val="none"/>
        <w:shd w:fill="auto" w:val="clear"/>
        <w:vertAlign w:val="baseline"/>
      </w:rPr>
    </w:lvl>
  </w:abstractNum>
  <w:num w:numId="1">
    <w:abstractNumId w:val="1"/>
  </w:num>
  <w:num w:numId="2">
    <w:abstractNumId w:val="2"/>
  </w:num>
  <w:num w:numId="3">
    <w:abstractNumId w:val="3"/>
  </w:num>
  <w:num w:numId="4">
    <w:abstractNumId w:val="4"/>
  </w:num>
</w:numbering>
</file>

<file path=word/settings.xml><?xml version="1.0" encoding="utf-8"?>
<w:settings xmlns:mc="http://schemas.openxmlformats.org/markup-compatibility/2006" xmlns:o="urn:schemas-microsoft-com:office:office" xmlns:r="http://schemas.openxmlformats.org/officeDocument/2006/relationships" xmlns:m="http://schemas.openxmlformats.org/officeDocument/2006/math" xmlns:v="urn:schemas-microsoft-com:vml" xmlns:wp="http://schemas.openxmlformats.org/drawingml/2006/wordprocessingDrawing" xmlns:w10="urn:schemas-microsoft-com:office:word" xmlns:w="http://schemas.openxmlformats.org/wordprocessingml/2006/main" xmlns:wne="http://schemas.microsoft.com/office/word/2006/wordml" xmlns:sl="http://schemas.openxmlformats.org/schemaLibrary/2006/main" xmlns:a="http://schemas.openxmlformats.org/drawingml/2006/main" xmlns:pic="http://schemas.openxmlformats.org/drawingml/2006/picture" xmlns:c="http://schemas.openxmlformats.org/drawingml/2006/chart" xmlns:lc="http://schemas.openxmlformats.org/drawingml/2006/lockedCanvas" xmlns:dgm="http://schemas.openxmlformats.org/drawingml/2006/diagram" xmlns:wps="http://schemas.microsoft.com/office/word/2010/wordprocessingShape" xmlns:wpg="http://schemas.microsoft.com/office/word/2010/wordprocessingGroup" xmlns:w14="http://schemas.microsoft.com/office/word/2010/wordml" xmlns:w15="http://schemas.microsoft.com/office/word/2012/wordml" xmlns:w16="http://schemas.microsoft.com/office/word/2018/wordml" xmlns:w16cex="http://schemas.microsoft.com/office/word/2018/wordml/cex" xmlns:w16cid="http://schemas.microsoft.com/office/word/2016/wordml/cid" xmlns="http://schemas.microsoft.com/office/tasks/2019/documenttasks" xmlns:cr="http://schemas.microsoft.com/office/comments/2020/reactions">
  <w:embedTrueTypeFonts w:val="1"/>
  <w:defaultTabStop w:val="720"/>
  <w:compat>
    <w:compatSetting w:val="15" w:name="compatibilityMode" w:uri="http://schemas.microsoft.com/office/word"/>
  </w:compat>
  <w:clrSchemeMapping w:bg1="light1" w:t1="dark1" w:bg2="light2" w:t2="dark2" w:accent1="accent1" w:accent2="accent2" w:accent3="accent3" w:accent4="accent4" w:accent5="accent5" w:accent6="accent6" w:hyperlink="hyperlink" w:followedHyperlink="followedHyperlink"/>
</w:settings>
</file>

<file path=word/styles.xml><?xml version="1.0" encoding="utf-8"?>
<w:styles xmlns:mc="http://schemas.openxmlformats.org/markup-compatibility/2006" xmlns:o="urn:schemas-microsoft-com:office:office" xmlns:r="http://schemas.openxmlformats.org/officeDocument/2006/relationships" xmlns:m="http://schemas.openxmlformats.org/officeDocument/2006/math" xmlns:v="urn:schemas-microsoft-com:vml" xmlns:wp="http://schemas.openxmlformats.org/drawingml/2006/wordprocessingDrawing" xmlns:w10="urn:schemas-microsoft-com:office:word" xmlns:w="http://schemas.openxmlformats.org/wordprocessingml/2006/main" xmlns:wne="http://schemas.microsoft.com/office/word/2006/wordml" xmlns:sl="http://schemas.openxmlformats.org/schemaLibrary/2006/main" xmlns:a="http://schemas.openxmlformats.org/drawingml/2006/main" xmlns:pic="http://schemas.openxmlformats.org/drawingml/2006/picture" xmlns:c="http://schemas.openxmlformats.org/drawingml/2006/chart" xmlns:lc="http://schemas.openxmlformats.org/drawingml/2006/lockedCanvas" xmlns:dgm="http://schemas.openxmlformats.org/drawingml/2006/diagram" xmlns:wps="http://schemas.microsoft.com/office/word/2010/wordprocessingShape" xmlns:wpg="http://schemas.microsoft.com/office/word/2010/wordprocessingGroup" xmlns:w14="http://schemas.microsoft.com/office/word/2010/wordml" xmlns:w15="http://schemas.microsoft.com/office/word/2012/wordml" xmlns:w16="http://schemas.microsoft.com/office/word/2018/wordml" xmlns:w16cex="http://schemas.microsoft.com/office/word/2018/wordml/cex" xmlns:w16cid="http://schemas.microsoft.com/office/word/2016/wordml/cid" xmlns="http://schemas.microsoft.com/office/tasks/2019/documenttasks" xmlns:cr="http://schemas.microsoft.com/office/comments/2020/reactions">
  <w:docDefaults>
    <w:rPrDefault>
      <w:rPr>
        <w:rFonts w:ascii="Arial" w:cs="Arial" w:eastAsia="Arial" w:hAnsi="Arial"/>
        <w:sz w:val="22"/>
        <w:szCs w:val="22"/>
      </w:rPr>
    </w:rPrDefault>
    <w:pPrDefault>
      <w:pPr>
        <w:spacing w:line="276" w:lineRule="auto"/>
      </w:pPr>
    </w:pPrDefault>
  </w:docDefaults>
  <w:style w:type="table" w:styleId="TableNormal" w:default="1">
    <w:name w:val="TableNormal"/>
    <w:tblPr>
      <w:tblCellMar>
        <w:top w:w="100.0" w:type="dxa"/>
        <w:left w:w="100.0" w:type="dxa"/>
        <w:bottom w:w="100.0" w:type="dxa"/>
        <w:right w:w="100.0" w:type="dxa"/>
      </w:tblCellMar>
    </w:tblPr>
  </w:style>
  <w:style w:type="paragraph" w:styleId="Normal" w:default="1">
    <w:name w:val="normal"/>
  </w:style>
  <w:style w:type="paragraph" w:styleId="Heading1">
    <w:name w:val="heading 1"/>
    <w:basedOn w:val="Normal"/>
    <w:next w:val="Normal"/>
    <w:pPr>
      <w:keepNext w:val="1"/>
      <w:keepLines w:val="1"/>
      <w:pageBreakBefore w:val="0"/>
      <w:spacing w:after="120" w:before="400" w:lineRule="auto"/>
    </w:pPr>
    <w:rPr>
      <w:sz w:val="40"/>
      <w:szCs w:val="40"/>
    </w:rPr>
  </w:style>
  <w:style w:type="paragraph" w:styleId="Heading2">
    <w:name w:val="heading 2"/>
    <w:basedOn w:val="Normal"/>
    <w:next w:val="Normal"/>
    <w:pPr>
      <w:keepNext w:val="1"/>
      <w:keepLines w:val="1"/>
      <w:pageBreakBefore w:val="0"/>
      <w:spacing w:after="120" w:before="360" w:lineRule="auto"/>
    </w:pPr>
    <w:rPr>
      <w:b w:val="0"/>
      <w:bCs w:val="0"/>
      <w:sz w:val="32"/>
      <w:szCs w:val="32"/>
    </w:rPr>
  </w:style>
  <w:style w:type="paragraph" w:styleId="Heading3">
    <w:name w:val="heading 3"/>
    <w:basedOn w:val="Normal"/>
    <w:next w:val="Normal"/>
    <w:pPr>
      <w:keepNext w:val="1"/>
      <w:keepLines w:val="1"/>
      <w:pageBreakBefore w:val="0"/>
      <w:spacing w:after="80" w:before="320" w:lineRule="auto"/>
    </w:pPr>
    <w:rPr>
      <w:b w:val="0"/>
      <w:bCs w:val="0"/>
      <w:color w:val="434343"/>
      <w:sz w:val="28"/>
      <w:szCs w:val="28"/>
    </w:rPr>
  </w:style>
  <w:style w:type="paragraph" w:styleId="Heading4">
    <w:name w:val="heading 4"/>
    <w:basedOn w:val="Normal"/>
    <w:next w:val="Normal"/>
    <w:pPr>
      <w:keepNext w:val="1"/>
      <w:keepLines w:val="1"/>
      <w:pageBreakBefore w:val="0"/>
      <w:spacing w:after="80" w:before="280" w:lineRule="auto"/>
    </w:pPr>
    <w:rPr>
      <w:color w:val="666666"/>
      <w:sz w:val="24"/>
      <w:szCs w:val="24"/>
    </w:rPr>
  </w:style>
  <w:style w:type="paragraph" w:styleId="Heading5">
    <w:name w:val="heading 5"/>
    <w:basedOn w:val="Normal"/>
    <w:next w:val="Normal"/>
    <w:pPr>
      <w:keepNext w:val="1"/>
      <w:keepLines w:val="1"/>
      <w:pageBreakBefore w:val="0"/>
      <w:spacing w:after="80" w:before="240" w:lineRule="auto"/>
    </w:pPr>
    <w:rPr>
      <w:color w:val="666666"/>
      <w:sz w:val="22"/>
      <w:szCs w:val="22"/>
    </w:rPr>
  </w:style>
  <w:style w:type="paragraph" w:styleId="Heading6">
    <w:name w:val="heading 6"/>
    <w:basedOn w:val="Normal"/>
    <w:next w:val="Normal"/>
    <w:pPr>
      <w:keepNext w:val="1"/>
      <w:keepLines w:val="1"/>
      <w:pageBreakBefore w:val="0"/>
      <w:spacing w:after="80" w:before="240" w:lineRule="auto"/>
    </w:pPr>
    <w:rPr>
      <w:i w:val="1"/>
      <w:iCs w:val="1"/>
      <w:color w:val="666666"/>
      <w:sz w:val="22"/>
      <w:szCs w:val="22"/>
    </w:rPr>
  </w:style>
  <w:style w:type="paragraph" w:styleId="Title">
    <w:name w:val="Title"/>
    <w:basedOn w:val="Normal"/>
    <w:next w:val="Normal"/>
    <w:pPr>
      <w:keepNext w:val="1"/>
      <w:keepLines w:val="1"/>
      <w:pageBreakBefore w:val="0"/>
      <w:spacing w:after="60" w:before="0" w:lineRule="auto"/>
    </w:pPr>
    <w:rPr>
      <w:sz w:val="52"/>
      <w:szCs w:val="52"/>
    </w:rPr>
  </w:style>
  <w:style w:type="paragraph" w:styleId="Subtitle">
    <w:name w:val="Subtitle"/>
    <w:basedOn w:val="Normal"/>
    <w:next w:val="Normal"/>
    <w:pPr>
      <w:keepNext w:val="1"/>
      <w:keepLines w:val="1"/>
      <w:pageBreakBefore w:val="0"/>
      <w:spacing w:after="320" w:before="0" w:lineRule="auto"/>
    </w:pPr>
    <w:rPr>
      <w:rFonts w:ascii="Arial" w:cs="Arial" w:eastAsia="Arial" w:hAnsi="Arial"/>
      <w:i w:val="0"/>
      <w:iCs w:val="0"/>
      <w:color w:val="666666"/>
      <w:sz w:val="30"/>
      <w:szCs w:val="30"/>
    </w:rPr>
  </w:style>
  <w:style w:type="table" w:styleId="Table1">
    <w:basedOn w:val="TableNormal"/>
    <w:tblPr>
      <w:tblStyleRowBandSize w:val="1"/>
      <w:tblStyleColBandSize w:val="1"/>
    </w:tblPr>
  </w:style>
</w:styles>
</file>

<file path=word/_rels/document.xml.rels><?xml version="1.0" encoding="UTF-8" standalone="yes"?><Relationships xmlns="http://schemas.openxmlformats.org/package/2006/relationships"><Relationship Id="rId1" Type="http://schemas.openxmlformats.org/officeDocument/2006/relationships/theme" Target="theme/theme1.xml"/><Relationship Id="rId2" Type="http://schemas.openxmlformats.org/officeDocument/2006/relationships/settings" Target="settings.xml"/><Relationship Id="rId3" Type="http://schemas.openxmlformats.org/officeDocument/2006/relationships/fontTable" Target="fontTable.xml"/><Relationship Id="rId4" Type="http://schemas.openxmlformats.org/officeDocument/2006/relationships/numbering" Target="numbering.xml"/><Relationship Id="rId5" Type="http://schemas.openxmlformats.org/officeDocument/2006/relationships/styles" Target="styles.xml"/></Relationships>
</file>

<file path=word/_rels/fontTable.xml.rels><?xml version="1.0" encoding="UTF-8" standalone="yes"?><Relationships xmlns="http://schemas.openxmlformats.org/package/2006/relationships"><Relationship Id="rId1" Type="http://schemas.openxmlformats.org/officeDocument/2006/relationships/font" Target="fonts/RobotoMono-regular.ttf"/><Relationship Id="rId2" Type="http://schemas.openxmlformats.org/officeDocument/2006/relationships/font" Target="fonts/RobotoMono-bold.ttf"/><Relationship Id="rId3" Type="http://schemas.openxmlformats.org/officeDocument/2006/relationships/font" Target="fonts/RobotoMono-italic.ttf"/><Relationship Id="rId4" Type="http://schemas.openxmlformats.org/officeDocument/2006/relationships/font" Target="fonts/RobotoMono-boldItalic.ttf"/></Relationships>
</file>

<file path=word/theme/theme1.xml><?xml version="1.0" encoding="utf-8"?>
<a:theme xmlns:a="http://schemas.openxmlformats.org/drawingml/2006/main" name="Office Theme">
  <a:themeElements>
    <a:clrScheme name="Office">
      <a:dk1>
        <a:sysClr val="windowText" lastClr="000000"/>
      </a:dk1>
      <a:lt1>
        <a:sysClr val="window" lastClr="FFFFFF"/>
      </a:lt1>
      <a:dk2>
        <a:srgbClr val="1F497D"/>
      </a:dk2>
      <a:lt2>
        <a:srgbClr val="EEECE1"/>
      </a:lt2>
      <a:accent1>
        <a:srgbClr val="4F81BD"/>
      </a:accent1>
      <a:accent2>
        <a:srgbClr val="C0504D"/>
      </a:accent2>
      <a:accent3>
        <a:srgbClr val="9BBB59"/>
      </a:accent3>
      <a:accent4>
        <a:srgbClr val="8064A2"/>
      </a:accent4>
      <a:accent5>
        <a:srgbClr val="4BACC6"/>
      </a:accent5>
      <a:accent6>
        <a:srgbClr val="F79646"/>
      </a:accent6>
      <a:hlink>
        <a:srgbClr val="0000FF"/>
      </a:hlink>
      <a:folHlink>
        <a:srgbClr val="800080"/>
      </a:folHlink>
    </a:clrScheme>
    <a:fontScheme name="Office">
      <a:majorFont>
        <a:latin typeface="Calibri"/>
        <a:ea typeface=""/>
        <a:cs typeface=""/>
        <a:font script="Jpan" typeface="ＭＳ ゴシック"/>
        <a:font script="Hang" typeface="맑은 고딕"/>
        <a:font script="Hans" typeface="宋体"/>
        <a:font script="Hant" typeface="新細明體"/>
        <a:font script="Arab" typeface="Times New Roman"/>
        <a:font script="Hebr" typeface="Times New Roman"/>
        <a:font script="Thai" typeface="Angsana New"/>
        <a:font script="Ethi" typeface="Nyala"/>
        <a:font script="Beng" typeface="Vrinda"/>
        <a:font script="Gujr" typeface="Shruti"/>
        <a:font script="Khmr" typeface="MoolBoran"/>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Times New Roman"/>
        <a:font script="Uigh" typeface="Microsoft Uighur"/>
        <a:font script="Geor" typeface="Sylfaen"/>
      </a:majorFont>
      <a:minorFont>
        <a:latin typeface="Cambria"/>
        <a:ea typeface=""/>
        <a:cs typeface=""/>
        <a:font script="Jpan" typeface="ＭＳ 明朝"/>
        <a:font script="Hang" typeface="맑은 고딕"/>
        <a:font script="Hans" typeface="宋体"/>
        <a:font script="Hant" typeface="新細明體"/>
        <a:font script="Arab" typeface="Arial"/>
        <a:font script="Hebr" typeface="Arial"/>
        <a:font script="Thai" typeface="Cordia New"/>
        <a:font script="Ethi" typeface="Nyala"/>
        <a:font script="Beng" typeface="Vrinda"/>
        <a:font script="Gujr" typeface="Shruti"/>
        <a:font script="Khmr" typeface="DaunPenh"/>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Arial"/>
        <a:font script="Uigh" typeface="Microsoft Uighur"/>
        <a:font script="Geor" typeface="Sylfaen"/>
      </a:minorFont>
    </a:fontScheme>
    <a:fmtScheme name="Office">
      <a:fillStyleLst>
        <a:solidFill>
          <a:schemeClr val="phClr"/>
        </a:solidFill>
        <a:gradFill rotWithShape="1">
          <a:gsLst>
            <a:gs pos="0">
              <a:schemeClr val="phClr">
                <a:tint val="50000"/>
                <a:satMod val="300000"/>
              </a:schemeClr>
            </a:gs>
            <a:gs pos="35000">
              <a:schemeClr val="phClr">
                <a:tint val="37000"/>
                <a:satMod val="300000"/>
              </a:schemeClr>
            </a:gs>
            <a:gs pos="100000">
              <a:schemeClr val="phClr">
                <a:tint val="15000"/>
                <a:satMod val="350000"/>
              </a:schemeClr>
            </a:gs>
          </a:gsLst>
          <a:lin ang="16200000" scaled="1"/>
        </a:gradFill>
        <a:gradFill rotWithShape="1">
          <a:gsLst>
            <a:gs pos="0">
              <a:schemeClr val="phClr">
                <a:tint val="100000"/>
                <a:shade val="100000"/>
                <a:satMod val="130000"/>
              </a:schemeClr>
            </a:gs>
            <a:gs pos="100000">
              <a:schemeClr val="phClr">
                <a:tint val="50000"/>
                <a:shade val="100000"/>
                <a:satMod val="350000"/>
              </a:schemeClr>
            </a:gs>
          </a:gsLst>
          <a:lin ang="16200000" scaled="0"/>
        </a:gradFill>
      </a:fillStyleLst>
      <a:lnStyleLst>
        <a:ln w="9525" cap="flat" cmpd="sng" algn="ctr">
          <a:solidFill>
            <a:schemeClr val="phClr">
              <a:shade val="95000"/>
              <a:satMod val="105000"/>
            </a:schemeClr>
          </a:solidFill>
          <a:prstDash val="solid"/>
        </a:ln>
        <a:ln w="25400" cap="flat" cmpd="sng" algn="ctr">
          <a:solidFill>
            <a:schemeClr val="phClr"/>
          </a:solidFill>
          <a:prstDash val="solid"/>
        </a:ln>
        <a:ln w="38100" cap="flat" cmpd="sng" algn="ctr">
          <a:solidFill>
            <a:schemeClr val="phClr"/>
          </a:solidFill>
          <a:prstDash val="solid"/>
        </a:ln>
      </a:lnStyleLst>
      <a:effectStyleLst>
        <a:effectStyle>
          <a:effectLst>
            <a:outerShdw blurRad="40000" dist="20000" dir="5400000" rotWithShape="0">
              <a:srgbClr val="000000">
                <a:alpha val="38000"/>
              </a:srgbClr>
            </a:outerShdw>
          </a:effectLst>
        </a:effectStyle>
        <a:effectStyle>
          <a:effectLst>
            <a:outerShdw blurRad="40000" dist="23000" dir="5400000" rotWithShape="0">
              <a:srgbClr val="000000">
                <a:alpha val="35000"/>
              </a:srgbClr>
            </a:outerShdw>
          </a:effectLst>
        </a:effectStyle>
        <a:effectStyle>
          <a:effectLst>
            <a:outerShdw blurRad="40000" dist="23000" dir="5400000" rotWithShape="0">
              <a:srgbClr val="000000">
                <a:alpha val="35000"/>
              </a:srgbClr>
            </a:outerShdw>
          </a:effectLst>
          <a:scene3d>
            <a:camera prst="orthographicFront">
              <a:rot lat="0" lon="0" rev="0"/>
            </a:camera>
            <a:lightRig rig="threePt" dir="t">
              <a:rot lat="0" lon="0" rev="1200000"/>
            </a:lightRig>
          </a:scene3d>
          <a:sp3d>
            <a:bevelT w="63500" h="25400"/>
          </a:sp3d>
        </a:effectStyle>
      </a:effectStyleLst>
      <a:bgFillStyleLst>
        <a:solidFill>
          <a:schemeClr val="phClr"/>
        </a:solidFill>
        <a:gradFill rotWithShape="1">
          <a:gsLst>
            <a:gs pos="0">
              <a:schemeClr val="phClr">
                <a:tint val="40000"/>
                <a:satMod val="350000"/>
              </a:schemeClr>
            </a:gs>
            <a:gs pos="40000">
              <a:schemeClr val="phClr">
                <a:tint val="45000"/>
                <a:shade val="99000"/>
                <a:satMod val="350000"/>
              </a:schemeClr>
            </a:gs>
            <a:gs pos="100000">
              <a:schemeClr val="phClr">
                <a:shade val="20000"/>
                <a:satMod val="255000"/>
              </a:schemeClr>
            </a:gs>
          </a:gsLst>
          <a:path path="circle">
            <a:fillToRect l="50000" t="-80000" r="50000" b="180000"/>
          </a:path>
        </a:gradFill>
        <a:gradFill rotWithShape="1">
          <a:gsLst>
            <a:gs pos="0">
              <a:schemeClr val="phClr">
                <a:tint val="80000"/>
                <a:satMod val="300000"/>
              </a:schemeClr>
            </a:gs>
            <a:gs pos="100000">
              <a:schemeClr val="phClr">
                <a:shade val="30000"/>
                <a:satMod val="200000"/>
              </a:schemeClr>
            </a:gs>
          </a:gsLst>
          <a:path path="circle">
            <a:fillToRect l="50000" t="50000" r="50000" b="50000"/>
          </a:path>
        </a:gradFill>
      </a:bgFillStyleLst>
    </a:fmtScheme>
  </a:themeElements>
  <a:objectDefaults>
    <a:spDef>
      <a:spPr/>
      <a:bodyPr/>
      <a:lstStyle/>
      <a:style>
        <a:lnRef idx="1">
          <a:schemeClr val="accent1"/>
        </a:lnRef>
        <a:fillRef idx="3">
          <a:schemeClr val="accent1"/>
        </a:fillRef>
        <a:effectRef idx="2">
          <a:schemeClr val="accent1"/>
        </a:effectRef>
        <a:fontRef idx="minor">
          <a:schemeClr val="lt1"/>
        </a:fontRef>
      </a:style>
    </a:spDef>
    <a:lnDef>
      <a:spPr/>
      <a:bodyPr/>
      <a:lstStyle/>
      <a:style>
        <a:lnRef idx="2">
          <a:schemeClr val="accent1"/>
        </a:lnRef>
        <a:fillRef idx="0">
          <a:schemeClr val="accent1"/>
        </a:fillRef>
        <a:effectRef idx="1">
          <a:schemeClr val="accent1"/>
        </a:effectRef>
        <a:fontRef idx="minor">
          <a:schemeClr val="tx1"/>
        </a:fontRef>
      </a:style>
    </a:lnDef>
  </a:objectDefaults>
  <a:extraClrSchemeLst/>
</a:theme>
</file>