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液态智能网页功能说明</w:t>
      </w:r>
    </w:p>
    <w:p>
      <w:r>
        <w:rPr>
          <w:color w:val="E35D45"/>
        </w:rPr>
        <w:t>产品功能、交互流程、部署状态与后续边界</w:t>
      </w:r>
    </w:p>
    <w:p>
      <w:pPr>
        <w:pStyle w:val="Subtitle"/>
      </w:pPr>
      <w:r>
        <w:t>文档版本 1.0  ·  2026年9月</w:t>
      </w:r>
    </w:p>
    <w:p>
      <w:pPr>
        <w:pStyle w:val="Heading1"/>
      </w:pPr>
      <w:r>
        <w:t>文档概述</w:t>
      </w:r>
    </w:p>
    <w:p>
      <w:r>
        <w:t>液态智能网页是一套“从自然语言需求到可操作网页”的生成系统。用户只需输入一次完整 Query，系统会先理解目标、约束和事实，再生成一份统一的任务答案，并以七种不同的网页形态呈现。它适用于商品推荐、方案比较、学习规划、旅行安排、项目管理、预算计算和数据分析等任务。</w:t>
      </w:r>
    </w:p>
    <w:p>
      <w:r>
        <w:t>当前版本已经完成可公开演示的核心闭环，并部署在 Render。它更适合作为产品原型和邀请制试用版本；涉及价格、库存或专业结论的内容，仍应在行动前再次核实。</w:t>
      </w:r>
    </w:p>
    <w:p>
      <w:pPr>
        <w:pStyle w:val="Heading1"/>
      </w:pPr>
      <w:r>
        <w:t>核心功能</w:t>
      </w:r>
    </w:p>
    <w:p>
      <w:pPr>
        <w:pStyle w:val="Heading2"/>
      </w:pPr>
      <w:r>
        <w:t>统一 Query 输入</w:t>
      </w:r>
    </w:p>
    <w:p>
      <w:r>
        <w:t>支持输入目标、预算、偏好、已有资料和限制条件，最大长度为 6000 字符。</w:t>
      </w:r>
    </w:p>
    <w:p>
      <w:pPr>
        <w:pStyle w:val="Heading2"/>
      </w:pPr>
      <w:r>
        <w:t>需求与约束理解</w:t>
      </w:r>
    </w:p>
    <w:p>
      <w:r>
        <w:t>自动提取用户目标、硬性条件、用户提供信息、待核实事实、假设和预期交付结果。</w:t>
      </w:r>
    </w:p>
    <w:p>
      <w:pPr>
        <w:pStyle w:val="Heading2"/>
      </w:pPr>
      <w:r>
        <w:t>统一答案与七种形态</w:t>
      </w:r>
    </w:p>
    <w:p>
      <w:r>
        <w:t>同一份事实、比较结果和最终结论会被复用到手账决策本、双区分析台、专题编辑部、ICE 速览报、留白阅读页、任务工作台和数据驾驶舱。</w:t>
      </w:r>
    </w:p>
    <w:p>
      <w:pPr>
        <w:pStyle w:val="Heading2"/>
      </w:pPr>
      <w:r>
        <w:t>任务型内容生成</w:t>
      </w:r>
    </w:p>
    <w:p>
      <w:r>
        <w:t>根据任务选择思考路径、步骤、卡片、表格、时间线、对比、计算器、图表和清单等组件。</w:t>
      </w:r>
    </w:p>
    <w:p>
      <w:pPr>
        <w:pStyle w:val="Heading2"/>
      </w:pPr>
      <w:r>
        <w:t>品牌与选购入口</w:t>
      </w:r>
    </w:p>
    <w:p>
      <w:r>
        <w:t>购买类需求至少列出三个候选项，并提供京东、淘宝或官网搜索入口。链接由系统安全生成，不使用模型随意编造的商品详情页地址。</w:t>
      </w:r>
    </w:p>
    <w:p>
      <w:pPr>
        <w:pStyle w:val="Heading2"/>
      </w:pPr>
      <w:r>
        <w:t>事实状态展示</w:t>
      </w:r>
    </w:p>
    <w:p>
      <w:r>
        <w:t>内容可以标记为用户提供、已验证或待核实，减少不同页面之间的事实冲突。</w:t>
      </w:r>
    </w:p>
    <w:p>
      <w:pPr>
        <w:pStyle w:val="Heading2"/>
      </w:pPr>
      <w:r>
        <w:t>可操作交互</w:t>
      </w:r>
    </w:p>
    <w:p>
      <w:r>
        <w:t>支持点击比较表行、调节计算器滑块、勾选清单、使用模块导航和切换七种形态。</w:t>
      </w:r>
    </w:p>
    <w:p>
      <w:pPr>
        <w:pStyle w:val="Heading2"/>
      </w:pPr>
      <w:r>
        <w:t>状态恢复</w:t>
      </w:r>
    </w:p>
    <w:p>
      <w:r>
        <w:t>浏览器会保存 Query、已生成页面、计算器数值和清单勾选状态；服务端会话有效期为两小时。</w:t>
      </w:r>
    </w:p>
    <w:p>
      <w:pPr>
        <w:pStyle w:val="Heading2"/>
      </w:pPr>
      <w:r>
        <w:t>错误与服务保护</w:t>
      </w:r>
    </w:p>
    <w:p>
      <w:r>
        <w:t>支持模型超时提示、临时拥堵自动重试、API Key 检查、健康检查、单 IP 请求限制和基础安全响应头。</w:t>
      </w:r>
    </w:p>
    <w:p>
      <w:pPr>
        <w:pStyle w:val="Heading1"/>
      </w:pPr>
      <w:r>
        <w:t>用户使用流程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20203A"/>
          </w:tcPr>
          <w:p>
            <w:r>
              <w:t>阶段</w:t>
            </w:r>
          </w:p>
        </w:tc>
        <w:tc>
          <w:tcPr>
            <w:tcW w:type="dxa" w:w="3264"/>
            <w:shd w:fill="20203A"/>
          </w:tcPr>
          <w:p>
            <w:r>
              <w:t>用户操作</w:t>
            </w:r>
          </w:p>
        </w:tc>
        <w:tc>
          <w:tcPr>
            <w:tcW w:type="dxa" w:w="3264"/>
            <w:shd w:fill="20203A"/>
          </w:tcPr>
          <w:p>
            <w:r>
              <w:t>系统结果</w:t>
            </w:r>
          </w:p>
        </w:tc>
      </w:tr>
      <w:tr>
        <w:tc>
          <w:tcPr>
            <w:tcW w:type="dxa" w:w="3264"/>
          </w:tcPr>
          <w:p>
            <w:r>
              <w:t>1 输入</w:t>
            </w:r>
          </w:p>
        </w:tc>
        <w:tc>
          <w:tcPr>
            <w:tcW w:type="dxa" w:w="3264"/>
          </w:tcPr>
          <w:p>
            <w:r>
              <w:t>填写完整 Query 并提交</w:t>
            </w:r>
          </w:p>
        </w:tc>
        <w:tc>
          <w:tcPr>
            <w:tcW w:type="dxa" w:w="3264"/>
          </w:tcPr>
          <w:p>
            <w:r>
              <w:t>理解目标、提取约束和整理共享事实</w:t>
            </w:r>
          </w:p>
        </w:tc>
      </w:tr>
      <w:tr>
        <w:tc>
          <w:tcPr>
            <w:tcW w:type="dxa" w:w="3264"/>
          </w:tcPr>
          <w:p>
            <w:r>
              <w:t>2 选择</w:t>
            </w:r>
          </w:p>
        </w:tc>
        <w:tc>
          <w:tcPr>
            <w:tcW w:type="dxa" w:w="3264"/>
          </w:tcPr>
          <w:p>
            <w:r>
              <w:t>浏览七张网页形态卡片</w:t>
            </w:r>
          </w:p>
        </w:tc>
        <w:tc>
          <w:tcPr>
            <w:tcW w:type="dxa" w:w="3264"/>
          </w:tcPr>
          <w:p>
            <w:r>
              <w:t>七种形态共享同一份答案，不再各自产生互相矛盾的结论</w:t>
            </w:r>
          </w:p>
        </w:tc>
      </w:tr>
      <w:tr>
        <w:tc>
          <w:tcPr>
            <w:tcW w:type="dxa" w:w="3264"/>
          </w:tcPr>
          <w:p>
            <w:r>
              <w:t>3 展开</w:t>
            </w:r>
          </w:p>
        </w:tc>
        <w:tc>
          <w:tcPr>
            <w:tcW w:type="dxa" w:w="3264"/>
          </w:tcPr>
          <w:p>
            <w:r>
              <w:t>点击任意卡片</w:t>
            </w:r>
          </w:p>
        </w:tc>
        <w:tc>
          <w:tcPr>
            <w:tcW w:type="dxa" w:w="3264"/>
          </w:tcPr>
          <w:p>
            <w:r>
              <w:t>显示生成进度，生成完成后进入完整任务页面</w:t>
            </w:r>
          </w:p>
        </w:tc>
      </w:tr>
      <w:tr>
        <w:tc>
          <w:tcPr>
            <w:tcW w:type="dxa" w:w="3264"/>
          </w:tcPr>
          <w:p>
            <w:r>
              <w:t>4 操作</w:t>
            </w:r>
          </w:p>
        </w:tc>
        <w:tc>
          <w:tcPr>
            <w:tcW w:type="dxa" w:w="3264"/>
          </w:tcPr>
          <w:p>
            <w:r>
              <w:t>查看证据、比较候选、调节参数或勾选清单</w:t>
            </w:r>
          </w:p>
        </w:tc>
        <w:tc>
          <w:tcPr>
            <w:tcW w:type="dxa" w:w="3264"/>
          </w:tcPr>
          <w:p>
            <w:r>
              <w:t>页面状态即时更新，并保存到当前浏览器</w:t>
            </w:r>
          </w:p>
        </w:tc>
      </w:tr>
      <w:tr>
        <w:tc>
          <w:tcPr>
            <w:tcW w:type="dxa" w:w="3264"/>
          </w:tcPr>
          <w:p>
            <w:r>
              <w:t>5 跳转</w:t>
            </w:r>
          </w:p>
        </w:tc>
        <w:tc>
          <w:tcPr>
            <w:tcW w:type="dxa" w:w="3264"/>
          </w:tcPr>
          <w:p>
            <w:r>
              <w:t>点击品牌或平台入口</w:t>
            </w:r>
          </w:p>
        </w:tc>
        <w:tc>
          <w:tcPr>
            <w:tcW w:type="dxa" w:w="3264"/>
          </w:tcPr>
          <w:p>
            <w:r>
              <w:t>在新标签页打开对应的站内搜索页面</w:t>
            </w:r>
          </w:p>
        </w:tc>
      </w:tr>
    </w:tbl>
    <w:p>
      <w:pPr>
        <w:pStyle w:val="Heading1"/>
      </w:pPr>
      <w:r>
        <w:t>页面形态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20203A"/>
          </w:tcPr>
          <w:p>
            <w:r>
              <w:t>形态</w:t>
            </w:r>
          </w:p>
        </w:tc>
        <w:tc>
          <w:tcPr>
            <w:tcW w:type="dxa" w:w="3264"/>
            <w:shd w:fill="20203A"/>
          </w:tcPr>
          <w:p>
            <w:r>
              <w:t>主要特点</w:t>
            </w:r>
          </w:p>
        </w:tc>
        <w:tc>
          <w:tcPr>
            <w:tcW w:type="dxa" w:w="3264"/>
            <w:shd w:fill="20203A"/>
          </w:tcPr>
          <w:p>
            <w:r>
              <w:t>适合场景</w:t>
            </w:r>
          </w:p>
        </w:tc>
      </w:tr>
      <w:tr>
        <w:tc>
          <w:tcPr>
            <w:tcW w:type="dxa" w:w="3264"/>
          </w:tcPr>
          <w:p>
            <w:r>
              <w:t>手账决策本</w:t>
            </w:r>
          </w:p>
        </w:tc>
        <w:tc>
          <w:tcPr>
            <w:tcW w:type="dxa" w:w="3264"/>
          </w:tcPr>
          <w:p>
            <w:r>
              <w:t>纸张纹理、标签、推理路径、彩色结论卡</w:t>
            </w:r>
          </w:p>
        </w:tc>
        <w:tc>
          <w:tcPr>
            <w:tcW w:type="dxa" w:w="3264"/>
          </w:tcPr>
          <w:p>
            <w:r>
              <w:t>商品推荐、生活决策、个人规划</w:t>
            </w:r>
          </w:p>
        </w:tc>
      </w:tr>
      <w:tr>
        <w:tc>
          <w:tcPr>
            <w:tcW w:type="dxa" w:w="3264"/>
          </w:tcPr>
          <w:p>
            <w:r>
              <w:t>双区分析台</w:t>
            </w:r>
          </w:p>
        </w:tc>
        <w:tc>
          <w:tcPr>
            <w:tcW w:type="dxa" w:w="3264"/>
          </w:tcPr>
          <w:p>
            <w:r>
              <w:t>终端色彩、指标和结构化数据</w:t>
            </w:r>
          </w:p>
        </w:tc>
        <w:tc>
          <w:tcPr>
            <w:tcW w:type="dxa" w:w="3264"/>
          </w:tcPr>
          <w:p>
            <w:r>
              <w:t>技术分析、参数比较、预算计算</w:t>
            </w:r>
          </w:p>
        </w:tc>
      </w:tr>
      <w:tr>
        <w:tc>
          <w:tcPr>
            <w:tcW w:type="dxa" w:w="3264"/>
          </w:tcPr>
          <w:p>
            <w:r>
              <w:t>专题编辑部</w:t>
            </w:r>
          </w:p>
        </w:tc>
        <w:tc>
          <w:tcPr>
            <w:tcW w:type="dxa" w:w="3264"/>
          </w:tcPr>
          <w:p>
            <w:r>
              <w:t>杂志式排版和分栏内容</w:t>
            </w:r>
          </w:p>
        </w:tc>
        <w:tc>
          <w:tcPr>
            <w:tcW w:type="dxa" w:w="3264"/>
          </w:tcPr>
          <w:p>
            <w:r>
              <w:t>专题介绍、方案评审、内容阅读</w:t>
            </w:r>
          </w:p>
        </w:tc>
      </w:tr>
      <w:tr>
        <w:tc>
          <w:tcPr>
            <w:tcW w:type="dxa" w:w="3264"/>
          </w:tcPr>
          <w:p>
            <w:r>
              <w:t>ICE 速览报</w:t>
            </w:r>
          </w:p>
        </w:tc>
        <w:tc>
          <w:tcPr>
            <w:tcW w:type="dxa" w:w="3264"/>
          </w:tcPr>
          <w:p>
            <w:r>
              <w:t>高对比标题和快速扫描结构</w:t>
            </w:r>
          </w:p>
        </w:tc>
        <w:tc>
          <w:tcPr>
            <w:tcW w:type="dxa" w:w="3264"/>
          </w:tcPr>
          <w:p>
            <w:r>
              <w:t>快速了解结论和重点</w:t>
            </w:r>
          </w:p>
        </w:tc>
      </w:tr>
      <w:tr>
        <w:tc>
          <w:tcPr>
            <w:tcW w:type="dxa" w:w="3264"/>
          </w:tcPr>
          <w:p>
            <w:r>
              <w:t>留白阅读页</w:t>
            </w:r>
          </w:p>
        </w:tc>
        <w:tc>
          <w:tcPr>
            <w:tcW w:type="dxa" w:w="3264"/>
          </w:tcPr>
          <w:p>
            <w:r>
              <w:t>低干扰、长阅读、重点突出</w:t>
            </w:r>
          </w:p>
        </w:tc>
        <w:tc>
          <w:tcPr>
            <w:tcW w:type="dxa" w:w="3264"/>
          </w:tcPr>
          <w:p>
            <w:r>
              <w:t>解释、学习和报告阅读</w:t>
            </w:r>
          </w:p>
        </w:tc>
      </w:tr>
      <w:tr>
        <w:tc>
          <w:tcPr>
            <w:tcW w:type="dxa" w:w="3264"/>
          </w:tcPr>
          <w:p>
            <w:r>
              <w:t>任务工作台</w:t>
            </w:r>
          </w:p>
        </w:tc>
        <w:tc>
          <w:tcPr>
            <w:tcW w:type="dxa" w:w="3264"/>
          </w:tcPr>
          <w:p>
            <w:r>
              <w:t>任务卡、状态和可勾选事项</w:t>
            </w:r>
          </w:p>
        </w:tc>
        <w:tc>
          <w:tcPr>
            <w:tcW w:type="dxa" w:w="3264"/>
          </w:tcPr>
          <w:p>
            <w:r>
              <w:t>项目计划、执行清单、日程安排</w:t>
            </w:r>
          </w:p>
        </w:tc>
      </w:tr>
      <w:tr>
        <w:tc>
          <w:tcPr>
            <w:tcW w:type="dxa" w:w="3264"/>
          </w:tcPr>
          <w:p>
            <w:r>
              <w:t>数据驾驶舱</w:t>
            </w:r>
          </w:p>
        </w:tc>
        <w:tc>
          <w:tcPr>
            <w:tcW w:type="dxa" w:w="3264"/>
          </w:tcPr>
          <w:p>
            <w:r>
              <w:t>指标卡、图表和高密度信息</w:t>
            </w:r>
          </w:p>
        </w:tc>
        <w:tc>
          <w:tcPr>
            <w:tcW w:type="dxa" w:w="3264"/>
          </w:tcPr>
          <w:p>
            <w:r>
              <w:t>数据分析和监控类任务</w:t>
            </w:r>
          </w:p>
        </w:tc>
      </w:tr>
    </w:tbl>
    <w:p>
      <w:pPr>
        <w:pStyle w:val="Heading1"/>
      </w:pPr>
      <w:r>
        <w:t>部署与访问</w:t>
      </w:r>
    </w:p>
    <w:p>
      <w:r>
        <w:t>当前网站已经部署到 Render，可通过以下地址访问：</w:t>
      </w:r>
    </w:p>
    <w:p>
      <w:r>
        <w:rPr>
          <w:color w:val="235FB4"/>
          <w:u w:val="single"/>
        </w:rPr>
        <w:t>https://liquid-intelligent-web.onrender.com</w:t>
      </w:r>
    </w:p>
    <w:p>
      <w:r>
        <w:t>服务器端通过环境变量保存 Gemini API Key，前端不会直接暴露密钥。服务监听平台提供的 PORT，并支持 HTTPS。Render 免费实例长时间无访问后会休眠，首次访问可能需要等待约一分钟。</w:t>
      </w:r>
    </w:p>
    <w:p>
      <w:pPr>
        <w:pStyle w:val="Heading1"/>
      </w:pPr>
      <w:r>
        <w:t>当前限制</w:t>
      </w:r>
    </w:p>
    <w:p>
      <w:pPr>
        <w:pStyle w:val="ListBullet"/>
      </w:pPr>
      <w:r>
        <w:t>服务器会话和限流记录保存在进程内存中，重启或实例休眠后可能丢失。</w:t>
      </w:r>
    </w:p>
    <w:p>
      <w:pPr>
        <w:pStyle w:val="ListBullet"/>
      </w:pPr>
      <w:r>
        <w:t>公开访问会消耗站长配置的 Gemini API 配额，建议使用邀请制、访问密码或更严格的每日限额。</w:t>
      </w:r>
    </w:p>
    <w:p>
      <w:pPr>
        <w:pStyle w:val="ListBullet"/>
      </w:pPr>
      <w:r>
        <w:t>品牌入口目前是京东、淘宝和官网搜索链接，不等同于实时商品详情页。</w:t>
      </w:r>
    </w:p>
    <w:p>
      <w:pPr>
        <w:pStyle w:val="ListBullet"/>
      </w:pPr>
      <w:r>
        <w:t>价格、库存、尺寸和性能等外部信息若未接入实时数据源，会明确标为待核实。</w:t>
      </w:r>
    </w:p>
    <w:p>
      <w:pPr>
        <w:pStyle w:val="ListBullet"/>
      </w:pPr>
      <w:r>
        <w:t>当前适合演示和小规模试用，尚未包含用户登录、多用户历史记录和数据库持久化。</w:t>
      </w:r>
    </w:p>
    <w:p>
      <w:pPr>
        <w:pStyle w:val="Heading1"/>
      </w:pPr>
      <w:r>
        <w:t>后续建议</w:t>
      </w:r>
    </w:p>
    <w:p>
      <w:pPr>
        <w:pStyle w:val="ListNumber"/>
      </w:pPr>
      <w:r>
        <w:t>接入实时搜索或电商数据源，补充真实产品图片、价格、库存、品牌资料和稳定详情链接。</w:t>
      </w:r>
    </w:p>
    <w:p>
      <w:pPr>
        <w:pStyle w:val="ListNumber"/>
      </w:pPr>
      <w:r>
        <w:t>增加自动重连、统一的错误提示和服务唤醒提示，降低 Render 免费实例休眠带来的困惑。</w:t>
      </w:r>
    </w:p>
    <w:p>
      <w:pPr>
        <w:pStyle w:val="ListNumber"/>
      </w:pPr>
      <w:r>
        <w:t>加入访问密码、用户级配额、每日总额度和用量监控，控制公开分享后的 API 成本。</w:t>
      </w:r>
    </w:p>
    <w:p>
      <w:pPr>
        <w:pStyle w:val="ListNumber"/>
      </w:pPr>
      <w:r>
        <w:t>将会话、生成页面和用户操作迁移到数据库或 Redis，支持长期保存和多用户使用。</w:t>
      </w:r>
    </w:p>
    <w:p>
      <w:pPr>
        <w:pStyle w:val="ListNumber"/>
      </w:pPr>
      <w:r>
        <w:t>建立跨领域评测，持续检查目标理解、约束保留、事实可靠性、计算正确性和页面适配度。</w:t>
      </w:r>
    </w:p>
    <w:p>
      <w:pPr>
        <w:pStyle w:val="Subtitle"/>
        <w:jc w:val="center"/>
      </w:pPr>
      <w:r>
        <w:t>— 文档结束 —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color w:val="2D2D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11111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E35D4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PingFang SC" w:hAnsi="PingFang SC" w:eastAsia="PingFang SC"/>
      <w:b/>
      <w:color w:val="11111E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