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1DA" w:rsidRDefault="00A831DA" w:rsidP="00C12BC3">
      <w:pPr>
        <w:pStyle w:val="SemEspaamento"/>
        <w:jc w:val="center"/>
        <w:rPr>
          <w:sz w:val="24"/>
          <w:szCs w:val="26"/>
        </w:rPr>
      </w:pPr>
      <w:r>
        <w:rPr>
          <w:sz w:val="24"/>
          <w:szCs w:val="26"/>
        </w:rPr>
        <w:t>Trabalho da Disciplina Inteligência Artificial (2018.2)</w:t>
      </w:r>
    </w:p>
    <w:p w:rsidR="00C12BC3" w:rsidRPr="00C315D9" w:rsidRDefault="00C12BC3" w:rsidP="00C12BC3">
      <w:pPr>
        <w:pStyle w:val="SemEspaamento"/>
        <w:jc w:val="center"/>
        <w:rPr>
          <w:szCs w:val="26"/>
          <w:u w:val="single"/>
        </w:rPr>
      </w:pPr>
      <w:r w:rsidRPr="00C315D9">
        <w:rPr>
          <w:szCs w:val="26"/>
          <w:u w:val="single"/>
        </w:rPr>
        <w:t>Avaliação da aplicabilidade d</w:t>
      </w:r>
      <w:r w:rsidR="00860E91" w:rsidRPr="00C315D9">
        <w:rPr>
          <w:szCs w:val="26"/>
          <w:u w:val="single"/>
        </w:rPr>
        <w:t xml:space="preserve">a rede </w:t>
      </w:r>
      <w:proofErr w:type="spellStart"/>
      <w:r w:rsidRPr="00C315D9">
        <w:rPr>
          <w:szCs w:val="26"/>
          <w:u w:val="single"/>
        </w:rPr>
        <w:t>SQLNet</w:t>
      </w:r>
      <w:proofErr w:type="spellEnd"/>
      <w:r w:rsidRPr="00C315D9">
        <w:rPr>
          <w:szCs w:val="26"/>
          <w:u w:val="single"/>
        </w:rPr>
        <w:t xml:space="preserve"> na conv</w:t>
      </w:r>
      <w:r w:rsidR="00242ADC" w:rsidRPr="00C315D9">
        <w:rPr>
          <w:szCs w:val="26"/>
          <w:u w:val="single"/>
        </w:rPr>
        <w:t xml:space="preserve">ersão de consultas em </w:t>
      </w:r>
      <w:r w:rsidR="00860E91" w:rsidRPr="00C315D9">
        <w:rPr>
          <w:szCs w:val="26"/>
          <w:u w:val="single"/>
        </w:rPr>
        <w:t>L</w:t>
      </w:r>
      <w:r w:rsidR="00242ADC" w:rsidRPr="00C315D9">
        <w:rPr>
          <w:szCs w:val="26"/>
          <w:u w:val="single"/>
        </w:rPr>
        <w:t xml:space="preserve">inguagem </w:t>
      </w:r>
      <w:r w:rsidR="00860E91" w:rsidRPr="00C315D9">
        <w:rPr>
          <w:szCs w:val="26"/>
          <w:u w:val="single"/>
        </w:rPr>
        <w:t>N</w:t>
      </w:r>
      <w:r w:rsidRPr="00C315D9">
        <w:rPr>
          <w:szCs w:val="26"/>
          <w:u w:val="single"/>
        </w:rPr>
        <w:t xml:space="preserve">atural para </w:t>
      </w:r>
      <w:r w:rsidR="003E0A4B">
        <w:rPr>
          <w:szCs w:val="26"/>
          <w:u w:val="single"/>
        </w:rPr>
        <w:t>C</w:t>
      </w:r>
      <w:r w:rsidRPr="00C315D9">
        <w:rPr>
          <w:szCs w:val="26"/>
          <w:u w:val="single"/>
        </w:rPr>
        <w:t>onsultas SQL a uma Base Integrada Corporativa</w:t>
      </w:r>
    </w:p>
    <w:p w:rsidR="00C12BC3" w:rsidRDefault="00C12BC3" w:rsidP="00C12BC3">
      <w:pPr>
        <w:pStyle w:val="SemEspaamento"/>
        <w:jc w:val="center"/>
      </w:pPr>
    </w:p>
    <w:p w:rsidR="00C12BC3" w:rsidRPr="00950643" w:rsidRDefault="00C12BC3" w:rsidP="00C12BC3">
      <w:pPr>
        <w:pStyle w:val="SemEspaamento"/>
        <w:jc w:val="center"/>
        <w:rPr>
          <w:sz w:val="21"/>
        </w:rPr>
      </w:pPr>
      <w:r w:rsidRPr="00950643">
        <w:rPr>
          <w:sz w:val="21"/>
        </w:rPr>
        <w:t>Henrique Bueno Rodrigues (henriquebueno@id.uff.br)</w:t>
      </w:r>
    </w:p>
    <w:p w:rsidR="00C12BC3" w:rsidRPr="00950643" w:rsidRDefault="00C12BC3" w:rsidP="00C12BC3">
      <w:pPr>
        <w:pStyle w:val="SemEspaamento"/>
        <w:jc w:val="center"/>
        <w:rPr>
          <w:sz w:val="21"/>
        </w:rPr>
      </w:pPr>
      <w:r w:rsidRPr="00950643">
        <w:rPr>
          <w:sz w:val="21"/>
        </w:rPr>
        <w:t>Universidade Federal Fluminense</w:t>
      </w:r>
    </w:p>
    <w:p w:rsidR="00C12BC3" w:rsidRDefault="00C12BC3" w:rsidP="00C12BC3">
      <w:pPr>
        <w:pStyle w:val="SemEspaamento"/>
        <w:jc w:val="center"/>
        <w:rPr>
          <w:sz w:val="21"/>
        </w:rPr>
      </w:pPr>
      <w:r w:rsidRPr="00950643">
        <w:rPr>
          <w:sz w:val="21"/>
        </w:rP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Pr="00116ADD" w:rsidRDefault="00116ADD" w:rsidP="00A07FA5">
      <w:pPr>
        <w:pStyle w:val="SemEspaamento"/>
        <w:jc w:val="both"/>
      </w:pPr>
      <w:r w:rsidRPr="00116ADD">
        <w:t xml:space="preserve">O problema conhecido como </w:t>
      </w:r>
      <w:proofErr w:type="spellStart"/>
      <w:r w:rsidRPr="009E4F9C">
        <w:rPr>
          <w:i/>
        </w:rPr>
        <w:t>Semantic</w:t>
      </w:r>
      <w:proofErr w:type="spellEnd"/>
      <w:r w:rsidRPr="009E4F9C">
        <w:rPr>
          <w:i/>
        </w:rPr>
        <w:t xml:space="preserve"> </w:t>
      </w:r>
      <w:proofErr w:type="spellStart"/>
      <w:r w:rsidRPr="009E4F9C">
        <w:rPr>
          <w:i/>
        </w:rPr>
        <w:t>Parsing</w:t>
      </w:r>
      <w:proofErr w:type="spellEnd"/>
      <w:r w:rsidRPr="00116ADD">
        <w:t xml:space="preserve"> consiste no processo de tradução de um conteúdo expresso em linguagem natural para uma representação formal que uma máquina consiga processar. Uma especialização desse problema, chamada de </w:t>
      </w:r>
      <w:r w:rsidRPr="00E5577F">
        <w:rPr>
          <w:i/>
        </w:rPr>
        <w:t>Natural</w:t>
      </w:r>
      <w:r w:rsidR="00E5577F" w:rsidRPr="00E5577F">
        <w:rPr>
          <w:i/>
        </w:rPr>
        <w:t xml:space="preserve"> </w:t>
      </w:r>
      <w:proofErr w:type="spellStart"/>
      <w:r w:rsidRPr="00E5577F">
        <w:rPr>
          <w:i/>
        </w:rPr>
        <w:t>Language</w:t>
      </w:r>
      <w:proofErr w:type="spellEnd"/>
      <w:r w:rsidR="00E5577F" w:rsidRPr="00E5577F">
        <w:rPr>
          <w:i/>
        </w:rPr>
        <w:t xml:space="preserve"> </w:t>
      </w:r>
      <w:proofErr w:type="spellStart"/>
      <w:r w:rsidRPr="00E5577F">
        <w:rPr>
          <w:i/>
        </w:rPr>
        <w:t>to</w:t>
      </w:r>
      <w:proofErr w:type="spellEnd"/>
      <w:r w:rsidR="00E5577F" w:rsidRPr="00E5577F">
        <w:rPr>
          <w:i/>
        </w:rPr>
        <w:t xml:space="preserve"> </w:t>
      </w:r>
      <w:r w:rsidRPr="00E5577F">
        <w:rPr>
          <w:i/>
        </w:rPr>
        <w:t>SQL</w:t>
      </w:r>
      <w:r w:rsidRPr="00116ADD">
        <w:t xml:space="preserve"> (NL2SQL), é a tarefa de converter uma consulta em linguagem natural para SQL.</w:t>
      </w:r>
      <w:r w:rsidR="00242CDB">
        <w:t xml:space="preserve"> Esse trabalho avaliou a aplicação </w:t>
      </w:r>
      <w:r w:rsidR="00E5577F">
        <w:t xml:space="preserve">de um modelo NL2SQL chamado </w:t>
      </w:r>
      <w:proofErr w:type="spellStart"/>
      <w:r w:rsidR="00242CDB">
        <w:t>SQLNet</w:t>
      </w:r>
      <w:proofErr w:type="spellEnd"/>
      <w:r w:rsidR="00E5577F">
        <w:t xml:space="preserve"> na conversão de consultas a uma Base Integrada Corporativa</w:t>
      </w:r>
      <w:r w:rsidR="001164AA">
        <w:t>.</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rsidR="00D41A94">
        <w:t>8</w:t>
      </w:r>
      <w:r w:rsidR="00973765">
        <w:t>]</w:t>
      </w:r>
      <w:r>
        <w:t xml:space="preserve"> e </w:t>
      </w:r>
      <w:proofErr w:type="spellStart"/>
      <w:r>
        <w:t>Hadoop</w:t>
      </w:r>
      <w:proofErr w:type="spellEnd"/>
      <w:r w:rsidR="00973765">
        <w:t xml:space="preserve"> [</w:t>
      </w:r>
      <w:r w:rsidR="00D41A94">
        <w:t>9</w:t>
      </w:r>
      <w:r w:rsidR="00973765">
        <w:t>]</w:t>
      </w:r>
      <w:r>
        <w:t>, sistemas de corporações pequenas, médias e grandes ainda possuem enorme acoplamento e dependência de bancos de dados relacionais, tais como Oracle</w:t>
      </w:r>
      <w:r w:rsidR="00973765">
        <w:t xml:space="preserve"> [</w:t>
      </w:r>
      <w:r w:rsidR="00D41A94">
        <w:t>10</w:t>
      </w:r>
      <w:r w:rsidR="00973765">
        <w:t>]</w:t>
      </w:r>
      <w:r>
        <w:t xml:space="preserve"> e SQL Server</w:t>
      </w:r>
      <w:r w:rsidR="00973765">
        <w:t xml:space="preserve"> [</w:t>
      </w:r>
      <w:r w:rsidR="00D41A94">
        <w:t>11</w:t>
      </w:r>
      <w:r w:rsidR="00973765">
        <w:t>]</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w:t>
      </w:r>
      <w:r w:rsidR="00AD4FD5">
        <w:t xml:space="preserve">grande </w:t>
      </w:r>
      <w:r>
        <w:t xml:space="preserve">demanda de Democratização da Informação </w:t>
      </w:r>
      <w:r w:rsidR="00244BC7">
        <w:t>[</w:t>
      </w:r>
      <w:r w:rsidR="000436D0">
        <w:t>12</w:t>
      </w:r>
      <w:r w:rsidR="00244BC7">
        <w:t xml:space="preserve">] </w:t>
      </w:r>
      <w:r>
        <w:t xml:space="preserve">por parte de usuários corporativos </w:t>
      </w:r>
      <w:r w:rsidR="00AD4FD5">
        <w:t>que não conhecem a linguagem SQL</w:t>
      </w:r>
      <w:r w:rsidR="00B47474">
        <w:t xml:space="preserve"> e</w:t>
      </w:r>
      <w:r w:rsidR="00AD4FD5">
        <w:t xml:space="preserve"> </w:t>
      </w:r>
      <w:r>
        <w:t xml:space="preserve">que desejam explorar seus dados além das </w:t>
      </w:r>
      <w:r w:rsidR="00A40BFA">
        <w:t>limitações das</w:t>
      </w:r>
      <w:r>
        <w:t xml:space="preserve"> interfaces de sistema</w:t>
      </w:r>
      <w:r w:rsidR="00AD4FD5">
        <w:t>s</w:t>
      </w:r>
      <w:r>
        <w:t>.</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C11032">
        <w:rPr>
          <w:i/>
        </w:rPr>
        <w:t>Natural</w:t>
      </w:r>
      <w:r w:rsidR="00AD4FD5" w:rsidRPr="00C11032">
        <w:rPr>
          <w:i/>
        </w:rPr>
        <w:t xml:space="preserve"> </w:t>
      </w:r>
      <w:proofErr w:type="spellStart"/>
      <w:r w:rsidR="00C11032" w:rsidRPr="00C11032">
        <w:rPr>
          <w:i/>
        </w:rPr>
        <w:t>Language</w:t>
      </w:r>
      <w:proofErr w:type="spellEnd"/>
      <w:r w:rsidR="00C11032" w:rsidRPr="00C11032">
        <w:rPr>
          <w:i/>
        </w:rPr>
        <w:t xml:space="preserve"> </w:t>
      </w:r>
      <w:proofErr w:type="spellStart"/>
      <w:r w:rsidR="00D15219" w:rsidRPr="00C11032">
        <w:rPr>
          <w:i/>
        </w:rPr>
        <w:t>to</w:t>
      </w:r>
      <w:proofErr w:type="spellEnd"/>
      <w:r w:rsidR="00C11032" w:rsidRPr="00C11032">
        <w:rPr>
          <w:i/>
        </w:rPr>
        <w:t xml:space="preserve"> </w:t>
      </w:r>
      <w:r w:rsidR="00D15219" w:rsidRPr="00C11032">
        <w:rPr>
          <w:i/>
        </w:rPr>
        <w:t>SQL</w:t>
      </w:r>
      <w:r w:rsidR="00D15219" w:rsidRPr="00D15219">
        <w:t xml:space="preserve"> (NL2SQL)</w:t>
      </w:r>
      <w:r w:rsidR="000436D0">
        <w:t xml:space="preserve"> [2]</w:t>
      </w:r>
      <w:r w:rsidR="00D15219" w:rsidRPr="00D15219">
        <w:t>,</w:t>
      </w:r>
      <w:r w:rsidR="001124C8">
        <w:t xml:space="preserve"> que é um subtipo de problema SEQ2SEQ [</w:t>
      </w:r>
      <w:r w:rsidR="00525F74">
        <w:t>3</w:t>
      </w:r>
      <w:r w:rsidR="001124C8">
        <w:t>][</w:t>
      </w:r>
      <w:r w:rsidR="00525F74">
        <w:t>4</w:t>
      </w:r>
      <w:r w:rsidR="001124C8">
        <w:t xml:space="preserve">], </w:t>
      </w:r>
      <w:r w:rsidR="00A63D6D">
        <w:t>consiste n</w:t>
      </w:r>
      <w:r w:rsidR="00D15219" w:rsidRPr="00D15219">
        <w:t>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0436D0">
        <w:t>1</w:t>
      </w:r>
      <w:r w:rsidR="00B863B7">
        <w:t>]</w:t>
      </w:r>
      <w:r w:rsidR="0075212C">
        <w:t xml:space="preserve"> que </w:t>
      </w:r>
      <w:r w:rsidR="00655524">
        <w:t>tem recebido submissões de trabalhos</w:t>
      </w:r>
      <w:r w:rsidR="00EE7AAD">
        <w:t xml:space="preserve"> </w:t>
      </w:r>
      <w:r w:rsidR="00F04E7A">
        <w:t>com alta frequência.</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w:t>
      </w:r>
      <w:r w:rsidR="000436D0">
        <w:t>2</w:t>
      </w:r>
      <w:r w:rsidR="0009696A">
        <w:t>],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r w:rsidR="000436D0">
        <w:t>1</w:t>
      </w:r>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r w:rsidR="000436D0">
        <w:t>6</w:t>
      </w:r>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r w:rsidR="000436D0">
        <w:t>13</w:t>
      </w:r>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5"/>
        <w:gridCol w:w="1723"/>
        <w:gridCol w:w="1723"/>
        <w:gridCol w:w="1271"/>
        <w:gridCol w:w="1348"/>
      </w:tblGrid>
      <w:tr w:rsidR="00415368" w:rsidRPr="00B3166C" w:rsidTr="002918F2">
        <w:trPr>
          <w:trHeight w:val="284"/>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r w:rsidRPr="00B3166C">
              <w:rPr>
                <w:rFonts w:ascii="Calibri" w:eastAsia="Times New Roman" w:hAnsi="Calibri" w:cs="Times New Roman"/>
                <w:b/>
                <w:bCs/>
              </w:rPr>
              <w:t>Model</w:t>
            </w:r>
            <w:r w:rsidR="00372055">
              <w:rPr>
                <w:rFonts w:ascii="Calibri" w:eastAsia="Times New Roman" w:hAnsi="Calibri" w:cs="Times New Roman"/>
                <w:b/>
                <w:bCs/>
              </w:rPr>
              <w: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2918F2">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5" w:history="1">
              <w:r w:rsidR="008105EC" w:rsidRPr="00AB5922">
                <w:rPr>
                  <w:rFonts w:ascii="Calibri" w:eastAsia="Times New Roman" w:hAnsi="Calibri" w:cs="Times New Roman"/>
                  <w:bCs/>
                </w:rPr>
                <w:t>Coarse2</w:t>
              </w:r>
              <w:proofErr w:type="gramStart"/>
              <w:r w:rsidR="008105EC" w:rsidRPr="00AB5922">
                <w:rPr>
                  <w:rFonts w:ascii="Calibri" w:eastAsia="Times New Roman" w:hAnsi="Calibri" w:cs="Times New Roman"/>
                  <w:bCs/>
                </w:rPr>
                <w:t>Fine</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Dong</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6" w:history="1">
              <w:proofErr w:type="spellStart"/>
              <w:proofErr w:type="gramStart"/>
              <w:r w:rsidR="008105EC" w:rsidRPr="00AB5922">
                <w:rPr>
                  <w:rFonts w:ascii="Calibri" w:eastAsia="Times New Roman" w:hAnsi="Calibri" w:cs="Times New Roman"/>
                  <w:bCs/>
                </w:rPr>
                <w:t>TypeSQL</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Yu</w:t>
              </w:r>
              <w:proofErr w:type="spellEnd"/>
              <w:r w:rsidRPr="00AB5922">
                <w:rPr>
                  <w:rFonts w:ascii="Calibri" w:eastAsia="Times New Roman" w:hAnsi="Calibri" w:cs="Times New Roman"/>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7" w:history="1">
              <w:r w:rsidR="008105EC" w:rsidRPr="00AB5922">
                <w:rPr>
                  <w:rFonts w:ascii="Calibri" w:eastAsia="Times New Roman" w:hAnsi="Calibri" w:cs="Times New Roman"/>
                  <w:bCs/>
                </w:rPr>
                <w:t>PT-</w:t>
              </w:r>
              <w:proofErr w:type="gramStart"/>
              <w:r w:rsidR="008105EC" w:rsidRPr="00AB5922">
                <w:rPr>
                  <w:rFonts w:ascii="Calibri" w:eastAsia="Times New Roman" w:hAnsi="Calibri" w:cs="Times New Roman"/>
                  <w:bCs/>
                </w:rPr>
                <w:t>MAML</w:t>
              </w:r>
              <w:r w:rsidR="008105EC" w:rsidRPr="00AB5922">
                <w:rPr>
                  <w:rFonts w:ascii="Calibri" w:eastAsia="Times New Roman" w:hAnsi="Calibri" w:cs="Times New Roman"/>
                  <w:bCs/>
                </w:rPr>
                <w:br/>
              </w:r>
              <w:r w:rsidRPr="00AB5922">
                <w:rPr>
                  <w:rFonts w:ascii="Calibri" w:eastAsia="Times New Roman" w:hAnsi="Calibri" w:cs="Times New Roman"/>
                  <w:bCs/>
                </w:rPr>
                <w:t>(</w:t>
              </w:r>
              <w:proofErr w:type="gramEnd"/>
              <w:r w:rsidRPr="00AB5922">
                <w:rPr>
                  <w:rFonts w:ascii="Calibri" w:eastAsia="Times New Roman" w:hAnsi="Calibri" w:cs="Times New Roman"/>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8" w:history="1">
              <w:proofErr w:type="spellStart"/>
              <w:proofErr w:type="gramStart"/>
              <w:r w:rsidR="008105EC" w:rsidRPr="00AB5922">
                <w:rPr>
                  <w:rFonts w:ascii="Calibri" w:eastAsia="Times New Roman" w:hAnsi="Calibri" w:cs="Times New Roman"/>
                  <w:bCs/>
                </w:rPr>
                <w:t>SQLNet</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Xu</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8105EC">
            <w:pPr>
              <w:spacing w:after="0" w:line="240" w:lineRule="auto"/>
              <w:jc w:val="center"/>
              <w:rPr>
                <w:rFonts w:ascii="Calibri" w:eastAsia="Times New Roman" w:hAnsi="Calibri" w:cs="Times New Roman"/>
                <w:bCs/>
              </w:rPr>
            </w:pPr>
            <w:hyperlink r:id="rId9" w:history="1">
              <w:r w:rsidRPr="00AB5922">
                <w:rPr>
                  <w:rFonts w:ascii="Calibri" w:eastAsia="Times New Roman" w:hAnsi="Calibri" w:cs="Times New Roman"/>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269"/>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8105EC" w:rsidP="00B3166C">
            <w:pPr>
              <w:spacing w:after="0" w:line="240" w:lineRule="auto"/>
              <w:jc w:val="center"/>
              <w:rPr>
                <w:rFonts w:ascii="Calibri" w:eastAsia="Times New Roman" w:hAnsi="Calibri" w:cs="Times New Roman"/>
                <w:bCs/>
              </w:rPr>
            </w:pPr>
            <w:r w:rsidRPr="00AB5922">
              <w:rPr>
                <w:rFonts w:ascii="Calibri" w:eastAsia="Times New Roman" w:hAnsi="Calibri" w:cs="Times New Roman"/>
                <w:bCs/>
              </w:rPr>
              <w:t>Seq2</w:t>
            </w:r>
            <w:proofErr w:type="gramStart"/>
            <w:r w:rsidRPr="00AB5922">
              <w:rPr>
                <w:rFonts w:ascii="Calibri" w:eastAsia="Times New Roman" w:hAnsi="Calibri" w:cs="Times New Roman"/>
                <w:bCs/>
              </w:rPr>
              <w:t>SQL</w:t>
            </w:r>
            <w:r w:rsidRPr="00AB5922">
              <w:rPr>
                <w:rFonts w:ascii="Calibri" w:eastAsia="Times New Roman" w:hAnsi="Calibri" w:cs="Times New Roman"/>
                <w:bCs/>
              </w:rPr>
              <w:br/>
            </w:r>
            <w:r w:rsidR="00B3166C" w:rsidRPr="00AB5922">
              <w:rPr>
                <w:rFonts w:ascii="Calibri" w:eastAsia="Times New Roman" w:hAnsi="Calibri" w:cs="Times New Roman"/>
                <w:bCs/>
              </w:rPr>
              <w:t>(</w:t>
            </w:r>
            <w:proofErr w:type="spellStart"/>
            <w:proofErr w:type="gramEnd"/>
            <w:r w:rsidR="00B3166C" w:rsidRPr="00AB5922">
              <w:rPr>
                <w:rFonts w:ascii="Calibri" w:eastAsia="Times New Roman" w:hAnsi="Calibri" w:cs="Times New Roman"/>
                <w:bCs/>
              </w:rPr>
              <w:t>Zhong</w:t>
            </w:r>
            <w:proofErr w:type="spellEnd"/>
            <w:r w:rsidR="00B3166C" w:rsidRPr="00AB5922">
              <w:rPr>
                <w:rFonts w:ascii="Calibri" w:eastAsia="Times New Roman" w:hAnsi="Calibri" w:cs="Times New Roman"/>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2918F2">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AB5922" w:rsidRDefault="00B3166C" w:rsidP="00B3166C">
            <w:pPr>
              <w:spacing w:after="0" w:line="240" w:lineRule="auto"/>
              <w:rPr>
                <w:rFonts w:ascii="Calibri" w:eastAsia="Times New Roman" w:hAnsi="Calibri" w:cs="Times New Roman"/>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2918F2">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AB5922" w:rsidRDefault="00B3166C" w:rsidP="00B3166C">
            <w:pPr>
              <w:spacing w:after="0" w:line="240" w:lineRule="auto"/>
              <w:jc w:val="center"/>
              <w:rPr>
                <w:rFonts w:ascii="Calibri" w:eastAsia="Times New Roman" w:hAnsi="Calibri" w:cs="Times New Roman"/>
                <w:bCs/>
              </w:rPr>
            </w:pPr>
            <w:hyperlink r:id="rId10" w:history="1">
              <w:proofErr w:type="spellStart"/>
              <w:proofErr w:type="gramStart"/>
              <w:r w:rsidR="008105EC" w:rsidRPr="00AB5922">
                <w:rPr>
                  <w:rFonts w:ascii="Calibri" w:eastAsia="Times New Roman" w:hAnsi="Calibri" w:cs="Times New Roman"/>
                  <w:bCs/>
                </w:rPr>
                <w:t>Baseline</w:t>
              </w:r>
              <w:proofErr w:type="spellEnd"/>
              <w:r w:rsidR="008105EC" w:rsidRPr="00AB5922">
                <w:rPr>
                  <w:rFonts w:ascii="Calibri" w:eastAsia="Times New Roman" w:hAnsi="Calibri" w:cs="Times New Roman"/>
                  <w:bCs/>
                </w:rPr>
                <w:br/>
              </w:r>
              <w:r w:rsidRPr="00AB5922">
                <w:rPr>
                  <w:rFonts w:ascii="Calibri" w:eastAsia="Times New Roman" w:hAnsi="Calibri" w:cs="Times New Roman"/>
                  <w:bCs/>
                </w:rPr>
                <w:t>(</w:t>
              </w:r>
              <w:proofErr w:type="spellStart"/>
              <w:proofErr w:type="gramEnd"/>
              <w:r w:rsidRPr="00AB5922">
                <w:rPr>
                  <w:rFonts w:ascii="Calibri" w:eastAsia="Times New Roman" w:hAnsi="Calibri" w:cs="Times New Roman"/>
                  <w:bCs/>
                </w:rPr>
                <w:t>Zhong</w:t>
              </w:r>
              <w:proofErr w:type="spellEnd"/>
              <w:r w:rsidRPr="00AB5922">
                <w:rPr>
                  <w:rFonts w:ascii="Calibri" w:eastAsia="Times New Roman" w:hAnsi="Calibri" w:cs="Times New Roman"/>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w:t>
      </w:r>
      <w:r w:rsidR="00471394">
        <w:t>,</w:t>
      </w:r>
      <w:r>
        <w:t xml:space="preserve">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w:t>
      </w:r>
      <w:r w:rsidR="00925F1E">
        <w:t>fase</w:t>
      </w:r>
      <w:r w:rsidR="00903621">
        <w:t xml:space="preserve">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w:t>
      </w:r>
      <w:r w:rsidR="00703783">
        <w:t xml:space="preserve"> em agosto de 2017</w:t>
      </w:r>
      <w:r w:rsidR="00EF13EB">
        <w:t>. Em pouco tempo diversos trabalhos evoluíram os re</w:t>
      </w:r>
      <w:r w:rsidR="002C5538">
        <w:t xml:space="preserve">sultados e atualmente o modelo </w:t>
      </w:r>
      <w:r w:rsidR="00EF13EB" w:rsidRPr="002C5538">
        <w:rPr>
          <w:i/>
        </w:rPr>
        <w:t>Coarse2Fine</w:t>
      </w:r>
      <w:r w:rsidR="00703783">
        <w:t xml:space="preserve">, que foi proposto em maio de 2018, </w:t>
      </w:r>
      <w:r w:rsidR="005D4CF5">
        <w:t>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lastRenderedPageBreak/>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r w:rsidR="000436D0">
        <w:t>os modelos sejam</w:t>
      </w:r>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801AA6" w:rsidP="00E33F94">
      <w:pPr>
        <w:pStyle w:val="SemEspaamento"/>
        <w:numPr>
          <w:ilvl w:val="0"/>
          <w:numId w:val="3"/>
        </w:numPr>
        <w:jc w:val="both"/>
      </w:pPr>
      <w:r>
        <w:rPr>
          <w:u w:val="single"/>
        </w:rPr>
        <w:t>Estudo da e</w:t>
      </w:r>
      <w:r w:rsidR="00E33F94" w:rsidRPr="00BB44E2">
        <w:rPr>
          <w:u w:val="single"/>
        </w:rPr>
        <w:t xml:space="preserve">strutura do </w:t>
      </w:r>
      <w:proofErr w:type="spellStart"/>
      <w:r w:rsidR="00E33F94"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w:t>
      </w:r>
      <w:r w:rsidR="00F80137">
        <w:t>, que foi dividido em fases</w:t>
      </w:r>
      <w:r>
        <w:t xml:space="preserve">.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w:t>
      </w:r>
      <w:r w:rsidR="00F80137">
        <w:t xml:space="preserve"> da coluna que aparece n</w:t>
      </w:r>
      <w:r w:rsidR="00BB71BA">
        <w:t>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w:t>
      </w:r>
      <w:r w:rsidR="00F80137">
        <w:t xml:space="preserve"> o</w:t>
      </w:r>
      <w:r w:rsidR="00EE3C3C">
        <w:t xml:space="preserve"> </w:t>
      </w:r>
      <w:r w:rsidR="00F80137">
        <w:t>operador (</w:t>
      </w:r>
      <w:r w:rsidR="00EE3C3C">
        <w:t>índice do operador</w:t>
      </w:r>
      <w:r w:rsidR="00F80137">
        <w:t xml:space="preserve"> na lista de operadores)</w:t>
      </w:r>
      <w:r w:rsidR="00EE3C3C">
        <w:t xml:space="preserve">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 xml:space="preserve">Execução </w:t>
      </w:r>
      <w:r w:rsidR="00B05F78">
        <w:rPr>
          <w:u w:val="single"/>
        </w:rPr>
        <w:t>de testes sobre o modelo</w:t>
      </w:r>
      <w:r w:rsidRPr="00BB44E2">
        <w:rPr>
          <w:u w:val="single"/>
        </w:rPr>
        <w:t xml:space="preserve">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r w:rsidR="00436FD7">
        <w:t>14</w:t>
      </w:r>
      <w:r w:rsidR="00BB44E2">
        <w:t>]</w:t>
      </w:r>
      <w:r w:rsidR="00ED0931">
        <w:t>.</w:t>
      </w:r>
      <w:r w:rsidR="00F02009">
        <w:t xml:space="preserve"> O modelo gerado pelo treinamento descrito no artigo foi disponibilizado pelos autores. Dessa forma, foi possível instalar o modelo e executar alguns testes.</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r w:rsidR="00D24AD8">
        <w:t>2</w:t>
      </w:r>
      <w:r w:rsidR="00015872">
        <w:t xml:space="preserve">] propôs um modelo para </w:t>
      </w:r>
      <w:r>
        <w:t xml:space="preserve">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r w:rsidRPr="00FB0EAB">
        <w:rPr>
          <w:noProof/>
        </w:rPr>
        <w:lastRenderedPageBreak/>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7271F7" w:rsidRDefault="009432C7" w:rsidP="00A07FA5">
      <w:pPr>
        <w:pStyle w:val="SemEspaamento"/>
        <w:jc w:val="both"/>
        <w:rPr>
          <w:b/>
          <w:color w:val="FF0000"/>
        </w:rPr>
      </w:pPr>
      <w:r w:rsidRPr="007271F7">
        <w:rPr>
          <w:b/>
          <w:color w:val="FF0000"/>
        </w:rPr>
        <w:t xml:space="preserve">3.1. Avaliação do </w:t>
      </w:r>
      <w:proofErr w:type="spellStart"/>
      <w:r w:rsidRPr="007271F7">
        <w:rPr>
          <w:b/>
          <w:color w:val="FF0000"/>
        </w:rPr>
        <w:t>SQLNet</w:t>
      </w:r>
      <w:proofErr w:type="spellEnd"/>
    </w:p>
    <w:p w:rsidR="009432C7" w:rsidRDefault="009432C7" w:rsidP="00A07FA5">
      <w:pPr>
        <w:pStyle w:val="SemEspaamento"/>
        <w:jc w:val="both"/>
      </w:pPr>
    </w:p>
    <w:p w:rsidR="009432C7" w:rsidRDefault="00682806" w:rsidP="00A07FA5">
      <w:pPr>
        <w:pStyle w:val="SemEspaamento"/>
        <w:jc w:val="both"/>
      </w:pPr>
      <w:r>
        <w:t>O código d</w:t>
      </w:r>
      <w:r w:rsidR="00CD4AE5">
        <w:t xml:space="preserve">a rede </w:t>
      </w:r>
      <w:proofErr w:type="spellStart"/>
      <w:r>
        <w:t>SQLNet</w:t>
      </w:r>
      <w:proofErr w:type="spellEnd"/>
      <w:r>
        <w:t xml:space="preserve"> foi disponibilizado pelos autores no GitHub [</w:t>
      </w:r>
      <w:r w:rsidR="00D24AD8">
        <w:t>7</w:t>
      </w:r>
      <w:r>
        <w:t xml:space="preserve">]. </w:t>
      </w:r>
      <w:r w:rsidR="0030522A">
        <w:t xml:space="preserve">O </w:t>
      </w:r>
      <w:proofErr w:type="spellStart"/>
      <w:r w:rsidR="0030522A">
        <w:t>SQLNet</w:t>
      </w:r>
      <w:proofErr w:type="spellEnd"/>
      <w:r w:rsidR="0030522A">
        <w:t xml:space="preserve"> foi desenvolvido em Python 2.7</w:t>
      </w:r>
      <w:r w:rsidR="002A3149">
        <w:t xml:space="preserve"> </w:t>
      </w:r>
      <w:r w:rsidR="0030522A">
        <w:t xml:space="preserve">utilizando a biblioteca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E76C3D" w:rsidRDefault="00E76C3D" w:rsidP="00A07FA5">
      <w:pPr>
        <w:pStyle w:val="SemEspaamento"/>
        <w:jc w:val="both"/>
      </w:pP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w:t>
      </w:r>
      <w:r w:rsidR="003D029C">
        <w:t xml:space="preserve">Assim, </w:t>
      </w:r>
      <w:r>
        <w:t xml:space="preserve">ele não identificava </w:t>
      </w:r>
      <w:proofErr w:type="spellStart"/>
      <w:r>
        <w:t>GPU</w:t>
      </w:r>
      <w:r w:rsidR="003D029C">
        <w:t>s</w:t>
      </w:r>
      <w:proofErr w:type="spellEnd"/>
      <w:r>
        <w:t xml:space="preserve"> </w:t>
      </w:r>
      <w:r w:rsidR="00262122">
        <w:t xml:space="preserve">e </w:t>
      </w:r>
      <w:r>
        <w:t>mesmo assim passava pelo trecho de código</w:t>
      </w:r>
      <w:r w:rsidR="005C1ADF">
        <w:t xml:space="preserve"> previsto para hardware com GPU, gerando erro na execução.</w:t>
      </w:r>
    </w:p>
    <w:p w:rsidR="00824716" w:rsidRDefault="00262122" w:rsidP="0032666D">
      <w:pPr>
        <w:pStyle w:val="SemEspaamento"/>
        <w:numPr>
          <w:ilvl w:val="0"/>
          <w:numId w:val="3"/>
        </w:numPr>
        <w:jc w:val="both"/>
      </w:pPr>
      <w:r>
        <w:t xml:space="preserve">O software foi desenvolvido em </w:t>
      </w:r>
      <w:r w:rsidR="00C12BC3">
        <w:t>P</w:t>
      </w:r>
      <w:r w:rsidR="00964421">
        <w:t xml:space="preserve">ython 2.7. Isso gerou alguns problemas com </w:t>
      </w:r>
      <w:r>
        <w:t xml:space="preserve">dependências </w:t>
      </w:r>
      <w:r w:rsidR="00964421">
        <w:t xml:space="preserve">de </w:t>
      </w:r>
      <w:r>
        <w:t>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rsidR="003D029C">
        <w:t xml:space="preserve"> (</w:t>
      </w:r>
      <w:proofErr w:type="spellStart"/>
      <w:r w:rsidR="003D029C" w:rsidRPr="003D029C">
        <w:rPr>
          <w:i/>
        </w:rPr>
        <w:t>issue</w:t>
      </w:r>
      <w:proofErr w:type="spellEnd"/>
      <w:r w:rsidR="003D029C">
        <w:t xml:space="preserve"> criada no GitHub)</w:t>
      </w:r>
      <w:r w:rsidR="00310C1E">
        <w:t>,</w:t>
      </w:r>
      <w:r w:rsidR="00A11A53">
        <w:t xml:space="preserve"> mas não obtive resposta</w:t>
      </w:r>
      <w:r>
        <w:t>.</w:t>
      </w:r>
    </w:p>
    <w:p w:rsidR="00C12BC3" w:rsidRDefault="00C12BC3" w:rsidP="00A07FA5">
      <w:pPr>
        <w:pStyle w:val="SemEspaamento"/>
        <w:jc w:val="both"/>
      </w:pPr>
    </w:p>
    <w:p w:rsidR="00310C1E"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1B3386" w:rsidRDefault="001B3386" w:rsidP="00A07FA5">
      <w:pPr>
        <w:pStyle w:val="SemEspaamento"/>
        <w:jc w:val="both"/>
      </w:pPr>
    </w:p>
    <w:p w:rsidR="001B3386" w:rsidRPr="008B3B6B" w:rsidRDefault="001B3386" w:rsidP="00A07FA5">
      <w:pPr>
        <w:pStyle w:val="SemEspaamento"/>
        <w:jc w:val="both"/>
      </w:pPr>
      <w:r>
        <w:t>O principal objetivo foi fazer uma prova de conceito</w:t>
      </w:r>
      <w:r w:rsidR="00626807">
        <w:t xml:space="preserve"> do </w:t>
      </w:r>
      <w:proofErr w:type="spellStart"/>
      <w:r w:rsidR="00626807">
        <w:t>SQLNet</w:t>
      </w:r>
      <w:proofErr w:type="spellEnd"/>
      <w:r>
        <w:t xml:space="preserve"> </w:t>
      </w:r>
      <w:r w:rsidR="001C7D94">
        <w:t xml:space="preserve">e não </w:t>
      </w:r>
      <w:r>
        <w:t xml:space="preserve">tentar aprimorar os resultados obtidos. </w:t>
      </w:r>
      <w:r w:rsidR="00E327E9">
        <w:t xml:space="preserve">O primeiro passo foi rodar o treinamento da rede </w:t>
      </w:r>
      <w:proofErr w:type="spellStart"/>
      <w:r w:rsidR="00E327E9">
        <w:t>SQLNet</w:t>
      </w:r>
      <w:proofErr w:type="spellEnd"/>
      <w:r w:rsidR="00E327E9">
        <w:t xml:space="preserve"> por 200 épocas, conforme especificado no artigo. </w:t>
      </w:r>
      <w:r>
        <w:t xml:space="preserve">O </w:t>
      </w:r>
      <w:r w:rsidR="00E327E9">
        <w:t>segundo</w:t>
      </w:r>
      <w:r>
        <w:t xml:space="preserve"> passo foi gerar o arquivo que representa a base de dados</w:t>
      </w:r>
      <w:r w:rsidR="00E327E9">
        <w:t xml:space="preserve"> que se deseja testar. O terceiro</w:t>
      </w:r>
      <w:r>
        <w:t xml:space="preserve"> passo foi gerar o arquivo que representa a consulta que se deseja testar no modelo.</w:t>
      </w:r>
      <w:r w:rsidR="003E7E5F">
        <w:t xml:space="preserve"> Por fim, o último passo foi executar o modelo com as consultas geradas no passo 3.</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7431D7">
        <w:rPr>
          <w:color w:val="FF0000"/>
          <w:highlight w:val="yellow"/>
          <w:u w:val="single"/>
        </w:rPr>
        <w:t>Executar o treinamento para 200 épocas.</w:t>
      </w:r>
    </w:p>
    <w:p w:rsidR="006A65E4" w:rsidRPr="005572EA" w:rsidRDefault="006A65E4" w:rsidP="00A07FA5">
      <w:pPr>
        <w:pStyle w:val="SemEspaamento"/>
        <w:jc w:val="both"/>
        <w:rPr>
          <w:u w:val="single"/>
        </w:rPr>
      </w:pPr>
    </w:p>
    <w:p w:rsidR="0033788B" w:rsidRDefault="00F927B8" w:rsidP="00A07FA5">
      <w:pPr>
        <w:pStyle w:val="SemEspaamento"/>
        <w:jc w:val="both"/>
        <w:rPr>
          <w:color w:val="FF0000"/>
          <w:u w:val="single"/>
        </w:rPr>
      </w:pPr>
      <w:r w:rsidRPr="00967B43">
        <w:rPr>
          <w:color w:val="FF0000"/>
          <w:highlight w:val="green"/>
          <w:u w:val="single"/>
        </w:rPr>
        <w:t>Criar os arquivos que representam as minhas consultas</w:t>
      </w:r>
    </w:p>
    <w:p w:rsidR="00A60E27" w:rsidRPr="00A60E27" w:rsidRDefault="00AE3A3A" w:rsidP="00A60E27">
      <w:pPr>
        <w:pStyle w:val="SemEspaamento"/>
        <w:jc w:val="both"/>
        <w:rPr>
          <w:color w:val="FF0000"/>
          <w:u w:val="single"/>
          <w:lang w:val="en-US"/>
        </w:rPr>
      </w:pPr>
      <w:r>
        <w:rPr>
          <w:color w:val="FF0000"/>
          <w:u w:val="single"/>
          <w:lang w:val="en-US"/>
        </w:rPr>
        <w:t>--</w:t>
      </w:r>
      <w:r w:rsidR="00A60E27" w:rsidRPr="00A60E27">
        <w:rPr>
          <w:color w:val="FF0000"/>
          <w:u w:val="single"/>
          <w:lang w:val="en-US"/>
        </w:rPr>
        <w:t xml:space="preserve">What are the </w:t>
      </w:r>
      <w:proofErr w:type="spellStart"/>
      <w:r w:rsidR="00A60E27" w:rsidRPr="00A60E27">
        <w:rPr>
          <w:color w:val="FF0000"/>
          <w:u w:val="single"/>
          <w:lang w:val="en-US"/>
        </w:rPr>
        <w:t>Sigla</w:t>
      </w:r>
      <w:proofErr w:type="spellEnd"/>
      <w:r w:rsidR="00A60E27" w:rsidRPr="00A60E27">
        <w:rPr>
          <w:color w:val="FF0000"/>
          <w:u w:val="single"/>
          <w:lang w:val="en-US"/>
        </w:rPr>
        <w:t xml:space="preserve"> </w:t>
      </w:r>
      <w:proofErr w:type="spellStart"/>
      <w:r w:rsidR="00A60E27" w:rsidRPr="00A60E27">
        <w:rPr>
          <w:color w:val="FF0000"/>
          <w:u w:val="single"/>
          <w:lang w:val="en-US"/>
        </w:rPr>
        <w:t>poço</w:t>
      </w:r>
      <w:proofErr w:type="spellEnd"/>
      <w:r w:rsidR="00A60E27" w:rsidRPr="00A60E27">
        <w:rPr>
          <w:color w:val="FF0000"/>
          <w:u w:val="single"/>
          <w:lang w:val="en-US"/>
        </w:rPr>
        <w:t xml:space="preserve"> that </w:t>
      </w:r>
      <w:proofErr w:type="spellStart"/>
      <w:r w:rsidR="00A60E27" w:rsidRPr="00A60E27">
        <w:rPr>
          <w:color w:val="FF0000"/>
          <w:u w:val="single"/>
          <w:lang w:val="en-US"/>
        </w:rPr>
        <w:t>Unidade</w:t>
      </w:r>
      <w:proofErr w:type="spellEnd"/>
      <w:r w:rsidR="00A60E27" w:rsidRPr="00A60E27">
        <w:rPr>
          <w:color w:val="FF0000"/>
          <w:u w:val="single"/>
          <w:lang w:val="en-US"/>
        </w:rPr>
        <w:t xml:space="preserve"> </w:t>
      </w:r>
      <w:proofErr w:type="spellStart"/>
      <w:r w:rsidR="00A60E27" w:rsidRPr="00A60E27">
        <w:rPr>
          <w:color w:val="FF0000"/>
          <w:u w:val="single"/>
          <w:lang w:val="en-US"/>
        </w:rPr>
        <w:t>responsável</w:t>
      </w:r>
      <w:proofErr w:type="spellEnd"/>
      <w:r w:rsidR="00A60E27" w:rsidRPr="00A60E27">
        <w:rPr>
          <w:color w:val="FF0000"/>
          <w:u w:val="single"/>
          <w:lang w:val="en-US"/>
        </w:rPr>
        <w:t xml:space="preserve"> equals LIBRA?</w:t>
      </w:r>
    </w:p>
    <w:p w:rsidR="00A60E27" w:rsidRPr="005572EA" w:rsidRDefault="00A60E27"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7431D7">
        <w:rPr>
          <w:color w:val="FF0000"/>
          <w:highlight w:val="green"/>
          <w:u w:val="single"/>
        </w:rPr>
        <w:t>C</w:t>
      </w:r>
      <w:r w:rsidR="007C7C2B" w:rsidRPr="007431D7">
        <w:rPr>
          <w:color w:val="FF0000"/>
          <w:highlight w:val="green"/>
          <w:u w:val="single"/>
        </w:rPr>
        <w:t xml:space="preserve">riar os arquivos que representam o </w:t>
      </w:r>
      <w:proofErr w:type="spellStart"/>
      <w:r w:rsidR="007C7C2B" w:rsidRPr="007431D7">
        <w:rPr>
          <w:color w:val="FF0000"/>
          <w:highlight w:val="green"/>
          <w:u w:val="single"/>
        </w:rPr>
        <w:t>schema</w:t>
      </w:r>
      <w:proofErr w:type="spellEnd"/>
      <w:r w:rsidR="007C7C2B" w:rsidRPr="007431D7">
        <w:rPr>
          <w:color w:val="FF0000"/>
          <w:highlight w:val="green"/>
          <w:u w:val="single"/>
        </w:rPr>
        <w:t xml:space="preserve"> da base.</w:t>
      </w:r>
    </w:p>
    <w:p w:rsidR="00696A7F" w:rsidRPr="005572EA" w:rsidRDefault="00696A7F" w:rsidP="00A07FA5">
      <w:pPr>
        <w:pStyle w:val="SemEspaamento"/>
        <w:jc w:val="both"/>
        <w:rPr>
          <w:color w:val="FF0000"/>
          <w:u w:val="single"/>
        </w:rPr>
      </w:pPr>
      <w:bookmarkStart w:id="0" w:name="_GoBack"/>
      <w:bookmarkEnd w:id="0"/>
    </w:p>
    <w:p w:rsidR="0095632C" w:rsidRPr="00550876" w:rsidRDefault="007431D7" w:rsidP="00A5695C">
      <w:pPr>
        <w:pStyle w:val="SemEspaamento"/>
        <w:jc w:val="both"/>
        <w:rPr>
          <w:color w:val="FF0000"/>
          <w:u w:val="single"/>
        </w:rPr>
      </w:pPr>
      <w:r>
        <w:rPr>
          <w:color w:val="FF0000"/>
          <w:u w:val="single"/>
        </w:rPr>
        <w:t>Executar test.py</w:t>
      </w:r>
    </w:p>
    <w:p w:rsidR="0095632C" w:rsidRPr="00283CF5" w:rsidRDefault="0095632C" w:rsidP="00A07FA5">
      <w:pPr>
        <w:pStyle w:val="SemEspaamento"/>
        <w:jc w:val="both"/>
      </w:pPr>
    </w:p>
    <w:p w:rsidR="00C12BC3" w:rsidRPr="00AE0911" w:rsidRDefault="00211C0C" w:rsidP="00A07FA5">
      <w:pPr>
        <w:pStyle w:val="SemEspaamento"/>
        <w:jc w:val="both"/>
        <w:rPr>
          <w:b/>
        </w:rPr>
      </w:pPr>
      <w:r w:rsidRPr="00AE0911">
        <w:rPr>
          <w:b/>
        </w:rPr>
        <w:t>4</w:t>
      </w:r>
      <w:r w:rsidR="003D1838" w:rsidRPr="00AE0911">
        <w:rPr>
          <w:b/>
        </w:rPr>
        <w:t xml:space="preserve">. </w:t>
      </w:r>
      <w:r w:rsidR="00C12BC3" w:rsidRPr="00AE0911">
        <w:rPr>
          <w:b/>
        </w:rPr>
        <w:t xml:space="preserve">Proposta de criação de um </w:t>
      </w:r>
      <w:proofErr w:type="spellStart"/>
      <w:r w:rsidR="00C12BC3" w:rsidRPr="00AE0911">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w:t>
      </w:r>
      <w:r w:rsidR="009E0E81">
        <w:t>5</w:t>
      </w:r>
      <w:r>
        <w:t>], para 53% dos entrevistados, a atividade que mais consome tempo dos cientista</w:t>
      </w:r>
      <w:r w:rsidR="004F67AD">
        <w:t>s</w:t>
      </w:r>
      <w:r>
        <w:t xml:space="preserve"> de dados é coletar, rotular, limpar e organizar dados.</w:t>
      </w:r>
      <w:r w:rsidR="004F67AD">
        <w:t xml:space="preserve"> Para </w:t>
      </w:r>
      <w:r w:rsidR="004F67AD">
        <w:lastRenderedPageBreak/>
        <w:t xml:space="preserve">que técnicas de aprendizado de máquina sejam aplicadas com eficácia, é primordial que </w:t>
      </w:r>
      <w:r w:rsidR="00DD19C1">
        <w:t>os dados que serão utilizados como</w:t>
      </w:r>
      <w:r w:rsidR="004F67AD">
        <w:t xml:space="preserve"> entrada sejam tra</w:t>
      </w:r>
      <w:r w:rsidR="00DD19C1">
        <w:t>balhados</w:t>
      </w:r>
      <w:r w:rsidR="004F67AD">
        <w:t xml:space="preserve"> e </w:t>
      </w:r>
      <w:r w:rsidR="0097326A">
        <w:t>tenham uma boa representatividade d</w:t>
      </w:r>
      <w:r w:rsidR="004F67AD">
        <w:t>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w:t>
      </w:r>
      <w:r w:rsidR="009E0E81">
        <w:t xml:space="preserve"> </w:t>
      </w:r>
      <w:r>
        <w:t>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DD1004" w:rsidP="00A07FA5">
      <w:pPr>
        <w:pStyle w:val="SemEspaamento"/>
        <w:jc w:val="both"/>
      </w:pPr>
      <w:r>
        <w:t xml:space="preserve">Uma das propostas desse trabalho é a criação de um </w:t>
      </w:r>
      <w:proofErr w:type="spellStart"/>
      <w:r w:rsidRPr="000C18BF">
        <w:rPr>
          <w:i/>
        </w:rPr>
        <w:t>dataset</w:t>
      </w:r>
      <w:proofErr w:type="spellEnd"/>
      <w:r>
        <w:t xml:space="preserve"> com </w:t>
      </w:r>
      <w:r w:rsidR="000C18BF">
        <w:t xml:space="preserve">pares &lt;consultas em linguagem natural, </w:t>
      </w:r>
      <w:r>
        <w:t>consultas SQL</w:t>
      </w:r>
      <w:r w:rsidR="000C18BF">
        <w:t>&gt;</w:t>
      </w:r>
      <w:r>
        <w:t xml:space="preserve"> sobre uma base</w:t>
      </w:r>
      <w:r w:rsidR="000C18BF">
        <w:t xml:space="preserve"> de dados </w:t>
      </w:r>
      <w:r w:rsidR="009B3FC4">
        <w:t>chama</w:t>
      </w:r>
      <w:r w:rsidR="000C18BF">
        <w:t>da</w:t>
      </w:r>
      <w:r w:rsidR="009B3FC4">
        <w:t xml:space="preserve"> Base de Dados Integrada Corporativa (BDIC). A tabela abaixo ilustra </w:t>
      </w:r>
      <w:r w:rsidR="00D42AF6">
        <w:t>parte da</w:t>
      </w:r>
      <w:r w:rsidR="009B3FC4">
        <w:t xml:space="preserve">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w:t>
      </w:r>
      <w:r w:rsidR="00281BFC">
        <w:t>Através da Tabela 1 é possível gerar diversas combinações de consultas SQL sobre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rsidRPr="004B788D">
        <w:rPr>
          <w:i/>
        </w:rPr>
        <w:t>dataset</w:t>
      </w:r>
      <w:proofErr w:type="spellEnd"/>
      <w:r>
        <w:t xml:space="preserve"> desse trabalho, foi proposto um formato padrão para as consulta</w:t>
      </w:r>
      <w:r w:rsidR="004B788D">
        <w:t xml:space="preserve">s baseado no formato de consultas do </w:t>
      </w:r>
      <w:proofErr w:type="spellStart"/>
      <w:r w:rsidR="004B788D" w:rsidRPr="004B788D">
        <w:rPr>
          <w:i/>
        </w:rPr>
        <w:t>dataset</w:t>
      </w:r>
      <w:proofErr w:type="spellEnd"/>
      <w:r w:rsidR="004B788D">
        <w:t xml:space="preserve"> </w:t>
      </w:r>
      <w:proofErr w:type="spellStart"/>
      <w:r w:rsidR="004B788D">
        <w:t>WikiSQL</w:t>
      </w:r>
      <w:proofErr w:type="spellEnd"/>
      <w:r>
        <w:t xml:space="preserve">.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rsidRPr="00671AA4">
        <w:rPr>
          <w:u w:val="single"/>
        </w:rPr>
        <w:t>TABELA</w:t>
      </w:r>
      <w:r>
        <w:t>:</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rsidRPr="00671AA4">
        <w:rPr>
          <w:u w:val="single"/>
        </w:rPr>
        <w:t>COLUNA</w:t>
      </w:r>
      <w:r>
        <w:t xml:space="preserve">: </w:t>
      </w:r>
      <w:proofErr w:type="spellStart"/>
      <w:r w:rsidR="00394128">
        <w:t>token</w:t>
      </w:r>
      <w:proofErr w:type="spellEnd"/>
      <w:r w:rsidR="00394128">
        <w:t xml:space="preserve"> que identifica uma coluna. D</w:t>
      </w:r>
      <w:r>
        <w:t xml:space="preserve">epende </w:t>
      </w:r>
      <w:r w:rsidR="00A5032D">
        <w:t xml:space="preserve">do valor atribuído ao </w:t>
      </w:r>
      <w:proofErr w:type="spellStart"/>
      <w:r w:rsidR="00A5032D">
        <w:t>token</w:t>
      </w:r>
      <w:proofErr w:type="spellEnd"/>
      <w:r>
        <w:t xml:space="preserve"> TABELA.</w:t>
      </w:r>
    </w:p>
    <w:p w:rsidR="00C12BC3" w:rsidRDefault="00C12BC3" w:rsidP="00557732">
      <w:pPr>
        <w:pStyle w:val="SemEspaamento"/>
        <w:numPr>
          <w:ilvl w:val="0"/>
          <w:numId w:val="1"/>
        </w:numPr>
        <w:jc w:val="both"/>
      </w:pPr>
      <w:r w:rsidRPr="00671AA4">
        <w:rPr>
          <w:u w:val="single"/>
        </w:rPr>
        <w:t>OP</w:t>
      </w:r>
      <w:r>
        <w:t xml:space="preserve">: </w:t>
      </w:r>
      <w:proofErr w:type="spellStart"/>
      <w:r w:rsidR="00394128">
        <w:t>token</w:t>
      </w:r>
      <w:proofErr w:type="spellEnd"/>
      <w:r w:rsidR="00394128">
        <w:t xml:space="preserve"> que identifica um operador. D</w:t>
      </w:r>
      <w:r>
        <w:t>epende</w:t>
      </w:r>
      <w:r w:rsidR="00A5032D" w:rsidRPr="00A5032D">
        <w:t xml:space="preserve"> </w:t>
      </w:r>
      <w:r w:rsidR="00A5032D">
        <w:t xml:space="preserve">do valor atribuído ao </w:t>
      </w:r>
      <w:proofErr w:type="spellStart"/>
      <w:r w:rsidR="00A5032D">
        <w:t>token</w:t>
      </w:r>
      <w:proofErr w:type="spellEnd"/>
      <w:r>
        <w:t xml:space="preserve"> COLUNA.</w:t>
      </w:r>
    </w:p>
    <w:p w:rsidR="00C12BC3" w:rsidRDefault="00C12BC3" w:rsidP="00557732">
      <w:pPr>
        <w:pStyle w:val="SemEspaamento"/>
        <w:numPr>
          <w:ilvl w:val="0"/>
          <w:numId w:val="1"/>
        </w:numPr>
        <w:jc w:val="both"/>
      </w:pPr>
      <w:r w:rsidRPr="00671AA4">
        <w:rPr>
          <w:u w:val="single"/>
        </w:rPr>
        <w:t>VALOR</w:t>
      </w:r>
      <w:r>
        <w:t xml:space="preserve">: </w:t>
      </w:r>
      <w:proofErr w:type="spellStart"/>
      <w:r w:rsidR="00394128">
        <w:t>token</w:t>
      </w:r>
      <w:proofErr w:type="spellEnd"/>
      <w:r w:rsidR="00394128">
        <w:t xml:space="preserve"> que identifica um valor. D</w:t>
      </w:r>
      <w:r>
        <w:t xml:space="preserve">epende </w:t>
      </w:r>
      <w:r w:rsidR="00A5032D">
        <w:t>do valor atribuído ao</w:t>
      </w:r>
      <w:r w:rsidR="00A5032D">
        <w:t>s</w:t>
      </w:r>
      <w:r w:rsidR="00A5032D">
        <w:t xml:space="preserve"> </w:t>
      </w:r>
      <w:proofErr w:type="spellStart"/>
      <w:r w:rsidR="00A5032D">
        <w:t>token</w:t>
      </w:r>
      <w:r w:rsidR="00A5032D">
        <w:t>s</w:t>
      </w:r>
      <w:proofErr w:type="spellEnd"/>
      <w:r w:rsidR="00A5032D">
        <w:t xml:space="preserve"> </w:t>
      </w:r>
      <w:r>
        <w:t>COLUNA e OPERADOR.</w:t>
      </w:r>
    </w:p>
    <w:p w:rsidR="00C12BC3" w:rsidRDefault="00C12BC3" w:rsidP="00A07FA5">
      <w:pPr>
        <w:pStyle w:val="SemEspaamento"/>
        <w:jc w:val="both"/>
      </w:pPr>
    </w:p>
    <w:p w:rsidR="008E1841" w:rsidRDefault="008E1841" w:rsidP="00A07FA5">
      <w:pPr>
        <w:pStyle w:val="SemEspaamento"/>
        <w:jc w:val="both"/>
      </w:pPr>
      <w:r>
        <w:t xml:space="preserve">Um ponto de atenção que também aparece no </w:t>
      </w:r>
      <w:proofErr w:type="spellStart"/>
      <w:r>
        <w:t>WikiSQL</w:t>
      </w:r>
      <w:proofErr w:type="spellEnd"/>
      <w:r>
        <w:t xml:space="preserve"> é a limitação das consultas acessarem uma única tabela. Os autores do </w:t>
      </w:r>
      <w:proofErr w:type="spellStart"/>
      <w:r>
        <w:t>WikiSQL</w:t>
      </w:r>
      <w:proofErr w:type="spellEnd"/>
      <w:r>
        <w:t xml:space="preserve"> comentaram que o objetivo é evoluir essa limitação em trabalhos futuros. Atualmente, uma forma de minimizar esse problema é criar estruturas de </w:t>
      </w:r>
      <w:proofErr w:type="spellStart"/>
      <w:r w:rsidRPr="004104BB">
        <w:rPr>
          <w:i/>
        </w:rPr>
        <w:t>views</w:t>
      </w:r>
      <w:proofErr w:type="spellEnd"/>
      <w:r w:rsidR="004104BB">
        <w:rPr>
          <w:i/>
        </w:rPr>
        <w:t xml:space="preserve"> </w:t>
      </w:r>
      <w:r w:rsidR="004104BB">
        <w:t>[</w:t>
      </w:r>
      <w:r w:rsidR="00886E14">
        <w:t>17</w:t>
      </w:r>
      <w:r w:rsidR="004104BB">
        <w:t>],</w:t>
      </w:r>
      <w:r>
        <w:t xml:space="preserve"> que podem ser utilizadas para combinar colunas de diferentes tabelas. Assim, as cláusulas </w:t>
      </w:r>
      <w:proofErr w:type="spellStart"/>
      <w:r w:rsidRPr="004104BB">
        <w:rPr>
          <w:i/>
        </w:rPr>
        <w:t>join</w:t>
      </w:r>
      <w:proofErr w:type="spellEnd"/>
      <w:r>
        <w:t xml:space="preserve"> do SQL ficariam transparentes para o modelo de predição que só veria o resultado da consulta como se estivesse acessando uma única tabela.</w:t>
      </w:r>
    </w:p>
    <w:p w:rsidR="008E1841" w:rsidRDefault="008E1841" w:rsidP="00A07FA5">
      <w:pPr>
        <w:pStyle w:val="SemEspaamento"/>
        <w:jc w:val="both"/>
      </w:pPr>
    </w:p>
    <w:p w:rsidR="00C12BC3" w:rsidRDefault="00B6583D" w:rsidP="00A07FA5">
      <w:pPr>
        <w:pStyle w:val="SemEspaamento"/>
        <w:jc w:val="both"/>
      </w:pPr>
      <w:r>
        <w:t>A partir da descrição das tabelas da BDIC (Tabela 1) e do formato padrão das consultas SQL (Figura 3), é possível escrever um algoritmo para gerar um conjunto de consultas.</w:t>
      </w:r>
      <w:r>
        <w:t xml:space="preserve">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w:t>
      </w:r>
      <w:r w:rsidR="00106B00">
        <w:t xml:space="preserve">para </w:t>
      </w:r>
      <w:r w:rsidR="00C12BC3">
        <w:t>a geraç</w:t>
      </w:r>
      <w:r w:rsidR="00FB27AE">
        <w:t>ão de um conjunto de consultas a serem executadas sobre as tabelas da BDIC.</w:t>
      </w: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align>left</wp:align>
                </wp:positionH>
                <wp:positionV relativeFrom="paragraph">
                  <wp:posOffset>173355</wp:posOffset>
                </wp:positionV>
                <wp:extent cx="5392420" cy="4243705"/>
                <wp:effectExtent l="0" t="0" r="17780" b="23495"/>
                <wp:wrapTopAndBottom/>
                <wp:docPr id="2" name="Retângulo 2"/>
                <wp:cNvGraphicFramePr/>
                <a:graphic xmlns:a="http://schemas.openxmlformats.org/drawingml/2006/main">
                  <a:graphicData uri="http://schemas.microsoft.com/office/word/2010/wordprocessingShape">
                    <wps:wsp>
                      <wps:cNvSpPr/>
                      <wps:spPr>
                        <a:xfrm>
                          <a:off x="0" y="0"/>
                          <a:ext cx="5392420" cy="4244196"/>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5pt;width:424.6pt;height:334.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5E4BFD" w:rsidP="00081C46">
                      <w:pPr>
                        <w:pStyle w:val="SemEspaamento"/>
                        <w:ind w:firstLine="708"/>
                        <w:jc w:val="both"/>
                        <w:rPr>
                          <w:i/>
                        </w:rPr>
                      </w:pPr>
                      <w:r>
                        <w:rPr>
                          <w:i/>
                        </w:rPr>
                        <w:t>Para cada tab</w:t>
                      </w:r>
                      <w:r w:rsidR="0032666D" w:rsidRPr="008615BB">
                        <w:rPr>
                          <w:i/>
                        </w:rPr>
                        <w:t>ela T</w:t>
                      </w:r>
                      <w:r w:rsidR="00043E16">
                        <w:rPr>
                          <w:i/>
                        </w:rPr>
                        <w:t xml:space="preserve"> da BDIC</w:t>
                      </w:r>
                      <w:r>
                        <w:rPr>
                          <w:i/>
                        </w:rPr>
                        <w:t xml:space="preserve">, </w:t>
                      </w:r>
                      <w:proofErr w:type="gramStart"/>
                      <w:r>
                        <w:rPr>
                          <w:i/>
                        </w:rPr>
                        <w:t>faça{</w:t>
                      </w:r>
                      <w:proofErr w:type="gramEnd"/>
                    </w:p>
                    <w:p w:rsidR="0032666D" w:rsidRPr="008615BB" w:rsidRDefault="004D3088" w:rsidP="004D3088">
                      <w:pPr>
                        <w:pStyle w:val="SemEspaamento"/>
                        <w:ind w:left="1416"/>
                        <w:jc w:val="both"/>
                        <w:rPr>
                          <w:i/>
                        </w:rPr>
                      </w:pPr>
                      <w:r>
                        <w:rPr>
                          <w:i/>
                        </w:rPr>
                        <w:t>As c</w:t>
                      </w:r>
                      <w:r w:rsidR="0032666D" w:rsidRPr="008615BB">
                        <w:rPr>
                          <w:i/>
                        </w:rPr>
                        <w:t>olunas</w:t>
                      </w:r>
                      <w:r w:rsidR="00B50B07">
                        <w:rPr>
                          <w:i/>
                        </w:rPr>
                        <w:t xml:space="preserve"> a serem utilizadas</w:t>
                      </w:r>
                      <w:r w:rsidR="0032666D" w:rsidRPr="008615BB">
                        <w:rPr>
                          <w:i/>
                        </w:rPr>
                        <w:t xml:space="preserve"> </w:t>
                      </w:r>
                      <w:r w:rsidR="00B50B07">
                        <w:rPr>
                          <w:i/>
                        </w:rPr>
                        <w:t>n</w:t>
                      </w:r>
                      <w:r w:rsidR="0032666D" w:rsidRPr="008615BB">
                        <w:rPr>
                          <w:i/>
                        </w:rPr>
                        <w:t>as cláusulas "</w:t>
                      </w:r>
                      <w:proofErr w:type="spellStart"/>
                      <w:r w:rsidR="0032666D" w:rsidRPr="008615BB">
                        <w:rPr>
                          <w:i/>
                        </w:rPr>
                        <w:t>select</w:t>
                      </w:r>
                      <w:proofErr w:type="spellEnd"/>
                      <w:r w:rsidR="0032666D" w:rsidRPr="008615BB">
                        <w:rPr>
                          <w:i/>
                        </w:rPr>
                        <w:t>" e "</w:t>
                      </w:r>
                      <w:proofErr w:type="spellStart"/>
                      <w:r w:rsidR="0032666D" w:rsidRPr="008615BB">
                        <w:rPr>
                          <w:i/>
                        </w:rPr>
                        <w:t>where</w:t>
                      </w:r>
                      <w:proofErr w:type="spellEnd"/>
                      <w:r w:rsidR="0032666D" w:rsidRPr="008615BB">
                        <w:rPr>
                          <w:i/>
                        </w:rPr>
                        <w:t>"</w:t>
                      </w:r>
                      <w:r>
                        <w:rPr>
                          <w:i/>
                        </w:rPr>
                        <w:t xml:space="preserve"> do comando SELECT </w:t>
                      </w:r>
                      <w:r w:rsidR="0087326D">
                        <w:rPr>
                          <w:i/>
                        </w:rPr>
                        <w:t xml:space="preserve">que será </w:t>
                      </w:r>
                      <w:r>
                        <w:rPr>
                          <w:i/>
                        </w:rPr>
                        <w:t>criado</w:t>
                      </w:r>
                      <w:r w:rsidR="0032666D" w:rsidRPr="008615BB">
                        <w:rPr>
                          <w:i/>
                        </w:rPr>
                        <w:t xml:space="preserve"> serão independentes?</w:t>
                      </w:r>
                    </w:p>
                    <w:p w:rsidR="0032666D" w:rsidRPr="008615BB" w:rsidRDefault="0032666D" w:rsidP="005E4BFD">
                      <w:pPr>
                        <w:pStyle w:val="SemEspaamento"/>
                        <w:ind w:left="708" w:firstLine="708"/>
                        <w:jc w:val="both"/>
                        <w:rPr>
                          <w:i/>
                        </w:rPr>
                      </w:pPr>
                      <w:proofErr w:type="gramStart"/>
                      <w:r w:rsidRPr="008615BB">
                        <w:rPr>
                          <w:i/>
                        </w:rPr>
                        <w:t>Sim{</w:t>
                      </w:r>
                      <w:proofErr w:type="gramEnd"/>
                    </w:p>
                    <w:p w:rsidR="0032666D" w:rsidRPr="008615BB" w:rsidRDefault="0032666D" w:rsidP="005E4BFD">
                      <w:pPr>
                        <w:pStyle w:val="SemEspaamento"/>
                        <w:ind w:left="1416" w:firstLine="708"/>
                        <w:jc w:val="both"/>
                        <w:rPr>
                          <w:i/>
                        </w:rPr>
                      </w:pPr>
                      <w:r w:rsidRPr="00E844B8">
                        <w:rPr>
                          <w:b/>
                          <w:i/>
                        </w:rPr>
                        <w:t>1</w:t>
                      </w:r>
                      <w:r w:rsidRPr="008615BB">
                        <w:rPr>
                          <w:i/>
                        </w:rPr>
                        <w:t>: Escolha a q</w:t>
                      </w:r>
                      <w:r w:rsidR="006F25B9">
                        <w:rPr>
                          <w:i/>
                        </w:rPr>
                        <w:t>uantidade K</w:t>
                      </w:r>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5E4BFD">
                      <w:pPr>
                        <w:pStyle w:val="SemEspaamento"/>
                        <w:ind w:left="2124"/>
                        <w:jc w:val="both"/>
                        <w:rPr>
                          <w:i/>
                        </w:rPr>
                      </w:pPr>
                      <w:r w:rsidRPr="00E844B8">
                        <w:rPr>
                          <w:b/>
                          <w:i/>
                        </w:rPr>
                        <w:t>2</w:t>
                      </w:r>
                      <w:r w:rsidRPr="008615BB">
                        <w:rPr>
                          <w:i/>
                        </w:rPr>
                        <w:t xml:space="preserve">: Escolha </w:t>
                      </w:r>
                      <w:r w:rsidR="006F25B9">
                        <w:rPr>
                          <w:i/>
                        </w:rPr>
                        <w:t>K</w:t>
                      </w:r>
                      <w:r w:rsidRPr="008615BB">
                        <w:rPr>
                          <w:i/>
                        </w:rPr>
                        <w:t xml:space="preserve"> colunas da tabela T</w:t>
                      </w:r>
                      <w:r w:rsidR="00E5693F">
                        <w:rPr>
                          <w:i/>
                        </w:rPr>
                        <w:t>;</w:t>
                      </w:r>
                      <w:r w:rsidRPr="008615BB">
                        <w:rPr>
                          <w:i/>
                        </w:rPr>
                        <w:t xml:space="preserve"> OBS: as q</w:t>
                      </w:r>
                      <w:r w:rsidR="00E5693F">
                        <w:rPr>
                          <w:i/>
                        </w:rPr>
                        <w:t>uantidades</w:t>
                      </w:r>
                      <w:r w:rsidRPr="008615BB">
                        <w:rPr>
                          <w:i/>
                        </w:rPr>
                        <w:t xml:space="preserve"> de colunas das tabelas variam;</w:t>
                      </w:r>
                    </w:p>
                    <w:p w:rsidR="0032666D" w:rsidRPr="008615BB" w:rsidRDefault="0032666D" w:rsidP="005E4BFD">
                      <w:pPr>
                        <w:pStyle w:val="SemEspaamento"/>
                        <w:ind w:left="1416" w:firstLine="708"/>
                        <w:jc w:val="both"/>
                        <w:rPr>
                          <w:i/>
                        </w:rPr>
                      </w:pPr>
                      <w:r w:rsidRPr="00E844B8">
                        <w:rPr>
                          <w:b/>
                          <w:i/>
                        </w:rPr>
                        <w:t>3</w:t>
                      </w:r>
                      <w:r w:rsidRPr="008615BB">
                        <w:rPr>
                          <w:i/>
                        </w:rPr>
                        <w:t>: Escolha Q a quantidade de restrições da cláusula "WHERE";</w:t>
                      </w:r>
                    </w:p>
                    <w:p w:rsidR="0032666D" w:rsidRPr="008615BB" w:rsidRDefault="0032666D" w:rsidP="005E4BFD">
                      <w:pPr>
                        <w:pStyle w:val="SemEspaamento"/>
                        <w:ind w:left="1416" w:firstLine="708"/>
                        <w:jc w:val="both"/>
                        <w:rPr>
                          <w:i/>
                        </w:rPr>
                      </w:pPr>
                      <w:r w:rsidRPr="00E844B8">
                        <w:rPr>
                          <w:b/>
                          <w:i/>
                        </w:rPr>
                        <w:t>4</w:t>
                      </w:r>
                      <w:r w:rsidRPr="008615BB">
                        <w:rPr>
                          <w:i/>
                        </w:rPr>
                        <w:t>: Escolha Q colunas da tabela T;</w:t>
                      </w:r>
                    </w:p>
                    <w:p w:rsidR="0032666D" w:rsidRPr="008615BB" w:rsidRDefault="0032666D" w:rsidP="005E4BFD">
                      <w:pPr>
                        <w:pStyle w:val="SemEspaamento"/>
                        <w:ind w:left="2124"/>
                        <w:jc w:val="both"/>
                        <w:rPr>
                          <w:i/>
                        </w:rPr>
                      </w:pPr>
                      <w:r w:rsidRPr="00E844B8">
                        <w:rPr>
                          <w:b/>
                          <w:i/>
                        </w:rPr>
                        <w:t>5</w:t>
                      </w:r>
                      <w:r w:rsidRPr="008615BB">
                        <w:rPr>
                          <w:i/>
                        </w:rPr>
                        <w:t>: Para cada uma das Q colunas, escolha P operadores</w:t>
                      </w:r>
                      <w:r w:rsidR="004910FF">
                        <w:rPr>
                          <w:i/>
                        </w:rPr>
                        <w:t>;</w:t>
                      </w:r>
                      <w:r w:rsidRPr="008615BB">
                        <w:rPr>
                          <w:i/>
                        </w:rPr>
                        <w:t xml:space="preserve"> OBS: os valores serão fixos.</w:t>
                      </w:r>
                    </w:p>
                    <w:p w:rsidR="0032666D" w:rsidRPr="008615BB" w:rsidRDefault="0032666D" w:rsidP="005E4BFD">
                      <w:pPr>
                        <w:pStyle w:val="SemEspaamento"/>
                        <w:ind w:left="708" w:firstLine="708"/>
                        <w:jc w:val="both"/>
                        <w:rPr>
                          <w:i/>
                        </w:rPr>
                      </w:pPr>
                      <w:r w:rsidRPr="008615BB">
                        <w:rPr>
                          <w:i/>
                        </w:rPr>
                        <w:t>}</w:t>
                      </w:r>
                    </w:p>
                    <w:p w:rsidR="0032666D" w:rsidRPr="008615BB" w:rsidRDefault="0032666D" w:rsidP="005E4BFD">
                      <w:pPr>
                        <w:pStyle w:val="SemEspaamento"/>
                        <w:ind w:left="708" w:firstLine="708"/>
                        <w:jc w:val="both"/>
                        <w:rPr>
                          <w:i/>
                        </w:rPr>
                      </w:pPr>
                      <w:proofErr w:type="gramStart"/>
                      <w:r w:rsidRPr="008615BB">
                        <w:rPr>
                          <w:i/>
                        </w:rPr>
                        <w:t>Não{</w:t>
                      </w:r>
                      <w:proofErr w:type="gramEnd"/>
                    </w:p>
                    <w:p w:rsidR="0032666D" w:rsidRPr="008615BB" w:rsidRDefault="006F25B9" w:rsidP="005E4BFD">
                      <w:pPr>
                        <w:pStyle w:val="SemEspaamento"/>
                        <w:ind w:left="1416" w:firstLine="708"/>
                        <w:jc w:val="both"/>
                        <w:rPr>
                          <w:i/>
                        </w:rPr>
                      </w:pPr>
                      <w:r w:rsidRPr="00E844B8">
                        <w:rPr>
                          <w:b/>
                          <w:i/>
                        </w:rPr>
                        <w:t>6</w:t>
                      </w:r>
                      <w:r w:rsidR="0032666D" w:rsidRPr="008615BB">
                        <w:rPr>
                          <w:i/>
                        </w:rPr>
                        <w:t>: Igual</w:t>
                      </w:r>
                      <w:r>
                        <w:rPr>
                          <w:i/>
                        </w:rPr>
                        <w:t xml:space="preserve"> ao item 1</w:t>
                      </w:r>
                      <w:r w:rsidR="0032666D" w:rsidRPr="008615BB">
                        <w:rPr>
                          <w:i/>
                        </w:rPr>
                        <w:t>;</w:t>
                      </w:r>
                      <w:r w:rsidR="0068316B">
                        <w:rPr>
                          <w:i/>
                        </w:rPr>
                        <w:t xml:space="preserve"> OBS: nesse item é definido o valor de K.</w:t>
                      </w:r>
                    </w:p>
                    <w:p w:rsidR="0032666D" w:rsidRPr="008615BB" w:rsidRDefault="006F25B9" w:rsidP="005E4BFD">
                      <w:pPr>
                        <w:pStyle w:val="SemEspaamento"/>
                        <w:ind w:left="1416" w:firstLine="708"/>
                        <w:jc w:val="both"/>
                        <w:rPr>
                          <w:i/>
                        </w:rPr>
                      </w:pPr>
                      <w:r w:rsidRPr="00E844B8">
                        <w:rPr>
                          <w:b/>
                          <w:i/>
                        </w:rPr>
                        <w:t>7</w:t>
                      </w:r>
                      <w:r w:rsidR="0032666D" w:rsidRPr="008615BB">
                        <w:rPr>
                          <w:i/>
                        </w:rPr>
                        <w:t>: Igual</w:t>
                      </w:r>
                      <w:r>
                        <w:rPr>
                          <w:i/>
                        </w:rPr>
                        <w:t xml:space="preserve"> ao item 2</w:t>
                      </w:r>
                      <w:r w:rsidR="0032666D" w:rsidRPr="008615BB">
                        <w:rPr>
                          <w:i/>
                        </w:rPr>
                        <w:t>;</w:t>
                      </w:r>
                    </w:p>
                    <w:p w:rsidR="0032666D" w:rsidRPr="008615BB" w:rsidRDefault="006F25B9" w:rsidP="005E4BFD">
                      <w:pPr>
                        <w:pStyle w:val="SemEspaamento"/>
                        <w:ind w:left="2124"/>
                        <w:jc w:val="both"/>
                        <w:rPr>
                          <w:i/>
                        </w:rPr>
                      </w:pPr>
                      <w:r w:rsidRPr="00E844B8">
                        <w:rPr>
                          <w:b/>
                          <w:i/>
                        </w:rPr>
                        <w:t>8</w:t>
                      </w:r>
                      <w:r w:rsidR="0032666D" w:rsidRPr="008615BB">
                        <w:rPr>
                          <w:i/>
                        </w:rPr>
                        <w:t>: Escolha Q a quantidade de restrições da cláusula "WHERE" onde 1&lt;=Q&lt;=K;</w:t>
                      </w:r>
                    </w:p>
                    <w:p w:rsidR="0032666D" w:rsidRPr="008615BB" w:rsidRDefault="006F25B9" w:rsidP="005E4BFD">
                      <w:pPr>
                        <w:pStyle w:val="SemEspaamento"/>
                        <w:ind w:left="2124"/>
                        <w:jc w:val="both"/>
                        <w:rPr>
                          <w:i/>
                        </w:rPr>
                      </w:pPr>
                      <w:r w:rsidRPr="00E844B8">
                        <w:rPr>
                          <w:b/>
                          <w:i/>
                        </w:rPr>
                        <w:t>9</w:t>
                      </w:r>
                      <w:r w:rsidR="0032666D" w:rsidRPr="008615BB">
                        <w:rPr>
                          <w:i/>
                        </w:rPr>
                        <w:t>: Escolha Q colunas da tabela T onde esse conjunto seja subconj</w:t>
                      </w:r>
                      <w:r w:rsidR="005A7B6B">
                        <w:rPr>
                          <w:i/>
                        </w:rPr>
                        <w:t>unto das colunas escolhidas em 7</w:t>
                      </w:r>
                      <w:r w:rsidR="0032666D" w:rsidRPr="008615BB">
                        <w:rPr>
                          <w:i/>
                        </w:rPr>
                        <w:t>;</w:t>
                      </w:r>
                    </w:p>
                    <w:p w:rsidR="0032666D" w:rsidRPr="008615BB" w:rsidRDefault="006F25B9" w:rsidP="005E4BFD">
                      <w:pPr>
                        <w:pStyle w:val="SemEspaamento"/>
                        <w:ind w:left="1416" w:firstLine="708"/>
                        <w:jc w:val="both"/>
                        <w:rPr>
                          <w:i/>
                        </w:rPr>
                      </w:pPr>
                      <w:r w:rsidRPr="00E844B8">
                        <w:rPr>
                          <w:b/>
                          <w:i/>
                        </w:rPr>
                        <w:t>10</w:t>
                      </w:r>
                      <w:r w:rsidR="0032666D" w:rsidRPr="008615BB">
                        <w:rPr>
                          <w:i/>
                        </w:rPr>
                        <w:t>: Igual</w:t>
                      </w:r>
                      <w:r>
                        <w:rPr>
                          <w:i/>
                        </w:rPr>
                        <w:t xml:space="preserve"> ao 5</w:t>
                      </w:r>
                      <w:r w:rsidR="0032666D" w:rsidRPr="008615BB">
                        <w:rPr>
                          <w:i/>
                        </w:rPr>
                        <w:t>.</w:t>
                      </w:r>
                    </w:p>
                    <w:p w:rsidR="0032666D" w:rsidRDefault="0032666D" w:rsidP="005E4BFD">
                      <w:pPr>
                        <w:pStyle w:val="SemEspaamento"/>
                        <w:ind w:left="708" w:firstLine="708"/>
                        <w:jc w:val="both"/>
                        <w:rPr>
                          <w:i/>
                        </w:rPr>
                      </w:pPr>
                      <w:r w:rsidRPr="008615BB">
                        <w:rPr>
                          <w:i/>
                        </w:rPr>
                        <w:t>}</w:t>
                      </w:r>
                    </w:p>
                    <w:p w:rsidR="005E4BFD" w:rsidRPr="008615BB" w:rsidRDefault="005E4BFD" w:rsidP="005E4BFD">
                      <w:pPr>
                        <w:pStyle w:val="SemEspaamento"/>
                        <w:jc w:val="both"/>
                        <w:rPr>
                          <w:i/>
                        </w:rPr>
                      </w:pPr>
                      <w:r>
                        <w:rPr>
                          <w:i/>
                        </w:rPr>
                        <w:tab/>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8C0B4E" w:rsidRDefault="008C0B4E" w:rsidP="00A07FA5">
      <w:pPr>
        <w:pStyle w:val="SemEspaamento"/>
        <w:jc w:val="both"/>
      </w:pPr>
      <w:r>
        <w:t>A proposta desse procedimento é realizar diversas combinações entre as colunas das tabelas do BDIC para a geração das consultas SQL.</w:t>
      </w:r>
    </w:p>
    <w:p w:rsidR="008C0B4E" w:rsidRDefault="008C0B4E" w:rsidP="00A07FA5">
      <w:pPr>
        <w:pStyle w:val="SemEspaamento"/>
        <w:jc w:val="both"/>
      </w:pPr>
    </w:p>
    <w:p w:rsidR="00D57F45" w:rsidRDefault="008C0B4E" w:rsidP="00A07FA5">
      <w:pPr>
        <w:pStyle w:val="SemEspaamento"/>
        <w:jc w:val="both"/>
      </w:pPr>
      <w:r>
        <w:t>Entretanto, p</w:t>
      </w:r>
      <w:r w:rsidR="00D57F45">
        <w:t xml:space="preserve">ara a </w:t>
      </w:r>
      <w:r>
        <w:t>conclusão</w:t>
      </w:r>
      <w:r w:rsidR="00D57F45">
        <w:t xml:space="preserve"> do </w:t>
      </w:r>
      <w:proofErr w:type="spellStart"/>
      <w:r w:rsidR="00D57F45">
        <w:t>dataset</w:t>
      </w:r>
      <w:proofErr w:type="spellEnd"/>
      <w:r w:rsidR="00D57F45">
        <w:t xml:space="preserve"> </w:t>
      </w:r>
      <w:r>
        <w:t xml:space="preserve">ainda </w:t>
      </w:r>
      <w:r w:rsidR="00D57F45">
        <w:t>é preciso que</w:t>
      </w:r>
      <w:r w:rsidR="00401F6D">
        <w:t>,</w:t>
      </w:r>
      <w:r w:rsidR="00D57F45">
        <w:t xml:space="preserve"> para cada uma das consultas SQL geradas, haja uma representação dela em linguagem natural. Apesar de ser possível gerar as consultas relacionadas em linguagem natural, essa abordagem torna o </w:t>
      </w:r>
      <w:proofErr w:type="spellStart"/>
      <w:r w:rsidR="00D57F45">
        <w:t>dataset</w:t>
      </w:r>
      <w:proofErr w:type="spellEnd"/>
      <w:r w:rsidR="00D57F45">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r w:rsidR="00BA5388">
        <w:t>6</w:t>
      </w:r>
      <w:r>
        <w:t>].</w:t>
      </w:r>
    </w:p>
    <w:p w:rsidR="00FA1D1F" w:rsidRDefault="00FA1D1F" w:rsidP="00A07FA5">
      <w:pPr>
        <w:pStyle w:val="SemEspaamento"/>
        <w:jc w:val="both"/>
      </w:pPr>
    </w:p>
    <w:p w:rsidR="00FA1D1F" w:rsidRDefault="00FA1D1F" w:rsidP="00A07FA5">
      <w:pPr>
        <w:pStyle w:val="SemEspaamento"/>
        <w:jc w:val="both"/>
      </w:pPr>
      <w:r>
        <w:t xml:space="preserve">Em função das limitações de tempo, não foi possível evoluir a proposta de geração do </w:t>
      </w:r>
      <w:proofErr w:type="spellStart"/>
      <w:r>
        <w:t>dataset</w:t>
      </w:r>
      <w:proofErr w:type="spellEnd"/>
      <w:r>
        <w:t xml:space="preserve">. Esse ponto será abordado na </w:t>
      </w:r>
      <w:r w:rsidR="00A64760">
        <w:t>última seção</w:t>
      </w:r>
      <w:r>
        <w:t xml:space="preserve"> desse trabalho que discute as conclusões e trabalhos futuros.</w:t>
      </w:r>
    </w:p>
    <w:p w:rsidR="00D57F45" w:rsidRDefault="00D57F45" w:rsidP="00A07FA5">
      <w:pPr>
        <w:pStyle w:val="SemEspaamento"/>
        <w:jc w:val="both"/>
      </w:pPr>
    </w:p>
    <w:p w:rsidR="00C12BC3" w:rsidRPr="00F926DB" w:rsidRDefault="00211C0C" w:rsidP="00A07FA5">
      <w:pPr>
        <w:pStyle w:val="SemEspaamento"/>
        <w:jc w:val="both"/>
        <w:rPr>
          <w:b/>
        </w:rPr>
      </w:pPr>
      <w:r w:rsidRPr="00F926DB">
        <w:rPr>
          <w:b/>
        </w:rPr>
        <w:t>5</w:t>
      </w:r>
      <w:r w:rsidR="003D1838" w:rsidRPr="00F926DB">
        <w:rPr>
          <w:b/>
        </w:rPr>
        <w:t xml:space="preserve">. </w:t>
      </w:r>
      <w:r w:rsidR="00C12BC3" w:rsidRPr="00F926DB">
        <w:rPr>
          <w:b/>
        </w:rPr>
        <w:t xml:space="preserve">Avaliação de uma </w:t>
      </w:r>
      <w:r w:rsidR="00BF74A4" w:rsidRPr="00F926DB">
        <w:rPr>
          <w:b/>
        </w:rPr>
        <w:t xml:space="preserve">API </w:t>
      </w:r>
      <w:r w:rsidR="0002750F" w:rsidRPr="00F926DB">
        <w:rPr>
          <w:b/>
        </w:rPr>
        <w:t>de</w:t>
      </w:r>
      <w:r w:rsidR="00C12BC3" w:rsidRPr="00F926DB">
        <w:rPr>
          <w:b/>
        </w:rPr>
        <w:t xml:space="preserve"> tradução</w:t>
      </w:r>
    </w:p>
    <w:p w:rsidR="00C12BC3" w:rsidRDefault="00C12BC3" w:rsidP="00A07FA5">
      <w:pPr>
        <w:pStyle w:val="SemEspaamento"/>
        <w:jc w:val="both"/>
      </w:pPr>
    </w:p>
    <w:p w:rsidR="00B32C74" w:rsidRDefault="00B32C74" w:rsidP="00A07FA5">
      <w:pPr>
        <w:pStyle w:val="SemEspaamento"/>
        <w:jc w:val="both"/>
      </w:pPr>
      <w:r>
        <w:t>O trabalho [</w:t>
      </w:r>
      <w:r w:rsidR="008A08F6">
        <w:t>15</w:t>
      </w:r>
      <w:r>
        <w:t xml:space="preserve">] apresenta </w:t>
      </w:r>
      <w:r w:rsidR="001624BE">
        <w:t xml:space="preserve">uma API para tradução de textos baseada no Google </w:t>
      </w:r>
      <w:r w:rsidR="00F56412">
        <w:t>Tradutor</w:t>
      </w:r>
      <w:r w:rsidR="001624BE">
        <w:t xml:space="preserve"> [</w:t>
      </w:r>
      <w:r w:rsidR="008A08F6">
        <w:t>16</w:t>
      </w:r>
      <w:r w:rsidR="001624BE">
        <w:t>].</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A64760" w:rsidRDefault="00A64760" w:rsidP="00A07FA5">
      <w:pPr>
        <w:pStyle w:val="SemEspaamento"/>
        <w:jc w:val="both"/>
      </w:pPr>
    </w:p>
    <w:p w:rsidR="00A64760" w:rsidRDefault="00A64760" w:rsidP="00A07FA5">
      <w:pPr>
        <w:pStyle w:val="SemEspaamento"/>
        <w:jc w:val="both"/>
      </w:pPr>
      <w:r>
        <w:t>A Figura 5</w:t>
      </w:r>
      <w:r w:rsidR="00D77CE6">
        <w:t xml:space="preserve"> ilustra uma proposta de arquitetura de integração simplificada entre a API do Google Tradutor e o modelo </w:t>
      </w:r>
      <w:proofErr w:type="spellStart"/>
      <w:r w:rsidR="00D77CE6">
        <w:t>SQLNet</w:t>
      </w:r>
      <w:proofErr w:type="spellEnd"/>
      <w:r w:rsidR="00D77CE6">
        <w:t>.</w:t>
      </w:r>
    </w:p>
    <w:p w:rsidR="00A64760" w:rsidRDefault="00A64760" w:rsidP="00A07FA5">
      <w:pPr>
        <w:pStyle w:val="SemEspaamento"/>
        <w:jc w:val="both"/>
      </w:pPr>
    </w:p>
    <w:p w:rsidR="00D73295" w:rsidRDefault="00D73295" w:rsidP="00D73295">
      <w:pPr>
        <w:pStyle w:val="SemEspaamento"/>
        <w:jc w:val="center"/>
      </w:pPr>
      <w:r>
        <w:rPr>
          <w:noProof/>
        </w:rPr>
        <w:drawing>
          <wp:inline distT="0" distB="0" distL="0" distR="0">
            <wp:extent cx="3554083" cy="2533393"/>
            <wp:effectExtent l="19050" t="19050" r="2794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35" cy="2543267"/>
                    </a:xfrm>
                    <a:prstGeom prst="rect">
                      <a:avLst/>
                    </a:prstGeom>
                    <a:noFill/>
                    <a:ln>
                      <a:solidFill>
                        <a:schemeClr val="tx1"/>
                      </a:solidFill>
                    </a:ln>
                  </pic:spPr>
                </pic:pic>
              </a:graphicData>
            </a:graphic>
          </wp:inline>
        </w:drawing>
      </w:r>
    </w:p>
    <w:p w:rsidR="009716C8" w:rsidRDefault="009716C8" w:rsidP="00A859AC">
      <w:pPr>
        <w:pStyle w:val="SemEspaamento"/>
        <w:jc w:val="center"/>
      </w:pPr>
      <w:r>
        <w:t>Figura 5. Arquitetura de Integração entre API Google</w:t>
      </w:r>
      <w:r w:rsidR="007140E3">
        <w:t xml:space="preserve"> Tradutor</w:t>
      </w:r>
      <w:r>
        <w:t xml:space="preserve"> e </w:t>
      </w:r>
      <w:proofErr w:type="spellStart"/>
      <w:r>
        <w:t>SQLNet</w:t>
      </w:r>
      <w:proofErr w:type="spellEnd"/>
    </w:p>
    <w:p w:rsidR="009716C8" w:rsidRDefault="009716C8" w:rsidP="00A07FA5">
      <w:pPr>
        <w:pStyle w:val="SemEspaamento"/>
        <w:jc w:val="both"/>
      </w:pPr>
    </w:p>
    <w:p w:rsidR="008B42FC" w:rsidRPr="009716C8" w:rsidRDefault="009716C8" w:rsidP="00A07FA5">
      <w:pPr>
        <w:pStyle w:val="SemEspaamento"/>
        <w:jc w:val="both"/>
      </w:pPr>
      <w:r>
        <w:t xml:space="preserve">Através do uso dessa arquitetura será possível permitir que o usuário especifique suas consultas em português, ao invés de </w:t>
      </w:r>
      <w:r w:rsidR="001F0494">
        <w:t>obrigá</w:t>
      </w:r>
      <w:r>
        <w:t xml:space="preserve">-lo a </w:t>
      </w:r>
      <w:r w:rsidR="00C8638B">
        <w:t>traduzi-las</w:t>
      </w:r>
      <w:r>
        <w:t xml:space="preserve"> para inglês</w:t>
      </w:r>
      <w:r w:rsidR="00C8638B">
        <w:t>,</w:t>
      </w:r>
      <w:r>
        <w:t xml:space="preserve"> como era </w:t>
      </w:r>
      <w:r w:rsidR="00C8638B">
        <w:t>a proposta</w:t>
      </w:r>
      <w:r>
        <w:t xml:space="preserve"> inicial. Entretanto, </w:t>
      </w:r>
      <w:r w:rsidRPr="009716C8">
        <w:t>e</w:t>
      </w:r>
      <w:r w:rsidR="008B42FC" w:rsidRPr="009716C8">
        <w:t>m função de limitações de tempo, não foi possível avançar nessa avaliação.</w:t>
      </w:r>
    </w:p>
    <w:p w:rsidR="00C12BC3" w:rsidRDefault="00C12BC3" w:rsidP="00A07FA5">
      <w:pPr>
        <w:pStyle w:val="SemEspaamento"/>
        <w:jc w:val="both"/>
      </w:pPr>
    </w:p>
    <w:p w:rsidR="00C12BC3" w:rsidRPr="00F365BE" w:rsidRDefault="00211C0C" w:rsidP="00A07FA5">
      <w:pPr>
        <w:pStyle w:val="SemEspaamento"/>
        <w:jc w:val="both"/>
        <w:rPr>
          <w:b/>
        </w:rPr>
      </w:pPr>
      <w:r w:rsidRPr="009C6A06">
        <w:rPr>
          <w:b/>
          <w:color w:val="FF0000"/>
        </w:rPr>
        <w:t xml:space="preserve">6. </w:t>
      </w:r>
      <w:r w:rsidR="00C12BC3" w:rsidRPr="009C6A06">
        <w:rPr>
          <w:b/>
          <w:color w:val="FF0000"/>
        </w:rPr>
        <w:t>Conclusão e Trabalhos Futuros</w:t>
      </w:r>
    </w:p>
    <w:p w:rsidR="00C12BC3" w:rsidRDefault="00C12BC3" w:rsidP="00A07FA5">
      <w:pPr>
        <w:pStyle w:val="SemEspaamento"/>
        <w:jc w:val="both"/>
      </w:pPr>
    </w:p>
    <w:p w:rsidR="00C11CC5"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rsidR="00C11CC5">
        <w:t xml:space="preserve"> que tem como objetivo converter consultas em linguagem natural para consultas SQL</w:t>
      </w:r>
      <w:r>
        <w:t>.</w:t>
      </w:r>
      <w:r w:rsidR="00C11CC5">
        <w:t xml:space="preserve"> </w:t>
      </w:r>
      <w:r w:rsidR="00C11CC5" w:rsidRPr="00C11CC5">
        <w:rPr>
          <w:color w:val="FF0000"/>
        </w:rPr>
        <w:t>Consegui rodar com minhas perguntas?</w:t>
      </w:r>
    </w:p>
    <w:p w:rsidR="00C11CC5" w:rsidRDefault="00C11CC5" w:rsidP="00A07FA5">
      <w:pPr>
        <w:pStyle w:val="SemEspaamento"/>
        <w:jc w:val="both"/>
      </w:pPr>
    </w:p>
    <w:p w:rsidR="00986026" w:rsidRDefault="00C11CC5" w:rsidP="00A07FA5">
      <w:pPr>
        <w:pStyle w:val="SemEspaamento"/>
        <w:jc w:val="both"/>
      </w:pPr>
      <w:r>
        <w:t>Além disso, t</w:t>
      </w:r>
      <w:r w:rsidR="00112290">
        <w:t xml:space="preserve">ambém foi discutida uma estratégia para a geração de um </w:t>
      </w:r>
      <w:proofErr w:type="spellStart"/>
      <w:r w:rsidR="00112290" w:rsidRPr="00112290">
        <w:rPr>
          <w:i/>
        </w:rPr>
        <w:t>dataset</w:t>
      </w:r>
      <w:proofErr w:type="spellEnd"/>
      <w:r w:rsidR="00112290">
        <w:t xml:space="preserve"> para</w:t>
      </w:r>
      <w:r>
        <w:t xml:space="preserve"> uma base de dados específica, chamada </w:t>
      </w:r>
      <w:r w:rsidR="00112290">
        <w:t>BDIC.</w:t>
      </w:r>
      <w:r w:rsidR="001E2E94">
        <w:t xml:space="preserve"> A geração desse </w:t>
      </w:r>
      <w:proofErr w:type="spellStart"/>
      <w:r w:rsidR="001E2E94" w:rsidRPr="00EE36E8">
        <w:rPr>
          <w:i/>
        </w:rPr>
        <w:t>dataset</w:t>
      </w:r>
      <w:proofErr w:type="spellEnd"/>
      <w:r w:rsidR="001E2E94">
        <w:t xml:space="preserve"> foi dividida em duas etapas: (1) geração das consultas SQL e (2) escrita das consultas em linguagem natural para cada um dos comandos </w:t>
      </w:r>
      <w:proofErr w:type="spellStart"/>
      <w:r w:rsidR="001E2E94" w:rsidRPr="001E2E94">
        <w:rPr>
          <w:i/>
        </w:rPr>
        <w:t>select</w:t>
      </w:r>
      <w:proofErr w:type="spellEnd"/>
      <w:r w:rsidR="001E2E94">
        <w:t xml:space="preserve"> definidos na etapa 1. </w:t>
      </w:r>
      <w:r w:rsidR="00553124" w:rsidRPr="00553124">
        <w:rPr>
          <w:color w:val="FF0000"/>
        </w:rPr>
        <w:t>Apesar da etapa 1 ter sido implementada, não foi possível concluir a etapa 2 dentro do prazo estipulado.</w:t>
      </w:r>
    </w:p>
    <w:p w:rsidR="00112290" w:rsidRDefault="00112290" w:rsidP="00A07FA5">
      <w:pPr>
        <w:pStyle w:val="SemEspaamento"/>
        <w:jc w:val="both"/>
      </w:pPr>
    </w:p>
    <w:p w:rsidR="00C12BC3" w:rsidRDefault="00112290" w:rsidP="00A07FA5">
      <w:pPr>
        <w:pStyle w:val="SemEspaamento"/>
        <w:jc w:val="both"/>
      </w:pPr>
      <w:r>
        <w:lastRenderedPageBreak/>
        <w:t xml:space="preserve">Como próximos trabalhos, espera-se evoluir o </w:t>
      </w:r>
      <w:proofErr w:type="spellStart"/>
      <w:r w:rsidRPr="00112290">
        <w:rPr>
          <w:i/>
        </w:rPr>
        <w:t>dataset</w:t>
      </w:r>
      <w:proofErr w:type="spellEnd"/>
      <w:r>
        <w:t xml:space="preserve"> para o BDIC e avaliar </w:t>
      </w:r>
      <w:r w:rsidR="00075034">
        <w:t xml:space="preserve">outros </w:t>
      </w:r>
      <w:r>
        <w:t>modelos</w:t>
      </w:r>
      <w:r w:rsidR="00075034">
        <w:t xml:space="preserve"> que tratam o problema</w:t>
      </w:r>
      <w:r>
        <w:t xml:space="preserve"> NL2SQL.</w:t>
      </w:r>
    </w:p>
    <w:p w:rsidR="00112290" w:rsidRDefault="00112290" w:rsidP="00A07FA5">
      <w:pPr>
        <w:pStyle w:val="SemEspaamento"/>
        <w:jc w:val="both"/>
      </w:pPr>
    </w:p>
    <w:p w:rsidR="001B0C65" w:rsidRDefault="001B0C65" w:rsidP="001B0C65">
      <w:pPr>
        <w:pStyle w:val="SemEspaamento"/>
        <w:jc w:val="both"/>
      </w:pPr>
      <w:r>
        <w:t>O material produzido neste trabalho está em</w:t>
      </w:r>
      <w:r w:rsidR="00176AB9">
        <w:t xml:space="preserve"> </w:t>
      </w:r>
      <w:r w:rsidR="00176AB9" w:rsidRPr="00260C40">
        <w:t>https://github.com/riquebueno/trabalhoIA2</w:t>
      </w:r>
      <w:r>
        <w:t>.</w:t>
      </w:r>
    </w:p>
    <w:p w:rsidR="001B0C65" w:rsidRDefault="001B0C65"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w:t>
      </w:r>
      <w:r w:rsidR="00692D30">
        <w:rPr>
          <w:lang w:val="en-US"/>
        </w:rPr>
        <w:t>1</w:t>
      </w:r>
      <w:r>
        <w:rPr>
          <w:lang w:val="en-US"/>
        </w:rPr>
        <w:t xml:space="preserve">] </w:t>
      </w:r>
      <w:proofErr w:type="spellStart"/>
      <w:r w:rsidRPr="00692D30">
        <w:rPr>
          <w:lang w:val="en-US"/>
        </w:rPr>
        <w:t>Zhong</w:t>
      </w:r>
      <w:proofErr w:type="spellEnd"/>
      <w:r w:rsidRPr="00692D30">
        <w:rPr>
          <w:lang w:val="en-US"/>
        </w:rPr>
        <w:t xml:space="preserve">, Victor, </w:t>
      </w:r>
      <w:proofErr w:type="spellStart"/>
      <w:r w:rsidRPr="00692D30">
        <w:rPr>
          <w:lang w:val="en-US"/>
        </w:rPr>
        <w:t>Caiming</w:t>
      </w:r>
      <w:proofErr w:type="spellEnd"/>
      <w:r w:rsidRPr="00692D30">
        <w:rPr>
          <w:lang w:val="en-US"/>
        </w:rPr>
        <w:t xml:space="preserve"> </w:t>
      </w:r>
      <w:proofErr w:type="spellStart"/>
      <w:r w:rsidRPr="00692D30">
        <w:rPr>
          <w:lang w:val="en-US"/>
        </w:rPr>
        <w:t>Xiong</w:t>
      </w:r>
      <w:proofErr w:type="spellEnd"/>
      <w:r w:rsidRPr="00692D30">
        <w:rPr>
          <w:lang w:val="en-US"/>
        </w:rPr>
        <w:t xml:space="preserve">, and Richard </w:t>
      </w:r>
      <w:proofErr w:type="spellStart"/>
      <w:r w:rsidRPr="00692D30">
        <w:rPr>
          <w:lang w:val="en-US"/>
        </w:rPr>
        <w:t>Socher</w:t>
      </w:r>
      <w:proofErr w:type="spellEnd"/>
      <w:r w:rsidRPr="00692D30">
        <w:rPr>
          <w:lang w:val="en-US"/>
        </w:rPr>
        <w:t xml:space="preserve">. </w:t>
      </w:r>
      <w:r w:rsidRPr="009E3A9A">
        <w:t xml:space="preserve">"Seq2SQL: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097937" w:rsidRPr="009E3A9A" w:rsidRDefault="0008085B" w:rsidP="00A07FA5">
      <w:pPr>
        <w:pStyle w:val="SemEspaamento"/>
        <w:jc w:val="both"/>
      </w:pPr>
      <w:r w:rsidRPr="00692D30">
        <w:rPr>
          <w:lang w:val="en-US"/>
        </w:rPr>
        <w:t>[</w:t>
      </w:r>
      <w:r w:rsidR="00692D30" w:rsidRPr="00692D30">
        <w:rPr>
          <w:lang w:val="en-US"/>
        </w:rPr>
        <w:t>2</w:t>
      </w:r>
      <w:r w:rsidRPr="00692D30">
        <w:rPr>
          <w:lang w:val="en-US"/>
        </w:rPr>
        <w:t xml:space="preserve">] Xu, </w:t>
      </w:r>
      <w:proofErr w:type="spellStart"/>
      <w:r w:rsidRPr="00692D30">
        <w:rPr>
          <w:lang w:val="en-US"/>
        </w:rPr>
        <w:t>Xiaojun</w:t>
      </w:r>
      <w:proofErr w:type="spellEnd"/>
      <w:r w:rsidRPr="00692D30">
        <w:rPr>
          <w:lang w:val="en-US"/>
        </w:rPr>
        <w:t xml:space="preserve">, Chang Liu, and Dawn Song. </w:t>
      </w:r>
      <w:r w:rsidRPr="009E3A9A">
        <w:t>"</w:t>
      </w:r>
      <w:proofErr w:type="spellStart"/>
      <w:r w:rsidRPr="009E3A9A">
        <w:t>SQLNet</w:t>
      </w:r>
      <w:proofErr w:type="spellEnd"/>
      <w:r w:rsidRPr="009E3A9A">
        <w:t xml:space="preserve">: </w:t>
      </w:r>
      <w:proofErr w:type="spellStart"/>
      <w:r w:rsidRPr="009E3A9A">
        <w:t>Generating</w:t>
      </w:r>
      <w:proofErr w:type="spellEnd"/>
      <w:r w:rsidRPr="009E3A9A">
        <w:t xml:space="preserve"> </w:t>
      </w:r>
      <w:proofErr w:type="spellStart"/>
      <w:r w:rsidRPr="009E3A9A">
        <w:t>Structured</w:t>
      </w:r>
      <w:proofErr w:type="spellEnd"/>
      <w:r w:rsidRPr="009E3A9A">
        <w:t xml:space="preserve">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32666D" w:rsidRPr="009E3A9A" w:rsidRDefault="0032666D" w:rsidP="009E3A9A">
      <w:pPr>
        <w:pStyle w:val="SemEspaamento"/>
        <w:jc w:val="both"/>
      </w:pPr>
      <w:r w:rsidRPr="00692D30">
        <w:rPr>
          <w:lang w:val="en-US"/>
        </w:rPr>
        <w:t>[</w:t>
      </w:r>
      <w:r w:rsidR="00692D30" w:rsidRPr="00692D30">
        <w:rPr>
          <w:lang w:val="en-US"/>
        </w:rPr>
        <w:t>3</w:t>
      </w:r>
      <w:r w:rsidRPr="00692D30">
        <w:rPr>
          <w:lang w:val="en-US"/>
        </w:rPr>
        <w:t xml:space="preserve">] </w:t>
      </w:r>
      <w:proofErr w:type="spellStart"/>
      <w:r w:rsidRPr="00692D30">
        <w:rPr>
          <w:lang w:val="en-US"/>
        </w:rPr>
        <w:t>Sutskever</w:t>
      </w:r>
      <w:proofErr w:type="spellEnd"/>
      <w:r w:rsidRPr="00692D30">
        <w:rPr>
          <w:lang w:val="en-US"/>
        </w:rPr>
        <w:t xml:space="preserve">, Ilya, Oriol </w:t>
      </w:r>
      <w:proofErr w:type="spellStart"/>
      <w:r w:rsidRPr="00692D30">
        <w:rPr>
          <w:lang w:val="en-US"/>
        </w:rPr>
        <w:t>Vinyals</w:t>
      </w:r>
      <w:proofErr w:type="spellEnd"/>
      <w:r w:rsidRPr="00692D30">
        <w:rPr>
          <w:lang w:val="en-US"/>
        </w:rPr>
        <w:t xml:space="preserve">, and Quoc V. Le. </w:t>
      </w:r>
      <w:r w:rsidRPr="009E3A9A">
        <w:t>"</w:t>
      </w:r>
      <w:proofErr w:type="spellStart"/>
      <w:r w:rsidRPr="009E3A9A">
        <w:t>Sequence</w:t>
      </w:r>
      <w:proofErr w:type="spellEnd"/>
      <w:r w:rsidRPr="009E3A9A">
        <w:t xml:space="preserve"> </w:t>
      </w:r>
      <w:proofErr w:type="spellStart"/>
      <w:r w:rsidRPr="009E3A9A">
        <w:t>to</w:t>
      </w:r>
      <w:proofErr w:type="spellEnd"/>
      <w:r w:rsidRPr="009E3A9A">
        <w:t xml:space="preserve"> </w:t>
      </w:r>
      <w:proofErr w:type="spellStart"/>
      <w:r w:rsidRPr="009E3A9A">
        <w:t>sequence</w:t>
      </w:r>
      <w:proofErr w:type="spellEnd"/>
      <w:r w:rsidRPr="009E3A9A">
        <w:t xml:space="preserve"> </w:t>
      </w:r>
      <w:proofErr w:type="spellStart"/>
      <w:r w:rsidRPr="009E3A9A">
        <w:t>learning</w:t>
      </w:r>
      <w:proofErr w:type="spellEnd"/>
      <w:r w:rsidRPr="009E3A9A">
        <w:t xml:space="preserve"> with neural networks." Advances in neural information processing systems. 2014.</w:t>
      </w:r>
    </w:p>
    <w:p w:rsidR="0032666D" w:rsidRPr="009E3A9A" w:rsidRDefault="0032666D" w:rsidP="009E3A9A">
      <w:pPr>
        <w:pStyle w:val="SemEspaamento"/>
        <w:jc w:val="both"/>
      </w:pPr>
      <w:r w:rsidRPr="009E3A9A">
        <w:t>[</w:t>
      </w:r>
      <w:r w:rsidR="00692D30">
        <w:t>4</w:t>
      </w: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4F67AD" w:rsidRPr="00BC3D0D" w:rsidRDefault="004F67AD" w:rsidP="00A07FA5">
      <w:pPr>
        <w:pStyle w:val="SemEspaamento"/>
        <w:jc w:val="both"/>
      </w:pPr>
      <w:r w:rsidRPr="00BC3D0D">
        <w:t>[</w:t>
      </w:r>
      <w:r w:rsidR="00692D30">
        <w:t>5</w:t>
      </w:r>
      <w:r w:rsidRPr="00BC3D0D">
        <w:t>]</w:t>
      </w:r>
      <w:r w:rsidR="00BC3D0D" w:rsidRPr="00BC3D0D">
        <w:t xml:space="preserve"> Site https://visit.crowdflower.com/WC-2017-Data-Science-Report_LP.html acessado em 12/06/2018.</w:t>
      </w:r>
    </w:p>
    <w:p w:rsidR="00097937" w:rsidRPr="00BC3D0D" w:rsidRDefault="00097937" w:rsidP="00A07FA5">
      <w:pPr>
        <w:pStyle w:val="SemEspaamento"/>
        <w:jc w:val="both"/>
      </w:pPr>
      <w:r w:rsidRPr="00BC3D0D">
        <w:t>[</w:t>
      </w:r>
      <w:r w:rsidR="00692D30">
        <w:t>6</w:t>
      </w:r>
      <w:r w:rsidRPr="00BC3D0D">
        <w:t xml:space="preserve">] </w:t>
      </w:r>
      <w:r w:rsidR="00BC3D0D">
        <w:t xml:space="preserve">Site </w:t>
      </w:r>
      <w:r w:rsidR="00916B18" w:rsidRPr="00BC3D0D">
        <w:t>https://www.mturk.com acessado em 12/06/2018.</w:t>
      </w:r>
    </w:p>
    <w:p w:rsidR="0009696A" w:rsidRPr="00BC3D0D" w:rsidRDefault="0009696A" w:rsidP="00A07FA5">
      <w:pPr>
        <w:pStyle w:val="SemEspaamento"/>
        <w:jc w:val="both"/>
      </w:pPr>
      <w:r w:rsidRPr="00BC3D0D">
        <w:t>[</w:t>
      </w:r>
      <w:r w:rsidR="00692D30">
        <w:t>7</w:t>
      </w: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973765" w:rsidRPr="00BC3D0D" w:rsidRDefault="00BC3D0D" w:rsidP="00A07FA5">
      <w:pPr>
        <w:pStyle w:val="SemEspaamento"/>
        <w:jc w:val="both"/>
      </w:pPr>
      <w:r w:rsidRPr="00BC3D0D">
        <w:t>[</w:t>
      </w:r>
      <w:r w:rsidR="00692D30">
        <w:t>8</w:t>
      </w:r>
      <w:r w:rsidRPr="00BC3D0D">
        <w:t>] Site https://pt.wikipedia.org/wiki/NoSQL acessado em 12/06/2018.</w:t>
      </w:r>
    </w:p>
    <w:p w:rsidR="00973765" w:rsidRPr="00BC3D0D" w:rsidRDefault="00973765" w:rsidP="00A07FA5">
      <w:pPr>
        <w:pStyle w:val="SemEspaamento"/>
        <w:jc w:val="both"/>
      </w:pPr>
      <w:r w:rsidRPr="00BC3D0D">
        <w:t>[</w:t>
      </w:r>
      <w:r w:rsidR="00692D30">
        <w:t>9</w:t>
      </w:r>
      <w:r w:rsidRPr="00BC3D0D">
        <w:t xml:space="preserve">] </w:t>
      </w:r>
      <w:r w:rsidR="00BC3D0D" w:rsidRPr="00BC3D0D">
        <w:t>Site http://hadoop.apache.org acessado em 12/06/2018.</w:t>
      </w:r>
    </w:p>
    <w:p w:rsidR="00973765" w:rsidRPr="00BC3D0D" w:rsidRDefault="00BC3D0D" w:rsidP="00973765">
      <w:pPr>
        <w:pStyle w:val="SemEspaamento"/>
        <w:jc w:val="both"/>
      </w:pPr>
      <w:r w:rsidRPr="00BC3D0D">
        <w:t>[</w:t>
      </w:r>
      <w:r w:rsidR="00692D30">
        <w:t>10</w:t>
      </w:r>
      <w:r w:rsidRPr="00BC3D0D">
        <w:t>] Site https://www.oracle.com/br/database/index.html acessado em 12/06/2018.</w:t>
      </w:r>
    </w:p>
    <w:p w:rsidR="00973765" w:rsidRPr="00BC3D0D" w:rsidRDefault="00BC3D0D" w:rsidP="00973765">
      <w:pPr>
        <w:pStyle w:val="SemEspaamento"/>
        <w:jc w:val="both"/>
      </w:pPr>
      <w:r w:rsidRPr="00BC3D0D">
        <w:t>[</w:t>
      </w:r>
      <w:r w:rsidR="00692D30">
        <w:t>11</w:t>
      </w:r>
      <w:r w:rsidRPr="00BC3D0D">
        <w:t>] Site https://www.microsoft.com/en-us/sql-server/sql-server-2017 acessado em 12/06/2018.</w:t>
      </w:r>
    </w:p>
    <w:p w:rsidR="00244BC7" w:rsidRDefault="00244BC7" w:rsidP="00973765">
      <w:pPr>
        <w:pStyle w:val="SemEspaamento"/>
        <w:jc w:val="both"/>
      </w:pPr>
      <w:r>
        <w:t>[</w:t>
      </w:r>
      <w:r w:rsidR="00692D30">
        <w:t>12</w:t>
      </w: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D61CD1" w:rsidRPr="00EB7E88" w:rsidRDefault="00D61CD1" w:rsidP="00973765">
      <w:pPr>
        <w:pStyle w:val="SemEspaamento"/>
        <w:jc w:val="both"/>
      </w:pPr>
      <w:r w:rsidRPr="00EB7E88">
        <w:t>[</w:t>
      </w:r>
      <w:r w:rsidR="00692D30">
        <w:t>13</w:t>
      </w:r>
      <w:r w:rsidRPr="00EB7E88">
        <w:t>] https://github.com/salesforce/WikiSQL</w:t>
      </w:r>
      <w:r w:rsidR="00A147AE" w:rsidRPr="00EB7E88">
        <w:t xml:space="preserve"> </w:t>
      </w:r>
      <w:r w:rsidR="001E5EED">
        <w:t xml:space="preserve">acessado </w:t>
      </w:r>
      <w:r w:rsidR="00A147AE" w:rsidRPr="00EB7E88">
        <w:t>em 12/06/2018.</w:t>
      </w:r>
    </w:p>
    <w:p w:rsidR="00973765" w:rsidRDefault="00044426" w:rsidP="00A07FA5">
      <w:pPr>
        <w:pStyle w:val="SemEspaamento"/>
        <w:jc w:val="both"/>
      </w:pPr>
      <w:r>
        <w:t>[</w:t>
      </w:r>
      <w:r w:rsidR="00692D30">
        <w:t>14</w:t>
      </w:r>
      <w:r>
        <w:t>] Site https://pytorch.org acessado em 12/06/2018.</w:t>
      </w:r>
    </w:p>
    <w:p w:rsidR="00B32C74" w:rsidRDefault="00B32C74" w:rsidP="00B32C74">
      <w:pPr>
        <w:pStyle w:val="SemEspaamento"/>
        <w:jc w:val="both"/>
      </w:pPr>
      <w:r>
        <w:t>[</w:t>
      </w:r>
      <w:r w:rsidR="00692D30">
        <w:t>15</w:t>
      </w:r>
      <w:r>
        <w:t xml:space="preserve">] </w:t>
      </w:r>
      <w:r>
        <w:t>https://github.com/matheuss/google-translate-api</w:t>
      </w:r>
    </w:p>
    <w:p w:rsidR="000E42AE" w:rsidRDefault="000E42AE" w:rsidP="00B32C74">
      <w:pPr>
        <w:pStyle w:val="SemEspaamento"/>
        <w:jc w:val="both"/>
      </w:pPr>
      <w:r>
        <w:t>[</w:t>
      </w:r>
      <w:r w:rsidR="00692D30">
        <w:t>16</w:t>
      </w:r>
      <w:r>
        <w:t>] https://translate.google.com</w:t>
      </w:r>
    </w:p>
    <w:p w:rsidR="006306BE" w:rsidRPr="00EB7E88" w:rsidRDefault="006306BE" w:rsidP="00A07FA5">
      <w:pPr>
        <w:pStyle w:val="SemEspaamento"/>
        <w:jc w:val="both"/>
      </w:pPr>
      <w:r>
        <w:t>[1</w:t>
      </w:r>
      <w:r w:rsidR="00886E14">
        <w:t>7</w:t>
      </w:r>
      <w:r>
        <w:t xml:space="preserve">] Site </w:t>
      </w:r>
      <w:r w:rsidRPr="006306BE">
        <w:t>https://en.wikipedia.org/wiki/View_%28SQL%29</w:t>
      </w:r>
      <w:r>
        <w:t xml:space="preserve"> acessado em 15/06/2018.</w:t>
      </w:r>
    </w:p>
    <w:sectPr w:rsidR="006306BE"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15872"/>
    <w:rsid w:val="00022EFD"/>
    <w:rsid w:val="0002750F"/>
    <w:rsid w:val="00033DE4"/>
    <w:rsid w:val="000436D0"/>
    <w:rsid w:val="00043E16"/>
    <w:rsid w:val="00044426"/>
    <w:rsid w:val="000604F6"/>
    <w:rsid w:val="00060FAC"/>
    <w:rsid w:val="000641DD"/>
    <w:rsid w:val="00075034"/>
    <w:rsid w:val="0008085B"/>
    <w:rsid w:val="00081C46"/>
    <w:rsid w:val="00082E8D"/>
    <w:rsid w:val="000925F7"/>
    <w:rsid w:val="000926B3"/>
    <w:rsid w:val="0009696A"/>
    <w:rsid w:val="00096F6A"/>
    <w:rsid w:val="00097937"/>
    <w:rsid w:val="000A0A4A"/>
    <w:rsid w:val="000B4313"/>
    <w:rsid w:val="000C18BF"/>
    <w:rsid w:val="000C5F6A"/>
    <w:rsid w:val="000D776E"/>
    <w:rsid w:val="000E42AE"/>
    <w:rsid w:val="000F0A66"/>
    <w:rsid w:val="00106596"/>
    <w:rsid w:val="00106B00"/>
    <w:rsid w:val="00112290"/>
    <w:rsid w:val="001124C8"/>
    <w:rsid w:val="001132E8"/>
    <w:rsid w:val="001164AA"/>
    <w:rsid w:val="00116ADD"/>
    <w:rsid w:val="00117637"/>
    <w:rsid w:val="00155860"/>
    <w:rsid w:val="001624BE"/>
    <w:rsid w:val="00176AB9"/>
    <w:rsid w:val="001B0C65"/>
    <w:rsid w:val="001B3386"/>
    <w:rsid w:val="001C7D94"/>
    <w:rsid w:val="001E2E94"/>
    <w:rsid w:val="001E5DAB"/>
    <w:rsid w:val="001E5EED"/>
    <w:rsid w:val="001F0494"/>
    <w:rsid w:val="00203ACA"/>
    <w:rsid w:val="00211C0C"/>
    <w:rsid w:val="0023578E"/>
    <w:rsid w:val="00242ADC"/>
    <w:rsid w:val="00242CDB"/>
    <w:rsid w:val="00244BC7"/>
    <w:rsid w:val="002534EE"/>
    <w:rsid w:val="00260C40"/>
    <w:rsid w:val="00262122"/>
    <w:rsid w:val="00274A57"/>
    <w:rsid w:val="00281BFC"/>
    <w:rsid w:val="00283CF5"/>
    <w:rsid w:val="002918F2"/>
    <w:rsid w:val="00293A67"/>
    <w:rsid w:val="002A3149"/>
    <w:rsid w:val="002C150E"/>
    <w:rsid w:val="002C3DB3"/>
    <w:rsid w:val="002C5538"/>
    <w:rsid w:val="002F3A57"/>
    <w:rsid w:val="002F6A48"/>
    <w:rsid w:val="0030522A"/>
    <w:rsid w:val="00307FE0"/>
    <w:rsid w:val="00310C1E"/>
    <w:rsid w:val="00317188"/>
    <w:rsid w:val="00322EB2"/>
    <w:rsid w:val="00323666"/>
    <w:rsid w:val="0032666D"/>
    <w:rsid w:val="003267E0"/>
    <w:rsid w:val="0033788B"/>
    <w:rsid w:val="00337EC5"/>
    <w:rsid w:val="00353C2E"/>
    <w:rsid w:val="00372055"/>
    <w:rsid w:val="00394128"/>
    <w:rsid w:val="00397067"/>
    <w:rsid w:val="003B7777"/>
    <w:rsid w:val="003D029C"/>
    <w:rsid w:val="003D1838"/>
    <w:rsid w:val="003D3144"/>
    <w:rsid w:val="003E0A4B"/>
    <w:rsid w:val="003E0B81"/>
    <w:rsid w:val="003E7E5F"/>
    <w:rsid w:val="003F5CFB"/>
    <w:rsid w:val="003F6387"/>
    <w:rsid w:val="00401F6D"/>
    <w:rsid w:val="00405213"/>
    <w:rsid w:val="004104BB"/>
    <w:rsid w:val="004124E6"/>
    <w:rsid w:val="00415368"/>
    <w:rsid w:val="00415DAB"/>
    <w:rsid w:val="00436FD7"/>
    <w:rsid w:val="00450078"/>
    <w:rsid w:val="00454645"/>
    <w:rsid w:val="00456860"/>
    <w:rsid w:val="00471394"/>
    <w:rsid w:val="004910FF"/>
    <w:rsid w:val="004B025D"/>
    <w:rsid w:val="004B788D"/>
    <w:rsid w:val="004D05C7"/>
    <w:rsid w:val="004D3088"/>
    <w:rsid w:val="004E388E"/>
    <w:rsid w:val="004E51DC"/>
    <w:rsid w:val="004F67AD"/>
    <w:rsid w:val="00505C9D"/>
    <w:rsid w:val="00521390"/>
    <w:rsid w:val="00525F74"/>
    <w:rsid w:val="00542168"/>
    <w:rsid w:val="00546878"/>
    <w:rsid w:val="00550876"/>
    <w:rsid w:val="00553124"/>
    <w:rsid w:val="005572EA"/>
    <w:rsid w:val="0055764E"/>
    <w:rsid w:val="00557732"/>
    <w:rsid w:val="00562524"/>
    <w:rsid w:val="0057035C"/>
    <w:rsid w:val="00576E79"/>
    <w:rsid w:val="005926B0"/>
    <w:rsid w:val="00597B09"/>
    <w:rsid w:val="005A0220"/>
    <w:rsid w:val="005A1C4A"/>
    <w:rsid w:val="005A7B6B"/>
    <w:rsid w:val="005C1ADF"/>
    <w:rsid w:val="005D4CF5"/>
    <w:rsid w:val="005D7C56"/>
    <w:rsid w:val="005E4BFD"/>
    <w:rsid w:val="005F5B3E"/>
    <w:rsid w:val="0061102F"/>
    <w:rsid w:val="00613264"/>
    <w:rsid w:val="00626807"/>
    <w:rsid w:val="006306BE"/>
    <w:rsid w:val="00640C7B"/>
    <w:rsid w:val="00645B05"/>
    <w:rsid w:val="00655524"/>
    <w:rsid w:val="00661F95"/>
    <w:rsid w:val="00671AA4"/>
    <w:rsid w:val="00682806"/>
    <w:rsid w:val="0068316B"/>
    <w:rsid w:val="00692D30"/>
    <w:rsid w:val="00696A7F"/>
    <w:rsid w:val="006A4069"/>
    <w:rsid w:val="006A65E4"/>
    <w:rsid w:val="006C5AE4"/>
    <w:rsid w:val="006F25B9"/>
    <w:rsid w:val="00703783"/>
    <w:rsid w:val="007117BE"/>
    <w:rsid w:val="007140E3"/>
    <w:rsid w:val="00722F59"/>
    <w:rsid w:val="007271F7"/>
    <w:rsid w:val="007431D7"/>
    <w:rsid w:val="0075212C"/>
    <w:rsid w:val="007558ED"/>
    <w:rsid w:val="00763E7C"/>
    <w:rsid w:val="007707E0"/>
    <w:rsid w:val="0077328A"/>
    <w:rsid w:val="007812F1"/>
    <w:rsid w:val="007C0A33"/>
    <w:rsid w:val="007C7C2B"/>
    <w:rsid w:val="007E27C7"/>
    <w:rsid w:val="00801AA6"/>
    <w:rsid w:val="00807845"/>
    <w:rsid w:val="008105EC"/>
    <w:rsid w:val="00817E80"/>
    <w:rsid w:val="00822FA6"/>
    <w:rsid w:val="00824716"/>
    <w:rsid w:val="00860E91"/>
    <w:rsid w:val="008615BB"/>
    <w:rsid w:val="0087326D"/>
    <w:rsid w:val="00886E14"/>
    <w:rsid w:val="00896A3B"/>
    <w:rsid w:val="008A08F6"/>
    <w:rsid w:val="008A5137"/>
    <w:rsid w:val="008B3B6B"/>
    <w:rsid w:val="008B42FC"/>
    <w:rsid w:val="008B4949"/>
    <w:rsid w:val="008C0B4E"/>
    <w:rsid w:val="008E1841"/>
    <w:rsid w:val="008E204A"/>
    <w:rsid w:val="00903621"/>
    <w:rsid w:val="0090373D"/>
    <w:rsid w:val="00916B18"/>
    <w:rsid w:val="00922B07"/>
    <w:rsid w:val="00925F1E"/>
    <w:rsid w:val="00941E53"/>
    <w:rsid w:val="009432C7"/>
    <w:rsid w:val="009434E7"/>
    <w:rsid w:val="00950643"/>
    <w:rsid w:val="0095632C"/>
    <w:rsid w:val="00964421"/>
    <w:rsid w:val="00967B43"/>
    <w:rsid w:val="009716C8"/>
    <w:rsid w:val="0097326A"/>
    <w:rsid w:val="00973765"/>
    <w:rsid w:val="00983F26"/>
    <w:rsid w:val="00986026"/>
    <w:rsid w:val="009B3FC4"/>
    <w:rsid w:val="009B4D78"/>
    <w:rsid w:val="009C6A06"/>
    <w:rsid w:val="009E0CA1"/>
    <w:rsid w:val="009E0E81"/>
    <w:rsid w:val="009E3A9A"/>
    <w:rsid w:val="009E4F9C"/>
    <w:rsid w:val="009F6F47"/>
    <w:rsid w:val="00A065E6"/>
    <w:rsid w:val="00A07FA5"/>
    <w:rsid w:val="00A11A53"/>
    <w:rsid w:val="00A147AE"/>
    <w:rsid w:val="00A14953"/>
    <w:rsid w:val="00A306AE"/>
    <w:rsid w:val="00A40BFA"/>
    <w:rsid w:val="00A467BB"/>
    <w:rsid w:val="00A50159"/>
    <w:rsid w:val="00A5032D"/>
    <w:rsid w:val="00A5695C"/>
    <w:rsid w:val="00A60E27"/>
    <w:rsid w:val="00A63D6D"/>
    <w:rsid w:val="00A64760"/>
    <w:rsid w:val="00A67CE1"/>
    <w:rsid w:val="00A831DA"/>
    <w:rsid w:val="00A859AC"/>
    <w:rsid w:val="00AB5922"/>
    <w:rsid w:val="00AD4E54"/>
    <w:rsid w:val="00AD4FD5"/>
    <w:rsid w:val="00AE0911"/>
    <w:rsid w:val="00AE3A3A"/>
    <w:rsid w:val="00B01231"/>
    <w:rsid w:val="00B05F78"/>
    <w:rsid w:val="00B06D7B"/>
    <w:rsid w:val="00B103C5"/>
    <w:rsid w:val="00B3134C"/>
    <w:rsid w:val="00B3166C"/>
    <w:rsid w:val="00B32C74"/>
    <w:rsid w:val="00B47474"/>
    <w:rsid w:val="00B50B07"/>
    <w:rsid w:val="00B6583D"/>
    <w:rsid w:val="00B80AEE"/>
    <w:rsid w:val="00B863B7"/>
    <w:rsid w:val="00BA5388"/>
    <w:rsid w:val="00BB301F"/>
    <w:rsid w:val="00BB44E2"/>
    <w:rsid w:val="00BB71BA"/>
    <w:rsid w:val="00BC3D0D"/>
    <w:rsid w:val="00BC632E"/>
    <w:rsid w:val="00BD34C9"/>
    <w:rsid w:val="00BF1560"/>
    <w:rsid w:val="00BF74A4"/>
    <w:rsid w:val="00C0022B"/>
    <w:rsid w:val="00C11032"/>
    <w:rsid w:val="00C11CC5"/>
    <w:rsid w:val="00C12BC3"/>
    <w:rsid w:val="00C17EB6"/>
    <w:rsid w:val="00C21E90"/>
    <w:rsid w:val="00C315D9"/>
    <w:rsid w:val="00C53BF8"/>
    <w:rsid w:val="00C560D0"/>
    <w:rsid w:val="00C6096C"/>
    <w:rsid w:val="00C70013"/>
    <w:rsid w:val="00C8638B"/>
    <w:rsid w:val="00C8735A"/>
    <w:rsid w:val="00CA317D"/>
    <w:rsid w:val="00CB6FF1"/>
    <w:rsid w:val="00CD4AE5"/>
    <w:rsid w:val="00CF5874"/>
    <w:rsid w:val="00D02D03"/>
    <w:rsid w:val="00D15219"/>
    <w:rsid w:val="00D2175E"/>
    <w:rsid w:val="00D232B5"/>
    <w:rsid w:val="00D24AD8"/>
    <w:rsid w:val="00D33F8B"/>
    <w:rsid w:val="00D34339"/>
    <w:rsid w:val="00D40C70"/>
    <w:rsid w:val="00D41A94"/>
    <w:rsid w:val="00D42AF6"/>
    <w:rsid w:val="00D46409"/>
    <w:rsid w:val="00D57F45"/>
    <w:rsid w:val="00D61CD1"/>
    <w:rsid w:val="00D73295"/>
    <w:rsid w:val="00D77CE6"/>
    <w:rsid w:val="00D962F1"/>
    <w:rsid w:val="00DA1F3D"/>
    <w:rsid w:val="00DB7F85"/>
    <w:rsid w:val="00DC074B"/>
    <w:rsid w:val="00DC0EE2"/>
    <w:rsid w:val="00DD1004"/>
    <w:rsid w:val="00DD18D6"/>
    <w:rsid w:val="00DD19C1"/>
    <w:rsid w:val="00DD5A63"/>
    <w:rsid w:val="00DF5D91"/>
    <w:rsid w:val="00E06145"/>
    <w:rsid w:val="00E162D5"/>
    <w:rsid w:val="00E2560D"/>
    <w:rsid w:val="00E26441"/>
    <w:rsid w:val="00E327E9"/>
    <w:rsid w:val="00E33F94"/>
    <w:rsid w:val="00E37C50"/>
    <w:rsid w:val="00E5577F"/>
    <w:rsid w:val="00E5693F"/>
    <w:rsid w:val="00E76C3D"/>
    <w:rsid w:val="00E82DA1"/>
    <w:rsid w:val="00E83D0A"/>
    <w:rsid w:val="00E844B8"/>
    <w:rsid w:val="00EA1B0F"/>
    <w:rsid w:val="00EA32E4"/>
    <w:rsid w:val="00EB7E88"/>
    <w:rsid w:val="00ED0931"/>
    <w:rsid w:val="00EE36E8"/>
    <w:rsid w:val="00EE3C3C"/>
    <w:rsid w:val="00EE7AAD"/>
    <w:rsid w:val="00EF13EB"/>
    <w:rsid w:val="00EF199D"/>
    <w:rsid w:val="00EF27AC"/>
    <w:rsid w:val="00F02009"/>
    <w:rsid w:val="00F04E7A"/>
    <w:rsid w:val="00F20EB0"/>
    <w:rsid w:val="00F21F52"/>
    <w:rsid w:val="00F31E5E"/>
    <w:rsid w:val="00F365BE"/>
    <w:rsid w:val="00F43F49"/>
    <w:rsid w:val="00F54127"/>
    <w:rsid w:val="00F55ECB"/>
    <w:rsid w:val="00F56412"/>
    <w:rsid w:val="00F56CF0"/>
    <w:rsid w:val="00F56D2F"/>
    <w:rsid w:val="00F62214"/>
    <w:rsid w:val="00F80137"/>
    <w:rsid w:val="00F86EC9"/>
    <w:rsid w:val="00F87B72"/>
    <w:rsid w:val="00F90588"/>
    <w:rsid w:val="00F922C4"/>
    <w:rsid w:val="00F926DB"/>
    <w:rsid w:val="00F927B8"/>
    <w:rsid w:val="00FA1D1F"/>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5" Type="http://schemas.openxmlformats.org/officeDocument/2006/relationships/theme" Target="theme/theme1.xm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9375</TotalTime>
  <Pages>8</Pages>
  <Words>2719</Words>
  <Characters>14688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562</cp:revision>
  <cp:lastPrinted>2018-06-12T18:54:00Z</cp:lastPrinted>
  <dcterms:created xsi:type="dcterms:W3CDTF">2018-06-05T20:16:00Z</dcterms:created>
  <dcterms:modified xsi:type="dcterms:W3CDTF">2018-06-15T16:34:00Z</dcterms:modified>
</cp:coreProperties>
</file>