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C3" w:rsidRPr="00C12BC3" w:rsidRDefault="00C12BC3" w:rsidP="00C12BC3">
      <w:pPr>
        <w:pStyle w:val="SemEspaamento"/>
        <w:jc w:val="center"/>
        <w:rPr>
          <w:b/>
        </w:rPr>
      </w:pPr>
      <w:r w:rsidRPr="00C12BC3">
        <w:rPr>
          <w:b/>
        </w:rPr>
        <w:t xml:space="preserve">Avaliação da aplicabilidade do </w:t>
      </w:r>
      <w:proofErr w:type="spellStart"/>
      <w:r w:rsidRPr="00C12BC3">
        <w:rPr>
          <w:b/>
        </w:rPr>
        <w:t>SQLNet</w:t>
      </w:r>
      <w:proofErr w:type="spellEnd"/>
      <w:r w:rsidRPr="00C12BC3">
        <w:rPr>
          <w:b/>
        </w:rPr>
        <w:t xml:space="preserve"> na conversão de consultas em linguagem n</w:t>
      </w:r>
      <w:r>
        <w:rPr>
          <w:b/>
        </w:rPr>
        <w:t xml:space="preserve">atural para </w:t>
      </w:r>
      <w:r w:rsidRPr="00C12BC3">
        <w:rPr>
          <w:b/>
        </w:rPr>
        <w:t>consultas SQL a uma Base Integrada Corporativa</w:t>
      </w:r>
    </w:p>
    <w:p w:rsidR="00C12BC3" w:rsidRDefault="00C12BC3" w:rsidP="00C12BC3">
      <w:pPr>
        <w:pStyle w:val="SemEspaamento"/>
        <w:jc w:val="center"/>
      </w:pPr>
    </w:p>
    <w:p w:rsidR="00C12BC3" w:rsidRDefault="00C12BC3" w:rsidP="00C12BC3">
      <w:pPr>
        <w:pStyle w:val="SemEspaamento"/>
        <w:jc w:val="center"/>
      </w:pPr>
      <w:r>
        <w:t>Henrique Bueno Rodrigues (henriquebueno@id.uff.br)</w:t>
      </w:r>
    </w:p>
    <w:p w:rsidR="00C12BC3" w:rsidRDefault="00C12BC3" w:rsidP="00C12BC3">
      <w:pPr>
        <w:pStyle w:val="SemEspaamento"/>
        <w:jc w:val="center"/>
      </w:pPr>
      <w:r>
        <w:t>Universidade Federal Fluminense</w:t>
      </w:r>
    </w:p>
    <w:p w:rsidR="00C12BC3" w:rsidRDefault="00C12BC3" w:rsidP="00C12BC3">
      <w:pPr>
        <w:pStyle w:val="SemEspaamento"/>
        <w:jc w:val="center"/>
      </w:pPr>
      <w: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Default="00C12BC3" w:rsidP="00A07FA5">
      <w:pPr>
        <w:pStyle w:val="SemEspaamento"/>
        <w:jc w:val="both"/>
      </w:pPr>
      <w:r>
        <w:t>Pendente</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t xml:space="preserve"> e </w:t>
      </w:r>
      <w:proofErr w:type="spellStart"/>
      <w:r>
        <w:t>Hadoop</w:t>
      </w:r>
      <w:proofErr w:type="spellEnd"/>
      <w:r w:rsidR="00973765">
        <w:t xml:space="preserve"> []</w:t>
      </w:r>
      <w:r>
        <w:t>, sistemas de corporações pequenas, médias e grandes ainda possuem enorme acoplamento e dependência de bancos de dados relacionais, tais como Oracle</w:t>
      </w:r>
      <w:r w:rsidR="00973765">
        <w:t xml:space="preserve"> []</w:t>
      </w:r>
      <w:r>
        <w:t xml:space="preserve"> e SQL Server</w:t>
      </w:r>
      <w:r w:rsidR="00973765">
        <w:t xml:space="preserve"> []</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demanda enorme de Democratização da Informação </w:t>
      </w:r>
      <w:r w:rsidR="00244BC7">
        <w:t xml:space="preserve">[] </w:t>
      </w:r>
      <w:r>
        <w:t>por parte de usuários corporativos que desejam explorar seus dados além das limitadas interfaces de sistemas e que não conhecem a linguagem SQL.</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D15219">
        <w:t>Natural-</w:t>
      </w:r>
      <w:proofErr w:type="spellStart"/>
      <w:r w:rsidR="00D15219" w:rsidRPr="00D15219">
        <w:t>Language</w:t>
      </w:r>
      <w:proofErr w:type="spellEnd"/>
      <w:r w:rsidR="00D15219" w:rsidRPr="00D15219">
        <w:t>-</w:t>
      </w:r>
      <w:proofErr w:type="spellStart"/>
      <w:r w:rsidR="00D15219" w:rsidRPr="00D15219">
        <w:t>to</w:t>
      </w:r>
      <w:proofErr w:type="spellEnd"/>
      <w:r w:rsidR="00D15219" w:rsidRPr="00D15219">
        <w:t xml:space="preserve">-SQL (NL2SQL), </w:t>
      </w:r>
      <w:r w:rsidR="00D15219">
        <w:t xml:space="preserve">que </w:t>
      </w:r>
      <w:r w:rsidR="00D15219" w:rsidRPr="00D15219">
        <w:t>é 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75212C">
        <w:t xml:space="preserve"> que </w:t>
      </w:r>
      <w:r w:rsidR="00655524">
        <w:t>tem recebido com uma frequência alta submissões de trabalhos.</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9F6F47" w:rsidRDefault="009F6F47" w:rsidP="00A07FA5">
      <w:pPr>
        <w:pStyle w:val="SemEspaamento"/>
        <w:jc w:val="both"/>
      </w:pP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r w:rsidR="00C12BC3" w:rsidRPr="00C12BC3">
        <w:rPr>
          <w:b/>
        </w:rPr>
        <w:t xml:space="preserve">Avaliação </w:t>
      </w:r>
      <w:proofErr w:type="spellStart"/>
      <w:r w:rsidR="00C12BC3" w:rsidRPr="00C12BC3">
        <w:rPr>
          <w:b/>
        </w:rPr>
        <w:t>WikiSQL</w:t>
      </w:r>
      <w:proofErr w:type="spellEnd"/>
    </w:p>
    <w:p w:rsidR="00C12BC3" w:rsidRDefault="00C12BC3" w:rsidP="00A07FA5">
      <w:pPr>
        <w:pStyle w:val="SemEspaamento"/>
        <w:jc w:val="both"/>
      </w:pPr>
    </w:p>
    <w:p w:rsidR="00C12BC3" w:rsidRPr="00C12BC3" w:rsidRDefault="00C12BC3" w:rsidP="00A07FA5">
      <w:pPr>
        <w:pStyle w:val="SemEspaamento"/>
        <w:jc w:val="both"/>
        <w:rPr>
          <w:lang w:val="en-US"/>
        </w:rPr>
      </w:pPr>
      <w:r>
        <w:t xml:space="preserve">Rodei Seq2SQL. Entendi a estrutura do </w:t>
      </w:r>
      <w:proofErr w:type="spellStart"/>
      <w:r>
        <w:t>WikiSQL</w:t>
      </w:r>
      <w:proofErr w:type="spellEnd"/>
      <w:r>
        <w:t>.</w:t>
      </w:r>
      <w:r w:rsidR="00C8735A">
        <w:t xml:space="preserve"> </w:t>
      </w:r>
      <w:proofErr w:type="spellStart"/>
      <w:r w:rsidRPr="00C12BC3">
        <w:rPr>
          <w:lang w:val="en-US"/>
        </w:rPr>
        <w:t>Cada</w:t>
      </w:r>
      <w:proofErr w:type="spellEnd"/>
      <w:r w:rsidRPr="00C12BC3">
        <w:rPr>
          <w:lang w:val="en-US"/>
        </w:rPr>
        <w:t xml:space="preserve"> </w:t>
      </w:r>
      <w:proofErr w:type="spellStart"/>
      <w:r w:rsidRPr="00C12BC3">
        <w:rPr>
          <w:lang w:val="en-US"/>
        </w:rPr>
        <w:t>tabela</w:t>
      </w:r>
      <w:proofErr w:type="spellEnd"/>
      <w:r w:rsidRPr="00C12BC3">
        <w:rPr>
          <w:lang w:val="en-US"/>
        </w:rPr>
        <w:t xml:space="preserve"> </w:t>
      </w:r>
      <w:proofErr w:type="spellStart"/>
      <w:r w:rsidRPr="00C12BC3">
        <w:rPr>
          <w:lang w:val="en-US"/>
        </w:rPr>
        <w:t>só</w:t>
      </w:r>
      <w:proofErr w:type="spellEnd"/>
      <w:r w:rsidRPr="00C12BC3">
        <w:rPr>
          <w:lang w:val="en-US"/>
        </w:rPr>
        <w:t xml:space="preserve"> </w:t>
      </w:r>
      <w:proofErr w:type="spellStart"/>
      <w:r w:rsidRPr="00C12BC3">
        <w:rPr>
          <w:lang w:val="en-US"/>
        </w:rPr>
        <w:t>aparece</w:t>
      </w:r>
      <w:proofErr w:type="spellEnd"/>
      <w:r w:rsidRPr="00C12BC3">
        <w:rPr>
          <w:lang w:val="en-US"/>
        </w:rPr>
        <w:t xml:space="preserve"> </w:t>
      </w:r>
      <w:proofErr w:type="spellStart"/>
      <w:proofErr w:type="gramStart"/>
      <w:r w:rsidRPr="00C12BC3">
        <w:rPr>
          <w:lang w:val="en-US"/>
        </w:rPr>
        <w:t>na</w:t>
      </w:r>
      <w:proofErr w:type="spellEnd"/>
      <w:proofErr w:type="gramEnd"/>
      <w:r w:rsidRPr="00C12BC3">
        <w:rPr>
          <w:lang w:val="en-US"/>
        </w:rPr>
        <w:t xml:space="preserve"> base de </w:t>
      </w:r>
      <w:proofErr w:type="spellStart"/>
      <w:r w:rsidRPr="00C12BC3">
        <w:rPr>
          <w:lang w:val="en-US"/>
        </w:rPr>
        <w:t>treinamento</w:t>
      </w:r>
      <w:proofErr w:type="spellEnd"/>
      <w:r w:rsidRPr="00C12BC3">
        <w:rPr>
          <w:lang w:val="en-US"/>
        </w:rPr>
        <w:t xml:space="preserve">, </w:t>
      </w:r>
      <w:proofErr w:type="spellStart"/>
      <w:r w:rsidRPr="00C12BC3">
        <w:rPr>
          <w:lang w:val="en-US"/>
        </w:rPr>
        <w:t>desenvolvimento</w:t>
      </w:r>
      <w:proofErr w:type="spellEnd"/>
      <w:r w:rsidRPr="00C12BC3">
        <w:rPr>
          <w:lang w:val="en-US"/>
        </w:rPr>
        <w:t xml:space="preserve"> </w:t>
      </w:r>
      <w:proofErr w:type="spellStart"/>
      <w:r w:rsidRPr="00C12BC3">
        <w:rPr>
          <w:lang w:val="en-US"/>
        </w:rPr>
        <w:t>ou</w:t>
      </w:r>
      <w:proofErr w:type="spellEnd"/>
      <w:r w:rsidRPr="00C12BC3">
        <w:rPr>
          <w:lang w:val="en-US"/>
        </w:rPr>
        <w:t xml:space="preserve"> de teste: The queries in </w:t>
      </w:r>
      <w:proofErr w:type="spellStart"/>
      <w:r w:rsidRPr="00C12BC3">
        <w:rPr>
          <w:lang w:val="en-US"/>
        </w:rPr>
        <w:t>WikiSQL</w:t>
      </w:r>
      <w:proofErr w:type="spellEnd"/>
      <w:r w:rsidRPr="00C12BC3">
        <w:rPr>
          <w:lang w:val="en-US"/>
        </w:rPr>
        <w:t xml:space="preserve"> span over a large number of tables and </w:t>
      </w:r>
      <w:r w:rsidRPr="00C12BC3">
        <w:rPr>
          <w:lang w:val="en-US"/>
        </w:rPr>
        <w:lastRenderedPageBreak/>
        <w:t xml:space="preserve">hence presents an unique challenge: the model must be able to not only generalize to new queries, but to new </w:t>
      </w:r>
      <w:bookmarkStart w:id="0" w:name="_GoBack"/>
      <w:bookmarkEnd w:id="0"/>
      <w:r w:rsidRPr="00C12BC3">
        <w:rPr>
          <w:lang w:val="en-US"/>
        </w:rPr>
        <w:t xml:space="preserve">table schema. The tables, their paraphrases, and SQL queries </w:t>
      </w:r>
      <w:proofErr w:type="gramStart"/>
      <w:r w:rsidRPr="00C12BC3">
        <w:rPr>
          <w:lang w:val="en-US"/>
        </w:rPr>
        <w:t>are randomly slotted</w:t>
      </w:r>
      <w:proofErr w:type="gramEnd"/>
      <w:r w:rsidRPr="00C12BC3">
        <w:rPr>
          <w:lang w:val="en-US"/>
        </w:rPr>
        <w:t xml:space="preserve"> into train, dev, and test splits, such that each table is present in exactly one split.</w:t>
      </w:r>
    </w:p>
    <w:p w:rsidR="00C12BC3" w:rsidRPr="00C12BC3" w:rsidRDefault="00C12BC3" w:rsidP="00A07FA5">
      <w:pPr>
        <w:pStyle w:val="SemEspaamento"/>
        <w:jc w:val="both"/>
        <w:rPr>
          <w:lang w:val="en-US"/>
        </w:rPr>
      </w:pPr>
    </w:p>
    <w:p w:rsidR="00C12BC3" w:rsidRPr="00C12BC3" w:rsidRDefault="00C12BC3" w:rsidP="00A07FA5">
      <w:pPr>
        <w:pStyle w:val="SemEspaamento"/>
        <w:jc w:val="both"/>
        <w:rPr>
          <w:lang w:val="en-US"/>
        </w:rPr>
      </w:pPr>
      <w:r w:rsidRPr="00C12BC3">
        <w:rPr>
          <w:lang w:val="en-US"/>
        </w:rPr>
        <w:t xml:space="preserve">We collect </w:t>
      </w:r>
      <w:proofErr w:type="spellStart"/>
      <w:r w:rsidRPr="00C12BC3">
        <w:rPr>
          <w:lang w:val="en-US"/>
        </w:rPr>
        <w:t>WikiSQL</w:t>
      </w:r>
      <w:proofErr w:type="spellEnd"/>
      <w:r w:rsidRPr="00C12BC3">
        <w:rPr>
          <w:lang w:val="en-US"/>
        </w:rPr>
        <w:t xml:space="preserve"> by </w:t>
      </w:r>
      <w:proofErr w:type="gramStart"/>
      <w:r w:rsidRPr="00C12BC3">
        <w:rPr>
          <w:lang w:val="en-US"/>
        </w:rPr>
        <w:t>crowd-sourcing</w:t>
      </w:r>
      <w:proofErr w:type="gramEnd"/>
      <w:r w:rsidRPr="00C12BC3">
        <w:rPr>
          <w:lang w:val="en-US"/>
        </w:rPr>
        <w:t xml:space="preserve"> on Amazon Mechanical Turk in two phases.</w:t>
      </w:r>
    </w:p>
    <w:p w:rsidR="00C12BC3" w:rsidRPr="00C12BC3" w:rsidRDefault="00C12BC3" w:rsidP="00A07FA5">
      <w:pPr>
        <w:pStyle w:val="SemEspaamento"/>
        <w:jc w:val="both"/>
        <w:rPr>
          <w:lang w:val="en-US"/>
        </w:rPr>
      </w:pPr>
    </w:p>
    <w:p w:rsidR="00C12BC3" w:rsidRPr="00C12BC3" w:rsidRDefault="00211C0C" w:rsidP="00A07FA5">
      <w:pPr>
        <w:pStyle w:val="SemEspaamento"/>
        <w:jc w:val="both"/>
        <w:rPr>
          <w:b/>
        </w:rPr>
      </w:pPr>
      <w:r>
        <w:rPr>
          <w:b/>
        </w:rPr>
        <w:t>3</w:t>
      </w:r>
      <w:r w:rsidR="003D1838">
        <w:rPr>
          <w:b/>
        </w:rPr>
        <w:t xml:space="preserve">. </w:t>
      </w:r>
      <w:r w:rsidR="00C12BC3" w:rsidRPr="00C12BC3">
        <w:rPr>
          <w:b/>
        </w:rPr>
        <w:t xml:space="preserve">Avaliação </w:t>
      </w:r>
      <w:proofErr w:type="spellStart"/>
      <w:r w:rsidR="00C12BC3" w:rsidRPr="00C12BC3">
        <w:rPr>
          <w:b/>
        </w:rPr>
        <w:t>SQLNet</w:t>
      </w:r>
      <w:proofErr w:type="spellEnd"/>
    </w:p>
    <w:p w:rsidR="00C12BC3" w:rsidRDefault="00C12BC3" w:rsidP="00A07FA5">
      <w:pPr>
        <w:pStyle w:val="SemEspaamento"/>
        <w:jc w:val="both"/>
      </w:pPr>
    </w:p>
    <w:p w:rsidR="00C12BC3" w:rsidRDefault="00C12BC3" w:rsidP="00A07FA5">
      <w:pPr>
        <w:pStyle w:val="SemEspaamento"/>
        <w:jc w:val="both"/>
      </w:pPr>
      <w:r>
        <w:t>Código para rodar com CPU estava com erro.</w:t>
      </w:r>
    </w:p>
    <w:p w:rsidR="00C12BC3" w:rsidRDefault="00C12BC3" w:rsidP="00A07FA5">
      <w:pPr>
        <w:pStyle w:val="SemEspaamento"/>
        <w:jc w:val="both"/>
      </w:pPr>
      <w:r>
        <w:t>Não estava identificando que não havia GPU, apesar do código estar previsto para isso.</w:t>
      </w:r>
    </w:p>
    <w:p w:rsidR="00C12BC3" w:rsidRDefault="00C12BC3" w:rsidP="00A07FA5">
      <w:pPr>
        <w:pStyle w:val="SemEspaamento"/>
        <w:jc w:val="both"/>
      </w:pPr>
      <w:r>
        <w:t>Python 2.7 dificultou o processo.</w:t>
      </w:r>
    </w:p>
    <w:p w:rsidR="00C12BC3" w:rsidRDefault="00C12BC3" w:rsidP="00A07FA5">
      <w:pPr>
        <w:pStyle w:val="SemEspaamento"/>
        <w:jc w:val="both"/>
      </w:pPr>
      <w:r>
        <w:t>Aparentemente não houve testes para versão com CPU.</w:t>
      </w:r>
    </w:p>
    <w:p w:rsidR="00C12BC3" w:rsidRDefault="00C12BC3" w:rsidP="00A07FA5">
      <w:pPr>
        <w:pStyle w:val="SemEspaamento"/>
        <w:jc w:val="both"/>
      </w:pPr>
      <w:r>
        <w:t>Ajustes foram feitos na semana 28/05 até 03/06.</w:t>
      </w:r>
    </w:p>
    <w:p w:rsidR="00C12BC3" w:rsidRDefault="00C12BC3" w:rsidP="00A07FA5">
      <w:pPr>
        <w:pStyle w:val="SemEspaamento"/>
        <w:jc w:val="both"/>
      </w:pPr>
      <w:r>
        <w:t xml:space="preserve">Não disponibilizou o modelo treinado. Criei uma </w:t>
      </w:r>
      <w:proofErr w:type="spellStart"/>
      <w:r>
        <w:t>issue</w:t>
      </w:r>
      <w:proofErr w:type="spellEnd"/>
      <w:r>
        <w:t xml:space="preserve"> no </w:t>
      </w:r>
      <w:proofErr w:type="spellStart"/>
      <w:r>
        <w:t>git</w:t>
      </w:r>
      <w:proofErr w:type="spellEnd"/>
      <w:r>
        <w:t xml:space="preserve"> do projeto solicitando o modelo treinado.</w:t>
      </w:r>
    </w:p>
    <w:p w:rsidR="00C12BC3" w:rsidRDefault="00C12BC3" w:rsidP="00A07FA5">
      <w:pPr>
        <w:pStyle w:val="SemEspaamento"/>
        <w:jc w:val="both"/>
      </w:pPr>
    </w:p>
    <w:p w:rsidR="00C12BC3" w:rsidRDefault="00C12BC3" w:rsidP="00A07FA5">
      <w:pPr>
        <w:pStyle w:val="SemEspaamento"/>
        <w:jc w:val="both"/>
      </w:pPr>
      <w:r>
        <w:t>&lt;CASO EU CONSIGA O MODELO, PRECISAREI FORMATAR MEUS SCHEMAS E MINHAS PERGUNTAS PARA O FORMATO DE ENTRADA ESPERADO PELO TEST.PY&gt;</w:t>
      </w:r>
    </w:p>
    <w:p w:rsidR="00C12BC3" w:rsidRDefault="00C12BC3" w:rsidP="00A07FA5">
      <w:pPr>
        <w:pStyle w:val="SemEspaamento"/>
        <w:jc w:val="both"/>
      </w:pPr>
    </w:p>
    <w:p w:rsidR="00C12BC3" w:rsidRPr="00C12BC3" w:rsidRDefault="00211C0C" w:rsidP="00A07FA5">
      <w:pPr>
        <w:pStyle w:val="SemEspaamento"/>
        <w:jc w:val="both"/>
        <w:rPr>
          <w:b/>
        </w:rPr>
      </w:pPr>
      <w:r>
        <w:rPr>
          <w:b/>
        </w:rPr>
        <w:t>4</w:t>
      </w:r>
      <w:r w:rsidR="003D1838">
        <w:rPr>
          <w:b/>
        </w:rPr>
        <w:t xml:space="preserve">. </w:t>
      </w:r>
      <w:r w:rsidR="00C12BC3" w:rsidRPr="00C12BC3">
        <w:rPr>
          <w:b/>
        </w:rPr>
        <w:t xml:space="preserve">Proposta de criação de um </w:t>
      </w:r>
      <w:proofErr w:type="spellStart"/>
      <w:r w:rsidR="00C12BC3" w:rsidRPr="00C12BC3">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 para 53% dos entrevistados, a atividade que mais consome tempo dos cientista</w:t>
      </w:r>
      <w:r w:rsidR="004F67AD">
        <w:t>s</w:t>
      </w:r>
      <w:r>
        <w:t xml:space="preserve"> de dados é coletar, rotular, limpar e organizar dados.</w:t>
      </w:r>
      <w:r w:rsidR="004F67AD">
        <w:t xml:space="preserve"> Para que técnicas de aprendizado de máquina sejam aplicadas com eficácia, é primordial que os dados que serão utilizados de entrada sejam tratados e representem 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 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9B3FC4" w:rsidP="00A07FA5">
      <w:pPr>
        <w:pStyle w:val="SemEspaamento"/>
        <w:jc w:val="both"/>
      </w:pPr>
      <w:r>
        <w:t>A base utilizada nesse trabalho se chama Base de Dados Integrada Corporativa (BDIC). A tabela abaixo ilustra a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w:t>
      </w:r>
      <w:r w:rsidR="00EA1B0F">
        <w:lastRenderedPageBreak/>
        <w:t xml:space="preserve">coluna de uma determinada tabela. Assim, </w:t>
      </w:r>
      <w:r w:rsidR="00546878">
        <w:t>é possível gerar</w:t>
      </w:r>
      <w:r w:rsidR="00EA1B0F">
        <w:t xml:space="preserve"> conjunto</w:t>
      </w:r>
      <w:r w:rsidR="00D962F1">
        <w:t>s</w:t>
      </w:r>
      <w:r w:rsidR="00EA1B0F">
        <w:t xml:space="preserve"> de </w:t>
      </w:r>
      <w:r w:rsidR="00546878">
        <w:t>consultas SQL para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t>dataset</w:t>
      </w:r>
      <w:proofErr w:type="spellEnd"/>
      <w:r>
        <w:t xml:space="preserve"> desse trabalho, foi proposto um formato padrão para as consultas. </w:t>
      </w:r>
      <w:r w:rsidR="00542168">
        <w:t xml:space="preserve">A Figura 1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0925F7" w:rsidRDefault="000925F7" w:rsidP="000925F7">
                            <w:pPr>
                              <w:pStyle w:val="SemEspaamento"/>
                              <w:jc w:val="both"/>
                            </w:pPr>
                            <w:r>
                              <w:t xml:space="preserve">SELECT COLUNA (, </w:t>
                            </w:r>
                            <w:proofErr w:type="gramStart"/>
                            <w:r>
                              <w:t>COLUNA)*</w:t>
                            </w:r>
                            <w:proofErr w:type="gramEnd"/>
                          </w:p>
                          <w:p w:rsidR="000925F7" w:rsidRDefault="000925F7" w:rsidP="000925F7">
                            <w:pPr>
                              <w:pStyle w:val="SemEspaamento"/>
                              <w:jc w:val="both"/>
                            </w:pPr>
                            <w:r>
                              <w:t>FROM TABELA</w:t>
                            </w:r>
                          </w:p>
                          <w:p w:rsidR="000925F7" w:rsidRDefault="000925F7" w:rsidP="000925F7">
                            <w:pPr>
                              <w:pStyle w:val="SemEspaamento"/>
                              <w:jc w:val="both"/>
                            </w:pPr>
                            <w:r>
                              <w:t xml:space="preserve">WHERE COLUNA OP VALOR (AND COLUNA OP </w:t>
                            </w:r>
                            <w:proofErr w:type="gramStart"/>
                            <w:r>
                              <w:t>VALOR)*</w:t>
                            </w:r>
                            <w:proofErr w:type="gramEnd"/>
                          </w:p>
                          <w:p w:rsidR="000925F7" w:rsidRDefault="000925F7"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0925F7" w:rsidRDefault="000925F7" w:rsidP="000925F7">
                      <w:pPr>
                        <w:pStyle w:val="SemEspaamento"/>
                        <w:jc w:val="both"/>
                      </w:pPr>
                      <w:r>
                        <w:t xml:space="preserve">SELECT COLUNA (, </w:t>
                      </w:r>
                      <w:proofErr w:type="gramStart"/>
                      <w:r>
                        <w:t>COLUNA)*</w:t>
                      </w:r>
                      <w:proofErr w:type="gramEnd"/>
                    </w:p>
                    <w:p w:rsidR="000925F7" w:rsidRDefault="000925F7" w:rsidP="000925F7">
                      <w:pPr>
                        <w:pStyle w:val="SemEspaamento"/>
                        <w:jc w:val="both"/>
                      </w:pPr>
                      <w:r>
                        <w:t>FROM TABELA</w:t>
                      </w:r>
                    </w:p>
                    <w:p w:rsidR="000925F7" w:rsidRDefault="000925F7" w:rsidP="000925F7">
                      <w:pPr>
                        <w:pStyle w:val="SemEspaamento"/>
                        <w:jc w:val="both"/>
                      </w:pPr>
                      <w:r>
                        <w:t xml:space="preserve">WHERE COLUNA OP VALOR (AND COLUNA OP </w:t>
                      </w:r>
                      <w:proofErr w:type="gramStart"/>
                      <w:r>
                        <w:t>VALOR)*</w:t>
                      </w:r>
                      <w:proofErr w:type="gramEnd"/>
                    </w:p>
                    <w:p w:rsidR="000925F7" w:rsidRDefault="000925F7" w:rsidP="000925F7">
                      <w:pPr>
                        <w:jc w:val="center"/>
                      </w:pPr>
                    </w:p>
                  </w:txbxContent>
                </v:textbox>
                <w10:wrap type="topAndBottom" anchorx="margin"/>
              </v:rect>
            </w:pict>
          </mc:Fallback>
        </mc:AlternateContent>
      </w:r>
      <w:r>
        <w:t xml:space="preserve">Figura 1.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t>TABELA:</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t xml:space="preserve">COLUNA: </w:t>
      </w:r>
      <w:proofErr w:type="spellStart"/>
      <w:r w:rsidR="00394128">
        <w:t>token</w:t>
      </w:r>
      <w:proofErr w:type="spellEnd"/>
      <w:r w:rsidR="00394128">
        <w:t xml:space="preserve"> que identifica uma coluna. D</w:t>
      </w:r>
      <w:r>
        <w:t>epende de TABELA.</w:t>
      </w:r>
    </w:p>
    <w:p w:rsidR="00C12BC3" w:rsidRDefault="00C12BC3" w:rsidP="00557732">
      <w:pPr>
        <w:pStyle w:val="SemEspaamento"/>
        <w:numPr>
          <w:ilvl w:val="0"/>
          <w:numId w:val="1"/>
        </w:numPr>
        <w:jc w:val="both"/>
      </w:pPr>
      <w:r>
        <w:t xml:space="preserve">OP: </w:t>
      </w:r>
      <w:proofErr w:type="spellStart"/>
      <w:r w:rsidR="00394128">
        <w:t>token</w:t>
      </w:r>
      <w:proofErr w:type="spellEnd"/>
      <w:r w:rsidR="00394128">
        <w:t xml:space="preserve"> que identifica um operador. D</w:t>
      </w:r>
      <w:r>
        <w:t>epende de COLUNA.</w:t>
      </w:r>
    </w:p>
    <w:p w:rsidR="00C12BC3" w:rsidRDefault="00C12BC3" w:rsidP="00557732">
      <w:pPr>
        <w:pStyle w:val="SemEspaamento"/>
        <w:numPr>
          <w:ilvl w:val="0"/>
          <w:numId w:val="1"/>
        </w:numPr>
        <w:jc w:val="both"/>
      </w:pPr>
      <w:r>
        <w:t xml:space="preserve">VALOR: </w:t>
      </w:r>
      <w:proofErr w:type="spellStart"/>
      <w:r w:rsidR="00394128">
        <w:t>token</w:t>
      </w:r>
      <w:proofErr w:type="spellEnd"/>
      <w:r w:rsidR="00394128">
        <w:t xml:space="preserve"> que identifica um valor. D</w:t>
      </w:r>
      <w:r>
        <w:t>epende de COLUNA e OPERADOR.</w:t>
      </w:r>
    </w:p>
    <w:p w:rsidR="00C12BC3" w:rsidRDefault="00C12BC3" w:rsidP="00A07FA5">
      <w:pPr>
        <w:pStyle w:val="SemEspaamento"/>
        <w:jc w:val="both"/>
      </w:pPr>
    </w:p>
    <w:p w:rsidR="00C12BC3" w:rsidRDefault="00FB27AE" w:rsidP="00A07FA5">
      <w:pPr>
        <w:pStyle w:val="SemEspaamento"/>
        <w:jc w:val="both"/>
      </w:pPr>
      <w:r>
        <w:t xml:space="preserve">A partir da descrição das tabelas da BDIC (Tabela 1) e o formato padrão das consultas SQL (Figura 1), é possível escrever um algoritmo para gerar um conjunto de consultas. </w:t>
      </w:r>
      <w:r w:rsidR="00C12BC3">
        <w:t>O procedimento</w:t>
      </w:r>
      <w:r w:rsidR="00081C46">
        <w:t xml:space="preserve"> descrito na Figura 2 </w:t>
      </w:r>
      <w:r w:rsidR="00C12BC3">
        <w:t xml:space="preserve">apresenta o </w:t>
      </w:r>
      <w:proofErr w:type="spellStart"/>
      <w:r w:rsidR="00C12BC3">
        <w:t>pseudo-código</w:t>
      </w:r>
      <w:proofErr w:type="spellEnd"/>
      <w:r w:rsidR="00C12BC3">
        <w:t xml:space="preserve"> da geraç</w:t>
      </w:r>
      <w:r>
        <w:t>ão de um conjunto de consultas a serem executadas sobre as tabelas da BDIC.</w:t>
      </w:r>
    </w:p>
    <w:p w:rsidR="00C12BC3" w:rsidRDefault="00C12BC3" w:rsidP="00A07FA5">
      <w:pPr>
        <w:pStyle w:val="SemEspaamento"/>
        <w:jc w:val="both"/>
      </w:pPr>
    </w:p>
    <w:p w:rsidR="00081C46" w:rsidRDefault="00081C46" w:rsidP="00A07FA5">
      <w:pPr>
        <w:pStyle w:val="SemEspaamento"/>
        <w:jc w:val="both"/>
      </w:pPr>
      <w:r>
        <w:rPr>
          <w:noProof/>
        </w:rPr>
        <mc:AlternateContent>
          <mc:Choice Requires="wps">
            <w:drawing>
              <wp:anchor distT="0" distB="0" distL="114300" distR="114300" simplePos="0" relativeHeight="251661312" behindDoc="0" locked="0" layoutInCell="1" allowOverlap="1" wp14:anchorId="2CCFA346" wp14:editId="34B790BE">
                <wp:simplePos x="0" y="0"/>
                <wp:positionH relativeFrom="margin">
                  <wp:posOffset>0</wp:posOffset>
                </wp:positionH>
                <wp:positionV relativeFrom="paragraph">
                  <wp:posOffset>172720</wp:posOffset>
                </wp:positionV>
                <wp:extent cx="5391150" cy="3691890"/>
                <wp:effectExtent l="0" t="0" r="19050" b="22860"/>
                <wp:wrapTopAndBottom/>
                <wp:docPr id="2" name="Retângulo 2"/>
                <wp:cNvGraphicFramePr/>
                <a:graphic xmlns:a="http://schemas.openxmlformats.org/drawingml/2006/main">
                  <a:graphicData uri="http://schemas.microsoft.com/office/word/2010/wordprocessingShape">
                    <wps:wsp>
                      <wps:cNvSpPr/>
                      <wps:spPr>
                        <a:xfrm>
                          <a:off x="0" y="0"/>
                          <a:ext cx="5391150" cy="3691890"/>
                        </a:xfrm>
                        <a:prstGeom prst="rect">
                          <a:avLst/>
                        </a:prstGeom>
                      </wps:spPr>
                      <wps:style>
                        <a:lnRef idx="2">
                          <a:schemeClr val="dk1"/>
                        </a:lnRef>
                        <a:fillRef idx="1">
                          <a:schemeClr val="lt1"/>
                        </a:fillRef>
                        <a:effectRef idx="0">
                          <a:schemeClr val="dk1"/>
                        </a:effectRef>
                        <a:fontRef idx="minor">
                          <a:schemeClr val="dk1"/>
                        </a:fontRef>
                      </wps:style>
                      <wps:txbx>
                        <w:txbxContent>
                          <w:p w:rsidR="00081C46" w:rsidRPr="008615BB" w:rsidRDefault="00081C46"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081C46" w:rsidRPr="008615BB" w:rsidRDefault="00081C46" w:rsidP="00081C46">
                            <w:pPr>
                              <w:pStyle w:val="SemEspaamento"/>
                              <w:ind w:firstLine="708"/>
                              <w:jc w:val="both"/>
                              <w:rPr>
                                <w:i/>
                              </w:rPr>
                            </w:pPr>
                            <w:r w:rsidRPr="008615BB">
                              <w:rPr>
                                <w:i/>
                              </w:rPr>
                              <w:t>Escolha uma tabela T;</w:t>
                            </w:r>
                          </w:p>
                          <w:p w:rsidR="00081C46" w:rsidRPr="008615BB" w:rsidRDefault="00081C46"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081C46" w:rsidRPr="008615BB" w:rsidRDefault="00081C46" w:rsidP="00081C46">
                            <w:pPr>
                              <w:pStyle w:val="SemEspaamento"/>
                              <w:ind w:firstLine="708"/>
                              <w:jc w:val="both"/>
                              <w:rPr>
                                <w:i/>
                              </w:rPr>
                            </w:pPr>
                            <w:proofErr w:type="gramStart"/>
                            <w:r w:rsidRPr="008615BB">
                              <w:rPr>
                                <w:i/>
                              </w:rPr>
                              <w:t>Sim{</w:t>
                            </w:r>
                            <w:proofErr w:type="gramEnd"/>
                          </w:p>
                          <w:p w:rsidR="00081C46" w:rsidRPr="008615BB" w:rsidRDefault="00081C46"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081C46" w:rsidRPr="008615BB" w:rsidRDefault="00081C46"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081C46" w:rsidRPr="008615BB" w:rsidRDefault="00081C46" w:rsidP="00081C46">
                            <w:pPr>
                              <w:pStyle w:val="SemEspaamento"/>
                              <w:ind w:left="708" w:firstLine="708"/>
                              <w:jc w:val="both"/>
                              <w:rPr>
                                <w:i/>
                              </w:rPr>
                            </w:pPr>
                            <w:r w:rsidRPr="008615BB">
                              <w:rPr>
                                <w:i/>
                              </w:rPr>
                              <w:t>3: Escolha Q a quantidade de restrições da cláusula "WHERE";</w:t>
                            </w:r>
                          </w:p>
                          <w:p w:rsidR="00081C46" w:rsidRPr="008615BB" w:rsidRDefault="00081C46" w:rsidP="00081C46">
                            <w:pPr>
                              <w:pStyle w:val="SemEspaamento"/>
                              <w:ind w:left="708" w:firstLine="708"/>
                              <w:jc w:val="both"/>
                              <w:rPr>
                                <w:i/>
                              </w:rPr>
                            </w:pPr>
                            <w:r w:rsidRPr="008615BB">
                              <w:rPr>
                                <w:i/>
                              </w:rPr>
                              <w:t>4: Escolha Q colunas da tabela T;</w:t>
                            </w:r>
                          </w:p>
                          <w:p w:rsidR="00081C46" w:rsidRPr="008615BB" w:rsidRDefault="00081C46" w:rsidP="00081C46">
                            <w:pPr>
                              <w:pStyle w:val="SemEspaamento"/>
                              <w:ind w:left="1416"/>
                              <w:jc w:val="both"/>
                              <w:rPr>
                                <w:i/>
                              </w:rPr>
                            </w:pPr>
                            <w:r w:rsidRPr="008615BB">
                              <w:rPr>
                                <w:i/>
                              </w:rPr>
                              <w:t>5: Para cada uma das Q colunas, escolha P operadores OBS: os valores serão fixos.</w:t>
                            </w:r>
                          </w:p>
                          <w:p w:rsidR="00081C46" w:rsidRPr="008615BB" w:rsidRDefault="00081C46" w:rsidP="00081C46">
                            <w:pPr>
                              <w:pStyle w:val="SemEspaamento"/>
                              <w:ind w:firstLine="708"/>
                              <w:jc w:val="both"/>
                              <w:rPr>
                                <w:i/>
                              </w:rPr>
                            </w:pPr>
                            <w:r w:rsidRPr="008615BB">
                              <w:rPr>
                                <w:i/>
                              </w:rPr>
                              <w:t>}</w:t>
                            </w:r>
                          </w:p>
                          <w:p w:rsidR="00081C46" w:rsidRPr="008615BB" w:rsidRDefault="00081C46" w:rsidP="00081C46">
                            <w:pPr>
                              <w:pStyle w:val="SemEspaamento"/>
                              <w:ind w:firstLine="708"/>
                              <w:jc w:val="both"/>
                              <w:rPr>
                                <w:i/>
                              </w:rPr>
                            </w:pPr>
                            <w:proofErr w:type="gramStart"/>
                            <w:r w:rsidRPr="008615BB">
                              <w:rPr>
                                <w:i/>
                              </w:rPr>
                              <w:t>Não{</w:t>
                            </w:r>
                            <w:proofErr w:type="gramEnd"/>
                          </w:p>
                          <w:p w:rsidR="00081C46" w:rsidRPr="008615BB" w:rsidRDefault="00081C46" w:rsidP="00081C46">
                            <w:pPr>
                              <w:pStyle w:val="SemEspaamento"/>
                              <w:ind w:left="708" w:firstLine="708"/>
                              <w:jc w:val="both"/>
                              <w:rPr>
                                <w:i/>
                              </w:rPr>
                            </w:pPr>
                            <w:r w:rsidRPr="008615BB">
                              <w:rPr>
                                <w:i/>
                              </w:rPr>
                              <w:t>1: Igual;</w:t>
                            </w:r>
                          </w:p>
                          <w:p w:rsidR="00081C46" w:rsidRPr="008615BB" w:rsidRDefault="00081C46" w:rsidP="00081C46">
                            <w:pPr>
                              <w:pStyle w:val="SemEspaamento"/>
                              <w:ind w:left="708" w:firstLine="708"/>
                              <w:jc w:val="both"/>
                              <w:rPr>
                                <w:i/>
                              </w:rPr>
                            </w:pPr>
                            <w:r w:rsidRPr="008615BB">
                              <w:rPr>
                                <w:i/>
                              </w:rPr>
                              <w:t>2: Igual;</w:t>
                            </w:r>
                          </w:p>
                          <w:p w:rsidR="00081C46" w:rsidRPr="008615BB" w:rsidRDefault="00081C46" w:rsidP="00081C46">
                            <w:pPr>
                              <w:pStyle w:val="SemEspaamento"/>
                              <w:ind w:left="1416"/>
                              <w:jc w:val="both"/>
                              <w:rPr>
                                <w:i/>
                              </w:rPr>
                            </w:pPr>
                            <w:r w:rsidRPr="008615BB">
                              <w:rPr>
                                <w:i/>
                              </w:rPr>
                              <w:t>3': Escolha Q a quantidade de restrições da cláusula "WHERE" onde 1&lt;=Q&lt;=K;</w:t>
                            </w:r>
                          </w:p>
                          <w:p w:rsidR="00081C46" w:rsidRPr="008615BB" w:rsidRDefault="00081C46" w:rsidP="00081C46">
                            <w:pPr>
                              <w:pStyle w:val="SemEspaamento"/>
                              <w:ind w:left="1416"/>
                              <w:jc w:val="both"/>
                              <w:rPr>
                                <w:i/>
                              </w:rPr>
                            </w:pPr>
                            <w:r w:rsidRPr="008615BB">
                              <w:rPr>
                                <w:i/>
                              </w:rPr>
                              <w:t>4': Escolha Q colunas da tabela T onde esse conjunto seja subconjunto das colunas escolhidas em 2;</w:t>
                            </w:r>
                          </w:p>
                          <w:p w:rsidR="00081C46" w:rsidRPr="008615BB" w:rsidRDefault="00081C46" w:rsidP="00081C46">
                            <w:pPr>
                              <w:pStyle w:val="SemEspaamento"/>
                              <w:ind w:left="708" w:firstLine="708"/>
                              <w:jc w:val="both"/>
                              <w:rPr>
                                <w:i/>
                              </w:rPr>
                            </w:pPr>
                            <w:r w:rsidRPr="008615BB">
                              <w:rPr>
                                <w:i/>
                              </w:rPr>
                              <w:t>5: Igual.</w:t>
                            </w:r>
                          </w:p>
                          <w:p w:rsidR="00081C46" w:rsidRPr="008615BB" w:rsidRDefault="00081C46" w:rsidP="00081C46">
                            <w:pPr>
                              <w:pStyle w:val="SemEspaamento"/>
                              <w:ind w:firstLine="708"/>
                              <w:jc w:val="both"/>
                              <w:rPr>
                                <w:i/>
                              </w:rPr>
                            </w:pPr>
                            <w:r w:rsidRPr="008615BB">
                              <w:rPr>
                                <w:i/>
                              </w:rPr>
                              <w:t>}</w:t>
                            </w:r>
                          </w:p>
                          <w:p w:rsidR="00081C46" w:rsidRDefault="00081C46" w:rsidP="00081C46">
                            <w:pPr>
                              <w:pStyle w:val="SemEspaamento"/>
                              <w:jc w:val="both"/>
                            </w:pPr>
                            <w:r w:rsidRPr="008615BB">
                              <w:rPr>
                                <w:i/>
                              </w:rPr>
                              <w:t>}</w:t>
                            </w:r>
                          </w:p>
                          <w:p w:rsidR="00081C46" w:rsidRDefault="00081C46"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pt;width:424.5pt;height:2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AabwIAAB4FAAAOAAAAZHJzL2Uyb0RvYy54bWysVEtu2zAQ3RfoHQjuG1nOp7EROTASpCgQ&#10;JEaSImuaIm2hFIcd0pbc4/QquViHlCwHadBF0Y3E4bz5v+HFZVsbtlXoK7AFz49GnCkroazsquDf&#10;nm4+nXPmg7ClMGBVwXfK88vZxw8XjZuqMazBlAoZObF+2riCr0Nw0yzzcq1q4Y/AKUtKDViLQCKu&#10;shJFQ95rk41Ho7OsASwdglTe0+11p+Sz5F9rJcO91l4FZgpOuYX0xfRdxm82uxDTFQq3rmSfhviH&#10;LGpRWQo6uLoWQbANVn+4qiuJ4EGHIwl1BlpXUqUaqJp89Kaax7VwKtVCzfFuaJP/f27l3XaBrCoL&#10;PubMippG9KDCyy+72hhg49ifxvkpwR7dAnvJ0zEW22qs45/KYG3q6W7oqWoDk3R5ejzJ81NqvSTd&#10;8dkkP5+krmcHc4c+fFFQs3goONLQUi/F9tYHCknQPYSEmE6XQDqFnVExB2MflKZCKOQ4WScKqSuD&#10;bCto+OX3PBZDvhIymujKmMEof8/IhL1Rj41mKtFqMBy9Z3iINqBTRLBhMKwrC/h3Y93h91V3tcay&#10;Q7ts09RSfvFmCeWOJonQUdw7eVNRO2+FDwuBxGkaAe1puKePNtAUHPoTZ2vAn+/dRzxRjbScNbQj&#10;Bfc/NgIVZ+arJRJO8pOTuFRJODn9PCYBX2uWrzV2U18BTSKnF8HJdIz4YPZHjVA/0zrPY1RSCSsp&#10;dsFlwL1wFbrdpQdBqvk8wWiRnAi39tHJ6Dz2OdLlqX0W6HpOBaLjHez3SUzfUKvDRksL800AXSXe&#10;HfraT4CWMFGofzDilr+WE+rwrM1+AwAA//8DAFBLAwQUAAYACAAAACEAuwylG9wAAAAHAQAADwAA&#10;AGRycy9kb3ducmV2LnhtbEyPwU7DMBBE70j8g7VI3KhNhNI0ZFNVCE4gKgoHjm68JBH2OordJP17&#10;zAmOOzOaeVttF2fFRGPoPSPcrhQI4sabnluEj/enmwJEiJqNtp4J4UwBtvXlRaVL42d+o+kQW5FK&#10;OJQaoYtxKKUMTUdOh5UfiJP35UenYzrHVppRz6ncWZkplUune04LnR7ooaPm+3ByCH7fn+1u3LxO&#10;L7T+fN5HNS/5I+L11bK7BxFpiX9h+MVP6FAnpqM/sQnCIqRHIkK2zkAkt7jbJOGIkKsiB1lX8j9/&#10;/QMAAP//AwBQSwECLQAUAAYACAAAACEAtoM4kv4AAADhAQAAEwAAAAAAAAAAAAAAAAAAAAAAW0Nv&#10;bnRlbnRfVHlwZXNdLnhtbFBLAQItABQABgAIAAAAIQA4/SH/1gAAAJQBAAALAAAAAAAAAAAAAAAA&#10;AC8BAABfcmVscy8ucmVsc1BLAQItABQABgAIAAAAIQCVSHAabwIAAB4FAAAOAAAAAAAAAAAAAAAA&#10;AC4CAABkcnMvZTJvRG9jLnhtbFBLAQItABQABgAIAAAAIQC7DKUb3AAAAAcBAAAPAAAAAAAAAAAA&#10;AAAAAMkEAABkcnMvZG93bnJldi54bWxQSwUGAAAAAAQABADzAAAA0gUAAAAA&#10;" fillcolor="white [3201]" strokecolor="black [3200]" strokeweight="1pt">
                <v:textbox>
                  <w:txbxContent>
                    <w:p w:rsidR="00081C46" w:rsidRPr="008615BB" w:rsidRDefault="00081C46"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081C46" w:rsidRPr="008615BB" w:rsidRDefault="00081C46" w:rsidP="00081C46">
                      <w:pPr>
                        <w:pStyle w:val="SemEspaamento"/>
                        <w:ind w:firstLine="708"/>
                        <w:jc w:val="both"/>
                        <w:rPr>
                          <w:i/>
                        </w:rPr>
                      </w:pPr>
                      <w:r w:rsidRPr="008615BB">
                        <w:rPr>
                          <w:i/>
                        </w:rPr>
                        <w:t>Escolha uma tabela T;</w:t>
                      </w:r>
                    </w:p>
                    <w:p w:rsidR="00081C46" w:rsidRPr="008615BB" w:rsidRDefault="00081C46"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081C46" w:rsidRPr="008615BB" w:rsidRDefault="00081C46" w:rsidP="00081C46">
                      <w:pPr>
                        <w:pStyle w:val="SemEspaamento"/>
                        <w:ind w:firstLine="708"/>
                        <w:jc w:val="both"/>
                        <w:rPr>
                          <w:i/>
                        </w:rPr>
                      </w:pPr>
                      <w:proofErr w:type="gramStart"/>
                      <w:r w:rsidRPr="008615BB">
                        <w:rPr>
                          <w:i/>
                        </w:rPr>
                        <w:t>Sim{</w:t>
                      </w:r>
                      <w:proofErr w:type="gramEnd"/>
                    </w:p>
                    <w:p w:rsidR="00081C46" w:rsidRPr="008615BB" w:rsidRDefault="00081C46"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081C46" w:rsidRPr="008615BB" w:rsidRDefault="00081C46"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081C46" w:rsidRPr="008615BB" w:rsidRDefault="00081C46" w:rsidP="00081C46">
                      <w:pPr>
                        <w:pStyle w:val="SemEspaamento"/>
                        <w:ind w:left="708" w:firstLine="708"/>
                        <w:jc w:val="both"/>
                        <w:rPr>
                          <w:i/>
                        </w:rPr>
                      </w:pPr>
                      <w:r w:rsidRPr="008615BB">
                        <w:rPr>
                          <w:i/>
                        </w:rPr>
                        <w:t>3: Escolha Q a quantidade de restrições da cláusula "WHERE";</w:t>
                      </w:r>
                    </w:p>
                    <w:p w:rsidR="00081C46" w:rsidRPr="008615BB" w:rsidRDefault="00081C46" w:rsidP="00081C46">
                      <w:pPr>
                        <w:pStyle w:val="SemEspaamento"/>
                        <w:ind w:left="708" w:firstLine="708"/>
                        <w:jc w:val="both"/>
                        <w:rPr>
                          <w:i/>
                        </w:rPr>
                      </w:pPr>
                      <w:r w:rsidRPr="008615BB">
                        <w:rPr>
                          <w:i/>
                        </w:rPr>
                        <w:t>4: Escolha Q colunas da tabela T;</w:t>
                      </w:r>
                    </w:p>
                    <w:p w:rsidR="00081C46" w:rsidRPr="008615BB" w:rsidRDefault="00081C46" w:rsidP="00081C46">
                      <w:pPr>
                        <w:pStyle w:val="SemEspaamento"/>
                        <w:ind w:left="1416"/>
                        <w:jc w:val="both"/>
                        <w:rPr>
                          <w:i/>
                        </w:rPr>
                      </w:pPr>
                      <w:r w:rsidRPr="008615BB">
                        <w:rPr>
                          <w:i/>
                        </w:rPr>
                        <w:t>5: Para cada uma das Q colunas, escolha P operadores OBS: os valores serão fixos.</w:t>
                      </w:r>
                    </w:p>
                    <w:p w:rsidR="00081C46" w:rsidRPr="008615BB" w:rsidRDefault="00081C46" w:rsidP="00081C46">
                      <w:pPr>
                        <w:pStyle w:val="SemEspaamento"/>
                        <w:ind w:firstLine="708"/>
                        <w:jc w:val="both"/>
                        <w:rPr>
                          <w:i/>
                        </w:rPr>
                      </w:pPr>
                      <w:r w:rsidRPr="008615BB">
                        <w:rPr>
                          <w:i/>
                        </w:rPr>
                        <w:t>}</w:t>
                      </w:r>
                    </w:p>
                    <w:p w:rsidR="00081C46" w:rsidRPr="008615BB" w:rsidRDefault="00081C46" w:rsidP="00081C46">
                      <w:pPr>
                        <w:pStyle w:val="SemEspaamento"/>
                        <w:ind w:firstLine="708"/>
                        <w:jc w:val="both"/>
                        <w:rPr>
                          <w:i/>
                        </w:rPr>
                      </w:pPr>
                      <w:proofErr w:type="gramStart"/>
                      <w:r w:rsidRPr="008615BB">
                        <w:rPr>
                          <w:i/>
                        </w:rPr>
                        <w:t>Não{</w:t>
                      </w:r>
                      <w:proofErr w:type="gramEnd"/>
                    </w:p>
                    <w:p w:rsidR="00081C46" w:rsidRPr="008615BB" w:rsidRDefault="00081C46" w:rsidP="00081C46">
                      <w:pPr>
                        <w:pStyle w:val="SemEspaamento"/>
                        <w:ind w:left="708" w:firstLine="708"/>
                        <w:jc w:val="both"/>
                        <w:rPr>
                          <w:i/>
                        </w:rPr>
                      </w:pPr>
                      <w:r w:rsidRPr="008615BB">
                        <w:rPr>
                          <w:i/>
                        </w:rPr>
                        <w:t>1: Igual;</w:t>
                      </w:r>
                    </w:p>
                    <w:p w:rsidR="00081C46" w:rsidRPr="008615BB" w:rsidRDefault="00081C46" w:rsidP="00081C46">
                      <w:pPr>
                        <w:pStyle w:val="SemEspaamento"/>
                        <w:ind w:left="708" w:firstLine="708"/>
                        <w:jc w:val="both"/>
                        <w:rPr>
                          <w:i/>
                        </w:rPr>
                      </w:pPr>
                      <w:r w:rsidRPr="008615BB">
                        <w:rPr>
                          <w:i/>
                        </w:rPr>
                        <w:t>2: Igual;</w:t>
                      </w:r>
                    </w:p>
                    <w:p w:rsidR="00081C46" w:rsidRPr="008615BB" w:rsidRDefault="00081C46" w:rsidP="00081C46">
                      <w:pPr>
                        <w:pStyle w:val="SemEspaamento"/>
                        <w:ind w:left="1416"/>
                        <w:jc w:val="both"/>
                        <w:rPr>
                          <w:i/>
                        </w:rPr>
                      </w:pPr>
                      <w:r w:rsidRPr="008615BB">
                        <w:rPr>
                          <w:i/>
                        </w:rPr>
                        <w:t>3': Escolha Q a quantidade de restrições da cláusula "WHERE" onde 1&lt;=Q&lt;=K;</w:t>
                      </w:r>
                    </w:p>
                    <w:p w:rsidR="00081C46" w:rsidRPr="008615BB" w:rsidRDefault="00081C46" w:rsidP="00081C46">
                      <w:pPr>
                        <w:pStyle w:val="SemEspaamento"/>
                        <w:ind w:left="1416"/>
                        <w:jc w:val="both"/>
                        <w:rPr>
                          <w:i/>
                        </w:rPr>
                      </w:pPr>
                      <w:r w:rsidRPr="008615BB">
                        <w:rPr>
                          <w:i/>
                        </w:rPr>
                        <w:t>4': Escolha Q colunas da tabela T onde esse conjunto seja subconjunto das colunas escolhidas em 2;</w:t>
                      </w:r>
                    </w:p>
                    <w:p w:rsidR="00081C46" w:rsidRPr="008615BB" w:rsidRDefault="00081C46" w:rsidP="00081C46">
                      <w:pPr>
                        <w:pStyle w:val="SemEspaamento"/>
                        <w:ind w:left="708" w:firstLine="708"/>
                        <w:jc w:val="both"/>
                        <w:rPr>
                          <w:i/>
                        </w:rPr>
                      </w:pPr>
                      <w:r w:rsidRPr="008615BB">
                        <w:rPr>
                          <w:i/>
                        </w:rPr>
                        <w:t>5: Igual.</w:t>
                      </w:r>
                    </w:p>
                    <w:p w:rsidR="00081C46" w:rsidRPr="008615BB" w:rsidRDefault="00081C46" w:rsidP="00081C46">
                      <w:pPr>
                        <w:pStyle w:val="SemEspaamento"/>
                        <w:ind w:firstLine="708"/>
                        <w:jc w:val="both"/>
                        <w:rPr>
                          <w:i/>
                        </w:rPr>
                      </w:pPr>
                      <w:r w:rsidRPr="008615BB">
                        <w:rPr>
                          <w:i/>
                        </w:rPr>
                        <w:t>}</w:t>
                      </w:r>
                    </w:p>
                    <w:p w:rsidR="00081C46" w:rsidRDefault="00081C46" w:rsidP="00081C46">
                      <w:pPr>
                        <w:pStyle w:val="SemEspaamento"/>
                        <w:jc w:val="both"/>
                      </w:pPr>
                      <w:r w:rsidRPr="008615BB">
                        <w:rPr>
                          <w:i/>
                        </w:rPr>
                        <w:t>}</w:t>
                      </w:r>
                    </w:p>
                    <w:p w:rsidR="00081C46" w:rsidRDefault="00081C46" w:rsidP="00081C46">
                      <w:pPr>
                        <w:jc w:val="center"/>
                      </w:pPr>
                    </w:p>
                  </w:txbxContent>
                </v:textbox>
                <w10:wrap type="topAndBottom" anchorx="margin"/>
              </v:rect>
            </w:pict>
          </mc:Fallback>
        </mc:AlternateContent>
      </w:r>
    </w:p>
    <w:p w:rsidR="00C12BC3" w:rsidRDefault="00081C46" w:rsidP="00081C46">
      <w:pPr>
        <w:pStyle w:val="SemEspaamento"/>
        <w:jc w:val="center"/>
      </w:pPr>
      <w:r>
        <w:t>Figura 2. Procedimento para geração de consultas SQL para a BDIC</w:t>
      </w:r>
    </w:p>
    <w:p w:rsidR="00081C46" w:rsidRDefault="00081C46" w:rsidP="00A07FA5">
      <w:pPr>
        <w:pStyle w:val="SemEspaamento"/>
        <w:jc w:val="both"/>
      </w:pPr>
    </w:p>
    <w:p w:rsidR="00D57F45" w:rsidRDefault="00D57F45" w:rsidP="00A07FA5">
      <w:pPr>
        <w:pStyle w:val="SemEspaamento"/>
        <w:jc w:val="both"/>
      </w:pPr>
      <w:r>
        <w:t xml:space="preserve">Para a criação do </w:t>
      </w:r>
      <w:proofErr w:type="spellStart"/>
      <w:r>
        <w:t>dataset</w:t>
      </w:r>
      <w:proofErr w:type="spellEnd"/>
      <w:r>
        <w:t xml:space="preserve"> é preciso que para cada uma das consultas SQL geradas, haja uma representação dela em linguagem natural. Apesar de ser possível gerar as consultas relacionadas em linguagem natural, essa abordagem torna o </w:t>
      </w:r>
      <w:proofErr w:type="spellStart"/>
      <w:r>
        <w:t>dataset</w:t>
      </w:r>
      <w:proofErr w:type="spellEnd"/>
      <w:r>
        <w:t xml:space="preserve"> extremamente pobre já que através dele </w:t>
      </w:r>
      <w:r>
        <w:lastRenderedPageBreak/>
        <w:t>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p>
    <w:p w:rsidR="00D57F45" w:rsidRDefault="00D57F45" w:rsidP="00A07FA5">
      <w:pPr>
        <w:pStyle w:val="SemEspaamento"/>
        <w:jc w:val="both"/>
      </w:pPr>
    </w:p>
    <w:p w:rsidR="00260C40" w:rsidRDefault="00260C40" w:rsidP="00A07FA5">
      <w:pPr>
        <w:pStyle w:val="SemEspaamento"/>
        <w:jc w:val="both"/>
      </w:pPr>
      <w:r>
        <w:t xml:space="preserve">O material produzido está disponibilizado em </w:t>
      </w:r>
      <w:r w:rsidRPr="00260C40">
        <w:t>https://github.com/riquebueno/trabalhoIA2</w:t>
      </w:r>
      <w:r w:rsidR="00353C2E">
        <w:t>.</w:t>
      </w:r>
    </w:p>
    <w:p w:rsidR="00260C40" w:rsidRDefault="00260C40" w:rsidP="00A07FA5">
      <w:pPr>
        <w:pStyle w:val="SemEspaamento"/>
        <w:jc w:val="both"/>
      </w:pPr>
    </w:p>
    <w:p w:rsidR="00C12BC3" w:rsidRPr="00C12BC3" w:rsidRDefault="00211C0C" w:rsidP="00A07FA5">
      <w:pPr>
        <w:pStyle w:val="SemEspaamento"/>
        <w:jc w:val="both"/>
        <w:rPr>
          <w:b/>
        </w:rPr>
      </w:pPr>
      <w:r>
        <w:rPr>
          <w:b/>
        </w:rPr>
        <w:t>5</w:t>
      </w:r>
      <w:r w:rsidR="003D1838">
        <w:rPr>
          <w:b/>
        </w:rPr>
        <w:t xml:space="preserve">. </w:t>
      </w:r>
      <w:r w:rsidR="00C12BC3" w:rsidRPr="00C12BC3">
        <w:rPr>
          <w:b/>
        </w:rPr>
        <w:t>Avaliação de uma rede neural para tradução</w:t>
      </w:r>
    </w:p>
    <w:p w:rsidR="00C12BC3" w:rsidRDefault="00C12BC3" w:rsidP="00A07FA5">
      <w:pPr>
        <w:pStyle w:val="SemEspaamento"/>
        <w:jc w:val="both"/>
      </w:pPr>
    </w:p>
    <w:p w:rsidR="00C12BC3" w:rsidRDefault="00C12BC3" w:rsidP="00A07FA5">
      <w:pPr>
        <w:pStyle w:val="SemEspaamento"/>
        <w:jc w:val="both"/>
      </w:pPr>
      <w:r>
        <w:t>https://github.com/matheuss/google-translate-api</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6. </w:t>
      </w:r>
      <w:r w:rsidR="00C12BC3" w:rsidRPr="00C12BC3">
        <w:rPr>
          <w:b/>
        </w:rPr>
        <w:t>Conclusão e Trabalhos Futuros</w:t>
      </w:r>
    </w:p>
    <w:p w:rsidR="00C12BC3" w:rsidRDefault="00C12BC3" w:rsidP="00A07FA5">
      <w:pPr>
        <w:pStyle w:val="SemEspaamento"/>
        <w:jc w:val="both"/>
      </w:pPr>
    </w:p>
    <w:p w:rsidR="00C12BC3" w:rsidRDefault="00C12BC3" w:rsidP="00A07FA5">
      <w:pPr>
        <w:pStyle w:val="SemEspaamento"/>
        <w:jc w:val="both"/>
      </w:pPr>
      <w:r>
        <w:t>Investigar outros artigos que tratam do tema e já obtiveram melhores resultados.</w:t>
      </w:r>
    </w:p>
    <w:p w:rsidR="00C12BC3" w:rsidRDefault="00C12BC3" w:rsidP="00A07FA5">
      <w:pPr>
        <w:pStyle w:val="SemEspaamento"/>
        <w:jc w:val="both"/>
      </w:pPr>
      <w:r>
        <w:t xml:space="preserve">Evoluir o </w:t>
      </w:r>
      <w:proofErr w:type="spellStart"/>
      <w:r>
        <w:t>Dataset</w:t>
      </w:r>
      <w:proofErr w:type="spellEnd"/>
      <w:r>
        <w:t>.</w:t>
      </w:r>
    </w:p>
    <w:p w:rsidR="00096F6A" w:rsidRDefault="00096F6A" w:rsidP="00A07FA5">
      <w:pPr>
        <w:pStyle w:val="SemEspaamento"/>
        <w:jc w:val="both"/>
      </w:pPr>
    </w:p>
    <w:p w:rsidR="00096F6A" w:rsidRDefault="00096F6A" w:rsidP="00A07FA5">
      <w:pPr>
        <w:pStyle w:val="SemEspaamento"/>
        <w:jc w:val="both"/>
      </w:pPr>
      <w:r>
        <w:t xml:space="preserve">Em função de políticas de </w:t>
      </w:r>
      <w:proofErr w:type="spellStart"/>
      <w:r>
        <w:t>sigilosidade</w:t>
      </w:r>
      <w:proofErr w:type="spellEnd"/>
      <w:r>
        <w:t>, o conteúdo das tabelas não é disponibilizado para apoiar a geração do modelo de predição. Esse é um ponto a ser avaliado para próximas atividades.</w:t>
      </w:r>
    </w:p>
    <w:p w:rsidR="00C12BC3" w:rsidRDefault="00C12BC3"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C12BC3" w:rsidRPr="00097937" w:rsidRDefault="00C12BC3" w:rsidP="00A07FA5">
      <w:pPr>
        <w:pStyle w:val="SemEspaamento"/>
        <w:jc w:val="both"/>
      </w:pPr>
      <w:r w:rsidRPr="00097937">
        <w:t xml:space="preserve">[] </w:t>
      </w:r>
      <w:proofErr w:type="spellStart"/>
      <w:r w:rsidRPr="00097937">
        <w:t>WikiSQL</w:t>
      </w:r>
      <w:proofErr w:type="spellEnd"/>
    </w:p>
    <w:p w:rsidR="00097937" w:rsidRDefault="00C12BC3" w:rsidP="00A07FA5">
      <w:pPr>
        <w:pStyle w:val="SemEspaamento"/>
        <w:jc w:val="both"/>
      </w:pPr>
      <w:r w:rsidRPr="00097937">
        <w:t xml:space="preserve">[] </w:t>
      </w:r>
      <w:proofErr w:type="spellStart"/>
      <w:r w:rsidRPr="00097937">
        <w:t>SQLNet</w:t>
      </w:r>
      <w:proofErr w:type="spellEnd"/>
    </w:p>
    <w:p w:rsidR="00C12BC3" w:rsidRPr="00097937" w:rsidRDefault="00C12BC3" w:rsidP="00A07FA5">
      <w:pPr>
        <w:pStyle w:val="SemEspaamento"/>
        <w:jc w:val="both"/>
      </w:pPr>
      <w:r w:rsidRPr="00097937">
        <w:t>[] Seq2Seq: https://papers.nips.cc/paper/5346-sequence-to-sequence-learning-with-neural-networks.pdf e http://emnlp2014.org/papers/pdf/EMNLP2014179.pdf</w:t>
      </w:r>
    </w:p>
    <w:p w:rsidR="004F67AD" w:rsidRPr="00097937" w:rsidRDefault="004F67AD" w:rsidP="00A07FA5">
      <w:pPr>
        <w:pStyle w:val="SemEspaamento"/>
        <w:jc w:val="both"/>
      </w:pPr>
      <w:r w:rsidRPr="00097937">
        <w:t xml:space="preserve">[] </w:t>
      </w:r>
      <w:r w:rsidRPr="00097937">
        <w:t xml:space="preserve">Data </w:t>
      </w:r>
      <w:proofErr w:type="spellStart"/>
      <w:r w:rsidRPr="00097937">
        <w:t>Scientist</w:t>
      </w:r>
      <w:proofErr w:type="spellEnd"/>
      <w:r w:rsidRPr="00097937">
        <w:t xml:space="preserve"> </w:t>
      </w:r>
      <w:proofErr w:type="spellStart"/>
      <w:r w:rsidRPr="00097937">
        <w:t>Report</w:t>
      </w:r>
      <w:proofErr w:type="spellEnd"/>
      <w:r w:rsidRPr="00097937">
        <w:t xml:space="preserve"> 2017</w:t>
      </w:r>
    </w:p>
    <w:p w:rsidR="00097937" w:rsidRPr="00097937" w:rsidRDefault="00097937" w:rsidP="00A07FA5">
      <w:pPr>
        <w:pStyle w:val="SemEspaamento"/>
        <w:jc w:val="both"/>
        <w:rPr>
          <w:lang w:val="en-US"/>
        </w:rPr>
      </w:pPr>
      <w:r w:rsidRPr="00097937">
        <w:rPr>
          <w:lang w:val="en-US"/>
        </w:rPr>
        <w:t xml:space="preserve">[] </w:t>
      </w:r>
      <w:r w:rsidR="00117637">
        <w:rPr>
          <w:lang w:val="en-US"/>
        </w:rPr>
        <w:t>Amazon</w:t>
      </w:r>
    </w:p>
    <w:p w:rsidR="00097937" w:rsidRDefault="00097937" w:rsidP="00A07FA5">
      <w:pPr>
        <w:pStyle w:val="SemEspaamento"/>
        <w:jc w:val="both"/>
        <w:rPr>
          <w:lang w:val="en-US"/>
        </w:rPr>
      </w:pPr>
      <w:r w:rsidRPr="00097937">
        <w:rPr>
          <w:lang w:val="en-US"/>
        </w:rPr>
        <w:t xml:space="preserve">[] </w:t>
      </w:r>
      <w:r w:rsidRPr="00097937">
        <w:rPr>
          <w:lang w:val="en-US"/>
        </w:rPr>
        <w:t>Amazon Mechanical Turk</w:t>
      </w:r>
    </w:p>
    <w:p w:rsidR="00655524" w:rsidRDefault="00655524" w:rsidP="00A07FA5">
      <w:pPr>
        <w:pStyle w:val="SemEspaamento"/>
        <w:jc w:val="both"/>
        <w:rPr>
          <w:lang w:val="en-US"/>
        </w:rPr>
      </w:pPr>
      <w:r>
        <w:rPr>
          <w:lang w:val="en-US"/>
        </w:rPr>
        <w:t xml:space="preserve">[] </w:t>
      </w:r>
      <w:r w:rsidRPr="00655524">
        <w:rPr>
          <w:lang w:val="en-US"/>
        </w:rPr>
        <w:t>https://github.com/salesforce/WikiSQL</w:t>
      </w:r>
    </w:p>
    <w:p w:rsidR="0009696A" w:rsidRPr="00973765" w:rsidRDefault="0009696A" w:rsidP="00A07FA5">
      <w:pPr>
        <w:pStyle w:val="SemEspaamento"/>
        <w:jc w:val="both"/>
        <w:rPr>
          <w:lang w:val="en-US"/>
        </w:rPr>
      </w:pPr>
      <w:r w:rsidRPr="00973765">
        <w:rPr>
          <w:lang w:val="en-US"/>
        </w:rPr>
        <w:t xml:space="preserve">[] </w:t>
      </w:r>
      <w:r w:rsidRPr="0009696A">
        <w:rPr>
          <w:lang w:val="en-US"/>
        </w:rPr>
        <w:t>https://github.com/xiaojunxu/SQLNet</w:t>
      </w:r>
    </w:p>
    <w:p w:rsidR="00973765" w:rsidRPr="00973765" w:rsidRDefault="00973765" w:rsidP="00A07FA5">
      <w:pPr>
        <w:pStyle w:val="SemEspaamento"/>
        <w:jc w:val="both"/>
        <w:rPr>
          <w:lang w:val="en-US"/>
        </w:rPr>
      </w:pPr>
      <w:r w:rsidRPr="00973765">
        <w:rPr>
          <w:lang w:val="en-US"/>
        </w:rPr>
        <w:t xml:space="preserve">[] </w:t>
      </w:r>
      <w:r w:rsidRPr="00973765">
        <w:rPr>
          <w:lang w:val="en-US"/>
        </w:rPr>
        <w:t>NoSQL</w:t>
      </w:r>
    </w:p>
    <w:p w:rsidR="00973765" w:rsidRPr="00973765" w:rsidRDefault="00973765" w:rsidP="00A07FA5">
      <w:pPr>
        <w:pStyle w:val="SemEspaamento"/>
        <w:jc w:val="both"/>
        <w:rPr>
          <w:lang w:val="en-US"/>
        </w:rPr>
      </w:pPr>
      <w:r w:rsidRPr="00973765">
        <w:rPr>
          <w:lang w:val="en-US"/>
        </w:rPr>
        <w:t>[] Hadoop</w:t>
      </w:r>
    </w:p>
    <w:p w:rsidR="00973765" w:rsidRDefault="00973765" w:rsidP="00973765">
      <w:pPr>
        <w:pStyle w:val="SemEspaamento"/>
        <w:jc w:val="both"/>
      </w:pPr>
      <w:r>
        <w:t xml:space="preserve">[] </w:t>
      </w:r>
      <w:r>
        <w:t>Oracle</w:t>
      </w:r>
    </w:p>
    <w:p w:rsidR="00973765" w:rsidRDefault="00973765" w:rsidP="00973765">
      <w:pPr>
        <w:pStyle w:val="SemEspaamento"/>
        <w:jc w:val="both"/>
      </w:pPr>
      <w:r>
        <w:t xml:space="preserve">[] </w:t>
      </w:r>
      <w:r>
        <w:t>SQL Server</w:t>
      </w:r>
    </w:p>
    <w:p w:rsidR="00244BC7" w:rsidRDefault="00244BC7" w:rsidP="00973765">
      <w:pPr>
        <w:pStyle w:val="SemEspaamento"/>
        <w:jc w:val="both"/>
      </w:pPr>
      <w:r>
        <w:t xml:space="preserve">[] </w:t>
      </w:r>
      <w:r w:rsidRPr="00244BC7">
        <w:t>https://www.forbes.com/sites/bernardmarr/2017/07/24/what-is-data-democratization-a-super-simple-explanation-and-the-key-pros-and-cons</w:t>
      </w:r>
    </w:p>
    <w:p w:rsidR="00973765" w:rsidRPr="00973765" w:rsidRDefault="00973765" w:rsidP="00A07FA5">
      <w:pPr>
        <w:pStyle w:val="SemEspaamento"/>
        <w:jc w:val="both"/>
      </w:pPr>
    </w:p>
    <w:sectPr w:rsidR="00973765" w:rsidRPr="00973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22EFD"/>
    <w:rsid w:val="000641DD"/>
    <w:rsid w:val="00081C46"/>
    <w:rsid w:val="00082E8D"/>
    <w:rsid w:val="000925F7"/>
    <w:rsid w:val="000926B3"/>
    <w:rsid w:val="0009696A"/>
    <w:rsid w:val="00096F6A"/>
    <w:rsid w:val="00097937"/>
    <w:rsid w:val="000C5F6A"/>
    <w:rsid w:val="00117637"/>
    <w:rsid w:val="001E5DAB"/>
    <w:rsid w:val="00211C0C"/>
    <w:rsid w:val="0023578E"/>
    <w:rsid w:val="00244BC7"/>
    <w:rsid w:val="00260C40"/>
    <w:rsid w:val="00307FE0"/>
    <w:rsid w:val="00337EC5"/>
    <w:rsid w:val="00353C2E"/>
    <w:rsid w:val="00394128"/>
    <w:rsid w:val="00397067"/>
    <w:rsid w:val="003B7777"/>
    <w:rsid w:val="003D1838"/>
    <w:rsid w:val="003F5CFB"/>
    <w:rsid w:val="00454645"/>
    <w:rsid w:val="004B025D"/>
    <w:rsid w:val="004E51DC"/>
    <w:rsid w:val="004F67AD"/>
    <w:rsid w:val="00542168"/>
    <w:rsid w:val="00546878"/>
    <w:rsid w:val="0055764E"/>
    <w:rsid w:val="00557732"/>
    <w:rsid w:val="005F5B3E"/>
    <w:rsid w:val="00645B05"/>
    <w:rsid w:val="00655524"/>
    <w:rsid w:val="006A4069"/>
    <w:rsid w:val="0075212C"/>
    <w:rsid w:val="007707E0"/>
    <w:rsid w:val="007C0A33"/>
    <w:rsid w:val="007E27C7"/>
    <w:rsid w:val="008615BB"/>
    <w:rsid w:val="008E204A"/>
    <w:rsid w:val="00973765"/>
    <w:rsid w:val="009B3FC4"/>
    <w:rsid w:val="009F6F47"/>
    <w:rsid w:val="00A07FA5"/>
    <w:rsid w:val="00A306AE"/>
    <w:rsid w:val="00B80AEE"/>
    <w:rsid w:val="00B863B7"/>
    <w:rsid w:val="00BB301F"/>
    <w:rsid w:val="00BD34C9"/>
    <w:rsid w:val="00C12BC3"/>
    <w:rsid w:val="00C8735A"/>
    <w:rsid w:val="00CB6FF1"/>
    <w:rsid w:val="00D02D03"/>
    <w:rsid w:val="00D15219"/>
    <w:rsid w:val="00D232B5"/>
    <w:rsid w:val="00D34339"/>
    <w:rsid w:val="00D46409"/>
    <w:rsid w:val="00D57F45"/>
    <w:rsid w:val="00D962F1"/>
    <w:rsid w:val="00DD18D6"/>
    <w:rsid w:val="00E06145"/>
    <w:rsid w:val="00E26441"/>
    <w:rsid w:val="00E82DA1"/>
    <w:rsid w:val="00EA1B0F"/>
    <w:rsid w:val="00FB27AE"/>
    <w:rsid w:val="00FB687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3839</TotalTime>
  <Pages>4</Pages>
  <Words>1178</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117</cp:revision>
  <cp:lastPrinted>2018-06-06T14:56:00Z</cp:lastPrinted>
  <dcterms:created xsi:type="dcterms:W3CDTF">2018-06-05T20:16:00Z</dcterms:created>
  <dcterms:modified xsi:type="dcterms:W3CDTF">2018-06-11T18:13:00Z</dcterms:modified>
</cp:coreProperties>
</file>