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ptos" w:hAnsi="Aptos"/>
          <w:b/>
          <w:color w:val="00A859"/>
          <w:sz w:val="22"/>
        </w:rPr>
        <w:t>START CAMPUS  ·  STAND</w:t>
      </w:r>
    </w:p>
    <w:p>
      <w:pPr>
        <w:spacing w:before="400" w:after="200"/>
        <w:jc w:val="center"/>
      </w:pPr>
      <w:r>
        <w:rPr>
          <w:rFonts w:ascii="Aptos Display" w:hAnsi="Aptos Display"/>
          <w:b/>
          <w:color w:val="0A3638"/>
          <w:sz w:val="60"/>
        </w:rPr>
        <w:t>Guia Prático de Implementação</w:t>
        <w:br/>
        <w:t>para a Equipa de IT</w:t>
      </w:r>
    </w:p>
    <w:p>
      <w:pPr>
        <w:spacing w:after="560"/>
        <w:jc w:val="center"/>
      </w:pPr>
      <w:r>
        <w:rPr>
          <w:rFonts w:ascii="Aptos" w:hAnsi="Aptos"/>
          <w:color w:val="5E6C76"/>
          <w:sz w:val="26"/>
        </w:rPr>
        <w:t>STAND — Plataforma de Governação Ambiental</w:t>
        <w:br/>
        <w:t>Fase 1, segurança, integrações e Operação NEST / BMS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E9F5EF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3638"/>
                <w:sz w:val="18"/>
              </w:rPr>
              <w:t>VERSÃO</w:t>
              <w:br/>
              <w:t>Main / release validada</w:t>
            </w:r>
          </w:p>
        </w:tc>
        <w:tc>
          <w:tcPr>
            <w:tcW w:type="dxa" w:w="3211"/>
            <w:shd w:fill="E9F5EF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3638"/>
                <w:sz w:val="18"/>
              </w:rPr>
              <w:t>AMBIENTE</w:t>
              <w:br/>
              <w:t>Staging → Produção</w:t>
            </w:r>
          </w:p>
        </w:tc>
        <w:tc>
          <w:tcPr>
            <w:tcW w:type="dxa" w:w="3211"/>
            <w:shd w:fill="E9F5EF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A3638"/>
                <w:sz w:val="18"/>
              </w:rPr>
              <w:t>SEGURANÇA</w:t>
              <w:br/>
              <w:t>Segredos fora do Git</w:t>
            </w:r>
          </w:p>
        </w:tc>
      </w:tr>
    </w:tbl>
    <w:p/>
    <w:p>
      <w:pPr>
        <w:spacing w:before="440"/>
        <w:jc w:val="center"/>
      </w:pPr>
      <w:r>
        <w:rPr>
          <w:i/>
          <w:color w:val="5E6C76"/>
          <w:sz w:val="18"/>
        </w:rPr>
        <w:t>Documento de passagem para IT. Não contém palavras-passe, chaves, tokens ou URLs privadas.</w:t>
      </w:r>
    </w:p>
    <w:p>
      <w:r>
        <w:br w:type="page"/>
      </w:r>
    </w:p>
    <w:p>
      <w:pPr>
        <w:pStyle w:val="Heading1"/>
      </w:pPr>
      <w:r>
        <w:t>Guia prático de implementação — Fase 1 — STAND / Start Campus</w:t>
      </w:r>
    </w:p>
    <w:p>
      <w:pPr>
        <w:spacing w:after="100"/>
      </w:pPr>
      <w:r>
        <w:t>Estado do código: preparado para uma instalação corporativa com os componentes do diagrama fornecido.</w:t>
      </w:r>
    </w:p>
    <w:p>
      <w:pPr>
        <w:spacing w:after="100"/>
      </w:pPr>
      <w:r>
        <w:t>Autor da versão de referência no Git: RmdRicardo &lt;rmd@startcampus.pt&gt;.</w:t>
      </w:r>
    </w:p>
    <w:p>
      <w:pPr>
        <w:spacing w:after="100"/>
      </w:pPr>
      <w:r>
        <w:t>Âmbito: publicação da STAND numa zona DMZ com duas instâncias web, dois nós de aplicação, MariaDB Galera, armazenamento Synology compatível com S3, Valkey, ACC, Microsoft 365 e mecanismos de recuperação.</w:t>
      </w:r>
    </w:p>
    <w:p>
      <w:pPr>
        <w:pStyle w:val="Quote"/>
      </w:pPr>
      <w:r>
        <w:t>Este guia é um procedimento de implementação. Não contém endereços internos, passwords, chaves, IDs de tenants, certificados nem configuração real de firewall. Esses valores devem ser definidos pelo IT no cofre corporativo e no registo de alterações.</w:t>
      </w:r>
    </w:p>
    <w:p>
      <w:pPr>
        <w:spacing w:after="100"/>
      </w:pPr>
      <w:r>
        <w:t>---</w:t>
      </w:r>
    </w:p>
    <w:p>
      <w:pPr>
        <w:pStyle w:val="Heading2"/>
      </w:pPr>
      <w:r>
        <w:t>1. Decisão de arquitetura</w:t>
      </w:r>
    </w:p>
    <w:p>
      <w:pPr>
        <w:spacing w:after="100"/>
      </w:pPr>
      <w:r>
        <w:t>A arquitetura proposta funciona como Fase 1, com os seguintes princípios já suportados pelo código:</w:t>
      </w:r>
    </w:p>
    <w:p>
      <w:pPr>
        <w:pStyle w:val="ListBullet"/>
      </w:pPr>
      <w:r>
        <w:t>A aplicação é stateless: qualquer um dos dois nós APP pode receber um pedido. A sessão é um JWT assinado localmente e, em cada pedido, é revalidada contra a base de dados por utilizador, estado de conta e sessionVersion (revogação).</w:t>
      </w:r>
    </w:p>
    <w:p>
      <w:pPr>
        <w:pStyle w:val="ListBullet"/>
      </w:pPr>
      <w:r>
        <w:t>A base de dados é acedida por um VIP/endpoint único de MariaDB Galera; os dois nós APP nunca usam discos locais para persistência de negócio.</w:t>
      </w:r>
    </w:p>
    <w:p>
      <w:pPr>
        <w:pStyle w:val="ListBullet"/>
      </w:pPr>
      <w:r>
        <w:t>Os ficheiros são entregues por uma rota same-origin da aplicação, com autorização reavaliada. Em produção, a origem é um bucket S3 compatível no Synology; o browser não recebe chaves do object storage.</w:t>
      </w:r>
    </w:p>
    <w:p>
      <w:pPr>
        <w:pStyle w:val="ListBullet"/>
      </w:pPr>
      <w:r>
        <w:t>Limites de login são comuns aos dois nós através de Valkey, evitando que um atacante contorne o limite alternando entre APP node 1 e APP node 2.</w:t>
      </w:r>
    </w:p>
    <w:p>
      <w:pPr>
        <w:pStyle w:val="ListBullet"/>
      </w:pPr>
      <w:r>
        <w:t>O BMS é Fase 2 opcional: apenas o gateway corporativo inicia conexões HTTPS para a STAND; a aplicação não abre conexões para OT nem envia comandos ao BMS.</w:t>
      </w:r>
    </w:p>
    <w:p>
      <w:pPr>
        <w:pStyle w:val="ListBullet"/>
      </w:pPr>
      <w:r>
        <w:t>Fichas semanais, Timeline/DCAPE e RDCD mantêm os seus âmbitos separados: a ficha semanal é um fluxo de construção por GC; a Timeline acompanha obrigações DCAPE no ciclo de vida do projeto; o RDCD consolida fichas aprovadas por medida e período, sem inventar evidência.</w:t>
      </w:r>
    </w:p>
    <w:p>
      <w:pPr>
        <w:pStyle w:val="Heading3"/>
      </w:pPr>
      <w:r>
        <w:t>1.1 Correspondência com o diagrama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Zona do diagrama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Papel na Fase 1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Configuração STAND exigida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Observação de segurança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Rede interna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Utilizadores, IT, RAA, PM, EE, GC e EEP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DNS interno/externo aponta apenas para o VIP de entrada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existe acesso direto a APP, DB, NAS ou Valkey.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DMZ Web Ingress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VIP VRRP, HAProxy e dois BunkerWeb workers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Encaminhar X-Forwarded-For, X-Forwarded-Proto=https, Host; limitar request size a 50 MB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TLS termina no BunkerWeb/WAF. A aplicação já confia em um reverse proxy e aplica CSP/Helmet.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DMZ App Services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APP node 1 e APP node 2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Mesma release, mesmo /etc/plataforma-ambiental/app.env, mas segredos injetados pelo cofre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Cada nó executa uma instância PM2. Não é necessário sticky session.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DMZ Data DB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Dois MariaDB em Galera, acessíveis por VIP DB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DATABASE_URL aponta para o VIP, com utilizador de menor privilégio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quorum Galera, backups e restauros são responsabilidade do IT/DBA.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Synology NAS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Object storage privado e destino de backup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S3_* no cofre; bucket privado, versão e retenção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Um NAS isolado é ponto único de falha: usar RAID não substitui uma segunda cópia/replicação.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BunkerWeb Manager + Valkey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Gestão WAF e estado distribuído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VALKEY_URL privado para limites de autenticação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Valkey não é exposto à Internet. Considerar Sentinel/replica em fase de alta disponibilidade.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Office 365 / Azure OpenAI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Email e importação PDF, quando configurada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SMTP com STARTTLS; credenciais Azure apenas nos APP nodes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As saídas partem dos APP nodes, não dos workers WAF.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ACC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Integração documental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App APS técnica, ADS_*, mapeamento por projeto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Tokens nunca chegam ao browser nem são commitados.</w:t>
            </w:r>
          </w:p>
        </w:tc>
      </w:tr>
    </w:tbl>
    <w:p>
      <w:pPr>
        <w:spacing w:after="40"/>
      </w:pPr>
    </w:p>
    <w:p>
      <w:pPr>
        <w:pStyle w:val="Heading2"/>
      </w:pPr>
      <w:r>
        <w:t>2. Pré-requisitos e decisões que o IT tem de fechar</w:t>
      </w:r>
    </w:p>
    <w:p>
      <w:pPr>
        <w:spacing w:after="100"/>
      </w:pPr>
      <w:r>
        <w:t>Antes de criar VMs, devem ser aprovados estes valores no CAB/change record:</w:t>
      </w:r>
    </w:p>
    <w:p>
      <w:pPr>
        <w:pStyle w:val="ListNumber"/>
      </w:pPr>
      <w:r>
        <w:t>Nome de serviço e DNS: por exemplo stand.startcampus.pt; registar também o URL de staging.</w:t>
      </w:r>
    </w:p>
    <w:p>
      <w:pPr>
        <w:pStyle w:val="ListNumber"/>
      </w:pPr>
      <w:r>
        <w:t>VIPs internos: VIP de entrada, VIP DB e endpoint S3 do Synology. O diagrama não fixa endereços, portanto os valores 10.x apresentados em exemplos são meramente ilustrativos.</w:t>
      </w:r>
    </w:p>
    <w:p>
      <w:pPr>
        <w:pStyle w:val="ListNumber"/>
      </w:pPr>
      <w:r>
        <w:t>TLS: decidir se o certificado chega por PKI interna ou ACME/Let's Encrypt. Se for ACME HTTP-01, o desafio tem de chegar à zona BunkerWeb e ao VIP; se o domínio não for publicamente resolúvel, usar DNS-01/PKI interna.</w:t>
      </w:r>
    </w:p>
    <w:p>
      <w:pPr>
        <w:pStyle w:val="ListNumber"/>
      </w:pPr>
      <w:r>
        <w:t>Base de dados: versão MariaDB suportada, conta stand_app de menor privilégio, estratégia de bootstrap Galera, quorum, cópia fora do cluster e prova de restauro.</w:t>
      </w:r>
    </w:p>
    <w:p>
      <w:pPr>
        <w:pStyle w:val="ListNumber"/>
      </w:pPr>
      <w:r>
        <w:t>Synology: bucket privado S3, conta de serviço exclusiva da STAND, encriptação, versionamento e lifecycle/retention. Não montar o NAS como disco da aplicação.</w:t>
      </w:r>
    </w:p>
    <w:p>
      <w:pPr>
        <w:pStyle w:val="ListNumber"/>
      </w:pPr>
      <w:r>
        <w:t>Valkey: endpoint TLS privado, palavra-passe/certificado e plano de disponibilidade. A STAND falha fechada na autenticação se o Valkey configurado em produção estiver indisponível.</w:t>
      </w:r>
    </w:p>
    <w:p>
      <w:pPr>
        <w:pStyle w:val="ListNumber"/>
      </w:pPr>
      <w:r>
        <w:t>Correio: mailbox técnico, SPF/DKIM/DMARC e lista de distribuição para alertas (ALERT_EMAIL_RECIPIENTS).</w:t>
      </w:r>
    </w:p>
    <w:p>
      <w:pPr>
        <w:pStyle w:val="ListNumber"/>
      </w:pPr>
      <w:r>
        <w:t>Identidade e ACC: OAuth APS é opcional; a autenticação local por email/password e 2FA da STAND continua funcional sem um fornecedor de hosting. Identidade corporativa adicional requer configuração separada e testada.</w:t>
      </w:r>
    </w:p>
    <w:p>
      <w:pPr>
        <w:pStyle w:val="ListNumber"/>
      </w:pPr>
      <w:r>
        <w:t>Fase 2 BMS: só ativar depois de Operação, BMS e Segurança aprovarem as métricas, gateway, NTP e HMAC. Não é pré-requisito da Fase 1.</w:t>
      </w:r>
    </w:p>
    <w:p>
      <w:pPr>
        <w:pStyle w:val="Heading2"/>
      </w:pPr>
      <w:r>
        <w:t>3. O que o repositório já entrega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Finalidade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IT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ecosystem.config.cjs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Processo PM2, backoff, memória e reload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Executar uma instância em cada APP node.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ops/bootstrap-app-node.sh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Base Ubuntu/Node/pnpm/PM2, utilizador de serviço e diretórios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Executar uma vez por APP node com URL da cópia interna do repositório.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ops/app.env.example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Checklist das variáveis corporativas, sem segredo real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Copiar para /etc/plataforma-ambiental/app.env, preencher no cofre, permissões 640.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ops/node-readiness-check.sh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Valida binários, current, configuração e readiness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Executar antes de colocar o nó no balanceador.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ops/nginx/stand.conf.example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Referência de proxy de dois nós e cabeçalhos corretos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Adaptar ao BunkerWeb/HAProxy existente; não instalar Nginx adicional se BunkerWeb cumprir esse papel.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ops/backup-database.sh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Dump consistente, gzip, checksum e retenção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Agendar no servidor/serviço autorizado e testar restauro.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ops/deploy-release.sh + ops/rollback-to-previous.sh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Release imutável, symlink atómico, health check e rollback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Usar pelo workflow aprovado, nunca por cópia manual em current.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ops/pm2-crash-watchdog.mjs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Detecta crash-loop, guarda log sanitizado, executa backup e pode pedir rollback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Instalar a unidade plataforma-watchdog.service.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ops/systemd/plataforma-*-reminder.*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Lembretes semanais e de prazos com timers locais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Instalar com ops/install-schedulers.sh após configurar token.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server/bms-ingest.ts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Endpoint BMS com HMAC, timestamp, allowlist e idempotência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Manter inativo até à Fase 2.</w:t>
            </w:r>
          </w:p>
        </w:tc>
      </w:tr>
    </w:tbl>
    <w:p>
      <w:pPr>
        <w:spacing w:after="40"/>
      </w:pPr>
    </w:p>
    <w:p>
      <w:pPr>
        <w:pStyle w:val="Heading2"/>
      </w:pPr>
      <w:r>
        <w:t>4. Procedimento de instalação, por ordem</w:t>
      </w:r>
    </w:p>
    <w:p>
      <w:pPr>
        <w:pStyle w:val="Heading3"/>
      </w:pPr>
      <w:r>
        <w:t>Passo 1 — Criar uma cópia interna do repositório</w:t>
      </w:r>
    </w:p>
    <w:p>
      <w:pPr>
        <w:spacing w:after="100"/>
      </w:pPr>
      <w:r>
        <w:t>O repositório de referência é público apenas para transferência de código e não deve receber segredos ou configurações de produção. Antes de começar, o IT deve criar/usar uma cópia interna com main protegido: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git clone https://github.com/riquid14-ux/ficha-ambiental.git stand-platform</w:t>
              <w:br/>
              <w:t>cd stand-platform</w:t>
              <w:br/>
              <w:t>git remote rename origin source-reference</w:t>
              <w:br/>
              <w:t>git remote add origin &lt;URL-DO-REPOSITORIO-INTERNO&gt;</w:t>
              <w:br/>
              <w:t>git push -u origin main --tags</w:t>
            </w:r>
          </w:p>
        </w:tc>
      </w:tr>
    </w:tbl>
    <w:p>
      <w:pPr>
        <w:spacing w:after="100"/>
      </w:pPr>
      <w:r>
        <w:t>No repositório interno:</w:t>
      </w:r>
    </w:p>
    <w:p>
      <w:pPr>
        <w:pStyle w:val="ListBullet"/>
      </w:pPr>
      <w:r>
        <w:t>exigir pull request e uma revisão independente para main;</w:t>
      </w:r>
    </w:p>
    <w:p>
      <w:pPr>
        <w:pStyle w:val="ListBullet"/>
      </w:pPr>
      <w:r>
        <w:t>tornar obrigatórios pnpm check, pnpm test, pnpm build e pnpm audit --prod;</w:t>
      </w:r>
    </w:p>
    <w:p>
      <w:pPr>
        <w:pStyle w:val="ListBullet"/>
      </w:pPr>
      <w:r>
        <w:t>bloquear force-push em main;</w:t>
      </w:r>
    </w:p>
    <w:p>
      <w:pPr>
        <w:pStyle w:val="ListBullet"/>
      </w:pPr>
      <w:r>
        <w:t>criar ambiente GitHub production com aprovador humano;</w:t>
      </w:r>
    </w:p>
    <w:p>
      <w:pPr>
        <w:pStyle w:val="ListBullet"/>
      </w:pPr>
      <w:r>
        <w:t>criar deploy key/conta técnica sem acesso pessoal;</w:t>
      </w:r>
    </w:p>
    <w:p>
      <w:pPr>
        <w:pStyle w:val="ListBullet"/>
      </w:pPr>
      <w:r>
        <w:t>manter o workflow de triagem de incidentes com permissões mínimas. Uma eventual IA pode criar uma proposta/PR; não pode fazer merge, deploy, alterar secrets ou migrar a base por conta própria.</w:t>
      </w:r>
    </w:p>
    <w:p>
      <w:pPr>
        <w:pStyle w:val="Heading3"/>
      </w:pPr>
      <w:r>
        <w:t>Passo 2 — Preparar as VMs</w:t>
      </w:r>
    </w:p>
    <w:p>
      <w:pPr>
        <w:spacing w:after="100"/>
      </w:pPr>
      <w:r>
        <w:t>Repetir em APP node 1 e APP node 2, com uma imagem Ubuntu 24.04 atualizada e regras de patching aprovadas: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sudo bash ops/bootstrap-app-node.sh &lt;URL-DO-REPOSITORIO-INTERNO&gt; main</w:t>
              <w:br/>
              <w:t>sudoedit /etc/plataforma-ambiental/app.env</w:t>
              <w:br/>
              <w:t>sudoedit /etc/plataforma-ambiental/watchdog.env</w:t>
              <w:br/>
              <w:t>sudoedit /etc/plataforma-ambiental/scheduler.env</w:t>
            </w:r>
          </w:p>
        </w:tc>
      </w:tr>
    </w:tbl>
    <w:p>
      <w:pPr>
        <w:spacing w:after="100"/>
      </w:pPr>
      <w:r>
        <w:t>O script cria o utilizador sem login plataforma, /opt/plataforma-ambiental/{releases,incoming,current}, e diretórios de incidentes/backups com permissões restritas. Não iniciar PM2 até os ficheiros de ambiente estarem preenchidos.</w:t>
      </w:r>
    </w:p>
    <w:p>
      <w:pPr>
        <w:spacing w:after="100"/>
      </w:pPr>
      <w:r>
        <w:t>Variáveis mínimas de produção: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NODE_ENV=production</w:t>
              <w:br/>
              <w:t>STAND_RUNTIME_MODE=corporate</w:t>
              <w:br/>
              <w:t>PORT=3000</w:t>
              <w:br/>
              <w:t>APP_BASE_URL=https://stand.startcampus.pt</w:t>
              <w:br/>
              <w:t>DATABASE_URL=mysql://stand_app:&lt;segredo&gt;@&lt;vip-db&gt;:3306/stand</w:t>
              <w:br/>
              <w:t>JWT_SECRET=&lt;32+ caracteres aleatórios&gt;</w:t>
              <w:br/>
              <w:t>SESSION_ISSUER=stand-environmental-prod</w:t>
              <w:br/>
              <w:t>STORAGE_PROVIDER=s3</w:t>
              <w:br/>
              <w:t>S3_ENDPOINT=https://&lt;synology-s3-privado&gt;:9000</w:t>
              <w:br/>
              <w:t>S3_REGION=eu-west-1</w:t>
              <w:br/>
              <w:t>S3_BUCKET=stand-private</w:t>
              <w:br/>
              <w:t>S3_ACCESS_KEY_ID=&lt;conta-tecnica&gt;</w:t>
              <w:br/>
              <w:t>S3_SECRET_ACCESS_KEY=&lt;cofre&gt;</w:t>
              <w:br/>
              <w:t>S3_FORCE_PATH_STYLE=true</w:t>
              <w:br/>
              <w:t>VALKEY_URL=rediss://:&lt;segredo&gt;@&lt;valkey-vip&gt;:6379/0</w:t>
              <w:br/>
              <w:t>SCHEDULER_TOKEN=&lt;32+ caracteres aleatórios&gt;</w:t>
            </w:r>
          </w:p>
        </w:tc>
      </w:tr>
    </w:tbl>
    <w:p>
      <w:pPr>
        <w:spacing w:after="100"/>
      </w:pPr>
      <w:r>
        <w:t>Nas VMs Start Campus, STAND_RUNTIME_MODE=corporate ativa a verificação de arranque: a aplicação recusa arrancar sem DB, segredo de sessão, URL pública, object storage S3, Valkey e token do scheduler. Isto evita um deployment corporativo que pareça funcional, mas esteja dependente de memória local ou armazenamento de desenvolvimento. O modo gerido existente não ativa por engano estes pré-requisitos internos.</w:t>
      </w:r>
    </w:p>
    <w:p>
      <w:pPr>
        <w:pStyle w:val="Heading3"/>
      </w:pPr>
      <w:r>
        <w:t>Passo 3 — MariaDB Galera e migrations</w:t>
      </w:r>
    </w:p>
    <w:p>
      <w:pPr>
        <w:pStyle w:val="ListNumber"/>
      </w:pPr>
      <w:r>
        <w:t>O DBA instala e valida Galera com dois nós e define o plano de perda de quorum. Com apenas dois nós, a decisão sobre arbitrator/terceiro voto deve ser explícita; o diagrama apresenta um arbitrator e essa configuração deve ser testada.</w:t>
      </w:r>
    </w:p>
    <w:p>
      <w:pPr>
        <w:pStyle w:val="ListNumber"/>
      </w:pPr>
      <w:r>
        <w:t>Criar stand_app com apenas os privilégios necessários sobre a base STAND. A conta de migração pode ser distinta e usada só na janela de mudança.</w:t>
      </w:r>
    </w:p>
    <w:p>
      <w:pPr>
        <w:pStyle w:val="ListNumber"/>
      </w:pPr>
      <w:r>
        <w:t>Restaurar uma cópia sanitizada de staging ou iniciar uma base vazia conforme o plano de dados aprovado.</w:t>
      </w:r>
    </w:p>
    <w:p>
      <w:pPr>
        <w:pStyle w:val="ListNumber"/>
      </w:pPr>
      <w:r>
        <w:t>Na janela de alteração, executar migrations uma única vez contra o VIP DB, a partir de um nó de administração controlado: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cd /opt/plataforma-ambiental/current</w:t>
              <w:br/>
              <w:t>set -a; source /etc/plataforma-ambiental/app.env; set +a</w:t>
              <w:br/>
              <w:t>pnpm drizzle-kit migrate</w:t>
            </w:r>
          </w:p>
        </w:tc>
      </w:tr>
    </w:tbl>
    <w:p>
      <w:pPr>
        <w:pStyle w:val="ListNumber"/>
      </w:pPr>
      <w:r>
        <w:t>Só depois de backup e migration bem-sucedidos, validar SELECT 1, tabelas e /api/health/ready.</w:t>
      </w:r>
    </w:p>
    <w:p>
      <w:pPr>
        <w:pStyle w:val="Quote"/>
      </w:pPr>
      <w:r>
        <w:t>Nunca executar migrações destrutivas automaticamente no deploy. O pipeline publica uma release; a alteração de esquema é uma etapa aprovada e registada.</w:t>
      </w:r>
    </w:p>
    <w:p>
      <w:pPr>
        <w:pStyle w:val="Heading3"/>
      </w:pPr>
      <w:r>
        <w:t>Passo 4 — Synology Object Storage / NAS</w:t>
      </w:r>
    </w:p>
    <w:p>
      <w:pPr>
        <w:pStyle w:val="ListNumber"/>
      </w:pPr>
      <w:r>
        <w:t>Criar bucket privado stand-private (nome ilustrativo), sem acesso anónimo e sem política pública.</w:t>
      </w:r>
    </w:p>
    <w:p>
      <w:pPr>
        <w:pStyle w:val="ListNumber"/>
      </w:pPr>
      <w:r>
        <w:t>Criar uma conta S3 exclusiva, limitada a esse bucket/prefixo.</w:t>
      </w:r>
    </w:p>
    <w:p>
      <w:pPr>
        <w:pStyle w:val="ListNumber"/>
      </w:pPr>
      <w:r>
        <w:t>Ligar versionamento, encriptação e lifecycle conforme a retenção ambiental; ativar cópia/replicação fora do NAS se o NAS for único.</w:t>
      </w:r>
    </w:p>
    <w:p>
      <w:pPr>
        <w:pStyle w:val="ListNumber"/>
      </w:pPr>
      <w:r>
        <w:t>Configurar S3_* no cofre de cada APP node. Para endpoints Synology, usar normalmente S3_FORCE_PATH_STYLE=true.</w:t>
      </w:r>
    </w:p>
    <w:p>
      <w:pPr>
        <w:pStyle w:val="ListNumber"/>
      </w:pPr>
      <w:r>
        <w:t>Validar upload, leitura autorizada e tentativa de acesso não autorizado. No browser deve surgir uma rota da STAND, não uma chave do object storage.</w:t>
      </w:r>
    </w:p>
    <w:p>
      <w:pPr>
        <w:pStyle w:val="Heading3"/>
      </w:pPr>
      <w:r>
        <w:t>Carga inicial de fotografia institucional</w:t>
      </w:r>
    </w:p>
    <w:p>
      <w:pPr>
        <w:spacing w:after="100"/>
      </w:pPr>
      <w:r>
        <w:t>As fotografias não são guardadas em client/public nem entregues sem controlo de acesso. Antes de abrir a STAND aos utilizadores, o IT obtém da equipa de Marca os 18 JPGs autorizados (start-campus-1.jpg, …, start-campus-19.jpg, de acordo com os ficheiros existentes) e executa, num APP node com o ambiente S3 carregado: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cd /opt/plataforma-ambiental/current</w:t>
              <w:br/>
              <w:t>set -a; source /etc/plataforma-ambiental/app.env; set +a</w:t>
              <w:br/>
              <w:t>node ops/migrate-brand-assets.mjs /diretorio-restrito/start-campus-brand</w:t>
            </w:r>
          </w:p>
        </w:tc>
      </w:tr>
    </w:tbl>
    <w:p>
      <w:pPr>
        <w:spacing w:after="100"/>
      </w:pPr>
      <w:r>
        <w:t>O script valida que cada ficheiro existe e tem tamanho plausível, usa apenas a conta S3 de serviço e escreve as chaves internas usadas pelo tema. O diretório de importação não é versionado, não é servido pelo Nginx/BunkerWeb e deve ser removido depois da validação visual.</w:t>
      </w:r>
    </w:p>
    <w:p>
      <w:pPr>
        <w:pStyle w:val="Heading3"/>
      </w:pPr>
      <w:r>
        <w:t>Passo 5 — WAF, balanceador e rede</w:t>
      </w:r>
    </w:p>
    <w:p>
      <w:pPr>
        <w:spacing w:after="100"/>
      </w:pPr>
      <w:r>
        <w:t>O diagrama usa HAProxy + BunkerWeb. O código não requer um produto específico de WAF, mas requer que o proxy preserve os cabeçalhos reais e faça health checks.</w:t>
      </w:r>
    </w:p>
    <w:p>
      <w:pPr>
        <w:pStyle w:val="ListBullet"/>
      </w:pPr>
      <w:r>
        <w:t>Internet/Redes de utilizador → apenas VIP VRRP em 443;</w:t>
      </w:r>
    </w:p>
    <w:p>
      <w:pPr>
        <w:pStyle w:val="ListBullet"/>
      </w:pPr>
      <w:r>
        <w:t>HAProxy → BunkerWeb workers; BunkerWeb → APP node 1:3000 e APP node 2:3000;</w:t>
      </w:r>
    </w:p>
    <w:p>
      <w:pPr>
        <w:pStyle w:val="ListBullet"/>
      </w:pPr>
      <w:r>
        <w:t>health check de cada APP node: GET /api/health/live (processo) e, antes de promoção, GET /api/health/ready (DB acessível);</w:t>
      </w:r>
    </w:p>
    <w:p>
      <w:pPr>
        <w:pStyle w:val="ListBullet"/>
      </w:pPr>
      <w:r>
        <w:t>permitir X-Forwarded-For apenas vindo do proxy confiável; não permitir ao cliente externo escolher esse cabeçalho;</w:t>
      </w:r>
    </w:p>
    <w:p>
      <w:pPr>
        <w:pStyle w:val="ListBullet"/>
      </w:pPr>
      <w:r>
        <w:t>os APP nodes aceitam apenas tráfego dos workers WAF; DB, NAS e Valkey aceitam apenas APP nodes;</w:t>
      </w:r>
    </w:p>
    <w:p>
      <w:pPr>
        <w:pStyle w:val="ListBullet"/>
      </w:pPr>
      <w:r>
        <w:t>manter o limite do proxy em 50 MB e aplicar regras WAF para uploads, autenticação e APIs;</w:t>
      </w:r>
    </w:p>
    <w:p>
      <w:pPr>
        <w:pStyle w:val="ListBullet"/>
      </w:pPr>
      <w:r>
        <w:t>o tráfego SMTP 587 e HTTPS para Azure/APS/Graph sai dos APP nodes via egress controlado.</w:t>
      </w:r>
    </w:p>
    <w:p>
      <w:pPr>
        <w:spacing w:after="100"/>
      </w:pPr>
      <w:r>
        <w:t>A configuração de ops/nginx/stand.conf.example é uma referência de upstream e cabeçalhos; não cria um terceiro proxy quando HAProxy/BunkerWeb já ocupam esse lugar.</w:t>
      </w:r>
    </w:p>
    <w:p>
      <w:pPr>
        <w:pStyle w:val="Heading3"/>
      </w:pPr>
      <w:r>
        <w:t>Passo 6 — Arranque e entrada no balanceador</w:t>
      </w:r>
    </w:p>
    <w:p>
      <w:pPr>
        <w:spacing w:after="100"/>
      </w:pPr>
      <w:r>
        <w:t>Em cada APP node: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cd /opt/plataforma-ambiental/current</w:t>
              <w:br/>
              <w:t>sudo -u plataforma APP_CURRENT_PATH=/opt/plataforma-ambiental/current \</w:t>
              <w:br/>
              <w:t xml:space="preserve">  APP_ENV_FILE=/etc/plataforma-ambiental/app.env \</w:t>
              <w:br/>
              <w:t xml:space="preserve">  pm2 startOrReload ecosystem.config.cjs --env production --update-env</w:t>
              <w:br/>
              <w:t>sudo -u plataforma pm2 save</w:t>
              <w:br/>
              <w:t>sudo bash ops/node-readiness-check.sh</w:t>
            </w:r>
          </w:p>
        </w:tc>
      </w:tr>
    </w:tbl>
    <w:p>
      <w:pPr>
        <w:spacing w:after="100"/>
      </w:pPr>
      <w:r>
        <w:t>Colocar primeiro um nó no pool BunkerWeb, validar login, uma operação de leitura e upload num projeto de teste. Depois repetir no segundo nó. Finalmente desligar um nó do pool: a sessão existente e a operação do outro nó devem continuar, pois não dependem de afinidade de sessão.</w:t>
      </w:r>
    </w:p>
    <w:p>
      <w:pPr>
        <w:pStyle w:val="Heading3"/>
      </w:pPr>
      <w:r>
        <w:t>Passo 7 — Lembretes, watchdog e recuperação</w:t>
      </w:r>
    </w:p>
    <w:p>
      <w:pPr>
        <w:spacing w:after="100"/>
      </w:pPr>
      <w:r>
        <w:t>Instalar em ambos os nós apenas se se aceitar a deduplicação de lembretes por base de dados; alternativamente, ativar os timers num nó designado e documentar o failover.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cd /opt/plataforma-ambiental/current</w:t>
              <w:br/>
              <w:t>sudo bash ops/install-schedulers.sh</w:t>
              <w:br/>
              <w:t>sudo install -m 644 ops/systemd/plataforma-watchdog.service /etc/systemd/system/</w:t>
              <w:br/>
              <w:t>sudo systemctl daemon-reload</w:t>
              <w:br/>
              <w:t>sudo systemctl enable --now plataforma-watchdog.service</w:t>
              <w:br/>
              <w:t>sudo systemctl status plataforma-watchdog.service --no-pager</w:t>
              <w:br/>
              <w:t>sudo systemctl list-timers 'plataforma-*-reminder.timer'</w:t>
            </w:r>
          </w:p>
        </w:tc>
      </w:tr>
    </w:tbl>
    <w:p>
      <w:pPr>
        <w:spacing w:after="100"/>
      </w:pPr>
      <w:r>
        <w:t>O scheduler usa token próprio, não uma sessão de utilizador. O watchdog, ao identificar crash-loop, guarda logs com permissões restritas, cria backup antes de recuperação e notifica destinatários redundantes. O rollback automático só deve ser ligado (WATCHDOG_AUTO_ROLLBACK=true) depois do ensaio em staging.</w:t>
      </w:r>
    </w:p>
    <w:p>
      <w:pPr>
        <w:pStyle w:val="Heading2"/>
      </w:pPr>
      <w:r>
        <w:t>5. Testes obrigatórios de aceitação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Teste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Procedimento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Critério de aceitação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Compilação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pnpm install --frozen-lockfile &amp;&amp; pnpm check &amp;&amp; pnpm test &amp;&amp; pnpm build &amp;&amp; pnpm audit --prod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Todos os comandos terminam com sucesso.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Nó 1 / nó 2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Retirar alternadamente cada APP node do pool durante uma sessão ativa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utilizador continua no outro nó e o serviço responde.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Sessão revogada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Alterar/resetar password ou revogar sessão e reutilizar token antigo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Token é recusado porque sessionVersion já não coincide.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Limite distribuído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Simular falhas de login alternando os nós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 limitação é aplicada em ambos pelo Valkey.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S3 protegido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Carregar evidência; tentar URL/chave sem acesso e com outro projeto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Aceder apenas pela rota autorizada; 401/404 sem enumerar objeto.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Base de dados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Parar um membro Galera conforme runbook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cluster só se mantém disponível se o quorum estiver preservado; documentar resultado.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Backup/restauro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Restauro num ambiente isolado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Dump, checksum e recuperação validados pelo DBA.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WAF/Proxy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Upload, CORS ACC, CSP, IP real e 50 MB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Funcionalidade esperada sem abrir APP diretamente à Internet.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Watchdog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Simular crash-loop em staging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Incidente, log sanitizado, backup, alerta e rollback conforme a política.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BMS Fase 2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Aplicar os nove testes do documento BMS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Só ativar após HMAC, idempotência e reconciliação aprovados.</w:t>
            </w:r>
          </w:p>
        </w:tc>
      </w:tr>
    </w:tbl>
    <w:p>
      <w:pPr>
        <w:spacing w:after="40"/>
      </w:pPr>
    </w:p>
    <w:p>
      <w:pPr>
        <w:pStyle w:val="Heading2"/>
      </w:pPr>
      <w:r>
        <w:t>6. Integrações aplicacionais</w:t>
      </w:r>
    </w:p>
    <w:p>
      <w:pPr>
        <w:pStyle w:val="Heading3"/>
      </w:pPr>
      <w:r>
        <w:t>ACC</w:t>
      </w:r>
    </w:p>
    <w:p>
      <w:pPr>
        <w:spacing w:after="100"/>
      </w:pPr>
      <w:r>
        <w:t>Criar uma aplicação APS técnica e configurar ADS_CLIENT_ID, ADS_CLIENT_SECRET e ADS_REDIRECT_URI no cofre. Confirmar o mapeamento explícito STAND project → ACC project → pasta ambiental. Falhas ACC não podem apagar a ficha ou evidência interna.</w:t>
      </w:r>
    </w:p>
    <w:p>
      <w:pPr>
        <w:pStyle w:val="Heading3"/>
      </w:pPr>
      <w:r>
        <w:t>SharePoint / Graph</w:t>
      </w:r>
    </w:p>
    <w:p>
      <w:pPr>
        <w:spacing w:after="100"/>
      </w:pPr>
      <w:r>
        <w:t>O SharePoint continua a ser a fonte documental oficial para documentos aprovados, segundo a política corporativa. Criar uma app Entra dedicada, limitada ao site/biblioteca ambiental, e validar upload, versão, metadados e recuperação. Não usar a base de dados como BLOB store.</w:t>
      </w:r>
    </w:p>
    <w:p>
      <w:pPr>
        <w:pStyle w:val="Heading3"/>
      </w:pPr>
      <w:r>
        <w:t>Email</w:t>
      </w:r>
    </w:p>
    <w:p>
      <w:pPr>
        <w:spacing w:after="100"/>
      </w:pPr>
      <w:r>
        <w:t>Usar uma mailbox técnica Start Campus com STARTTLS 587. Validar SPF, DKIM e DMARC. O grupo em ALERT_EMAIL_RECIPIENTS deve incluir pelo menos uma lista de distribuição e um suplente; não usar o email pessoal de uma única pessoa como ponto de falha.</w:t>
      </w:r>
    </w:p>
    <w:p>
      <w:pPr>
        <w:pStyle w:val="Heading3"/>
      </w:pPr>
      <w:r>
        <w:t>BMS — fase 2</w:t>
      </w:r>
    </w:p>
    <w:p>
      <w:pPr>
        <w:spacing w:after="100"/>
      </w:pPr>
      <w:r>
        <w:t>O endpoint existe, mas permanece desativado sem BMS_INGEST_HMAC_SECRET e BMS_SERVICE_USER_ID. Ler Integração BMS — Fase 2 antes de configurar o gateway. O gateway envia eventos pequenos, com HMAC e eventId; não há controlo remoto de infraestrutura pela STAND.</w:t>
      </w:r>
    </w:p>
    <w:p>
      <w:pPr>
        <w:pStyle w:val="Heading2"/>
      </w:pPr>
      <w:r>
        <w:t>7. Limites e melhorias recomendadas</w:t>
      </w:r>
    </w:p>
    <w:p>
      <w:pPr>
        <w:pStyle w:val="ListNumber"/>
      </w:pPr>
      <w:r>
        <w:t>Dois nós Galera + arbitrator podem operar, mas a resiliência é inferior a três nós de dados completos. O DBA deve validar quorum, rede e recuperação de split-brain.</w:t>
      </w:r>
    </w:p>
    <w:p>
      <w:pPr>
        <w:pStyle w:val="ListNumber"/>
      </w:pPr>
      <w:r>
        <w:t>Um Synology NAS único é um ponto único de falha para object storage e backups. RAID protege discos, não o equipamento/local. Programar replicação, backup offline/imutável ou segundo destino.</w:t>
      </w:r>
    </w:p>
    <w:p>
      <w:pPr>
        <w:pStyle w:val="ListNumber"/>
      </w:pPr>
      <w:r>
        <w:t>Valkey único torna-se dependência da autenticação distribuída. Para alta disponibilidade, usar replica + Sentinel/cluster conforme padrão IT.</w:t>
      </w:r>
    </w:p>
    <w:p>
      <w:pPr>
        <w:pStyle w:val="ListNumber"/>
      </w:pPr>
      <w:r>
        <w:t>BunkerWeb Manager único é uma dependência do plano de controlo WAF; a indisponibilidade não deve interromper tráfego, mas impede alterações centralizadas. Registar estratégia de backup/configuração.</w:t>
      </w:r>
    </w:p>
    <w:p>
      <w:pPr>
        <w:pStyle w:val="ListNumber"/>
      </w:pPr>
      <w:r>
        <w:t>A STAND tem testes de tipos, regressões funcionais e segurança no repositório. A aceitação da infraestrutura (failover real, WAF, Galera, NAS, certificados, email e BMS) só pode ser declarada concluída depois dos testes acima no ambiente Start Campus.</w:t>
      </w:r>
    </w:p>
    <w:p>
      <w:pPr>
        <w:pStyle w:val="Heading2"/>
      </w:pPr>
      <w:r>
        <w:t>8. Sequência de go-live</w:t>
      </w:r>
    </w:p>
    <w:p>
      <w:pPr>
        <w:pStyle w:val="ListNumber"/>
      </w:pPr>
      <w:r>
        <w:t>Staging totalmente configurado, migrations aprovadas e testes de aceitação guardados.</w:t>
      </w:r>
    </w:p>
    <w:p>
      <w:pPr>
        <w:pStyle w:val="ListNumber"/>
      </w:pPr>
      <w:r>
        <w:t>Revisão conjunta Segurança + IT + Ambiente + Operação NEST.</w:t>
      </w:r>
    </w:p>
    <w:p>
      <w:pPr>
        <w:pStyle w:val="ListNumber"/>
      </w:pPr>
      <w:r>
        <w:t>Janela de produção: backup, release, migration aprovada, nó 1, health, nó 2, health, WAF/VIP, teste de login e de ficheiro.</w:t>
      </w:r>
    </w:p>
    <w:p>
      <w:pPr>
        <w:pStyle w:val="ListNumber"/>
      </w:pPr>
      <w:r>
        <w:t>Período de observação acordado: PM2, health, logs, Valkey, Galera, NAS, correio e integrações.</w:t>
      </w:r>
    </w:p>
    <w:p>
      <w:pPr>
        <w:pStyle w:val="ListNumber"/>
      </w:pPr>
      <w:r>
        <w:t>Fecho da alteração: atualizar inventário de segredos, versões, owners, prova de restauro e plano de rollback.</w:t>
      </w:r>
    </w:p>
    <w:p>
      <w:pPr>
        <w:spacing w:after="100"/>
      </w:pPr>
      <w:r>
        <w:t>---</w:t>
      </w:r>
    </w:p>
    <w:p>
      <w:pPr>
        <w:pStyle w:val="Heading2"/>
      </w:pPr>
      <w:r>
        <w:t>Referências técnicas no repositório</w:t>
      </w:r>
    </w:p>
    <w:p>
      <w:pPr>
        <w:pStyle w:val="ListBullet"/>
      </w:pPr>
      <w:r>
        <w:t>Guia geral de implementação IT</w:t>
      </w:r>
    </w:p>
    <w:p>
      <w:pPr>
        <w:pStyle w:val="ListBullet"/>
      </w:pPr>
      <w:r>
        <w:t>Integração BMS — Fase 2</w:t>
      </w:r>
    </w:p>
    <w:p>
      <w:pPr>
        <w:pStyle w:val="ListBullet"/>
      </w:pPr>
      <w:r>
        <w:t>Avaliação da arquitetura Fase 1</w:t>
      </w:r>
    </w:p>
    <w:p>
      <w:pPr>
        <w:pStyle w:val="ListBullet"/>
      </w:pPr>
      <w:r>
        <w:t>ops/app.env.example</w:t>
      </w:r>
    </w:p>
    <w:p>
      <w:pPr>
        <w:pStyle w:val="ListBullet"/>
      </w:pPr>
      <w:r>
        <w:t>ops/bootstrap-app-node.sh</w:t>
      </w:r>
    </w:p>
    <w:p>
      <w:pPr>
        <w:pStyle w:val="ListBullet"/>
      </w:pPr>
      <w:r>
        <w:t>ops/nginx/stand.conf.example</w:t>
      </w:r>
    </w:p>
    <w:p>
      <w:pPr>
        <w:pStyle w:val="ListBullet"/>
      </w:pPr>
      <w:r>
        <w:t>ops/deploy-release.sh</w:t>
      </w:r>
    </w:p>
    <w:p>
      <w:pPr>
        <w:pStyle w:val="ListBullet"/>
      </w:pPr>
      <w:r>
        <w:t>ops/rollback-to-previous.sh</w:t>
      </w:r>
    </w:p>
    <w:p>
      <w:pPr>
        <w:pStyle w:val="ListBullet"/>
      </w:pPr>
      <w:r>
        <w:t>ops/pm2-crash-watchdog.mjs</w:t>
      </w:r>
    </w:p>
    <w:p>
      <w:r>
        <w:br w:type="page"/>
      </w:r>
    </w:p>
    <w:p>
      <w:pPr>
        <w:pStyle w:val="Heading1"/>
      </w:pPr>
      <w:r>
        <w:t>Guia de implementação para IT — Plataforma de Gestão Ambiental — Start Campus</w:t>
      </w:r>
    </w:p>
    <w:p>
      <w:pPr>
        <w:spacing w:after="100"/>
      </w:pPr>
      <w:r>
        <w:t>Versão de referência: branch main, confirmar o checkpoint/release mais recente antes da passagem a staging.</w:t>
      </w:r>
    </w:p>
    <w:p>
      <w:pPr>
        <w:spacing w:after="100"/>
      </w:pPr>
      <w:r>
        <w:t>Repositório: https://github.com/riquid14-ux/ficha-ambiental</w:t>
      </w:r>
    </w:p>
    <w:p>
      <w:pPr>
        <w:spacing w:after="100"/>
      </w:pPr>
      <w:r>
        <w:t>Branch de integração: main</w:t>
      </w:r>
    </w:p>
    <w:p>
      <w:pPr>
        <w:spacing w:after="100"/>
      </w:pPr>
      <w:r>
        <w:t>Publicação de referência: RmdRicardo &lt;rmd@startcampus.pt&gt;; repositório público sem segredos, ficheiros de produção ou documentação privada. O IT deve usar uma cópia interna/branch protegido para qualquer configuração de produção.</w:t>
      </w:r>
    </w:p>
    <w:p>
      <w:pPr>
        <w:pStyle w:val="Quote"/>
      </w:pPr>
      <w:r>
        <w:t>Para a implementação na arquitetura de Fase 1 com HAProxy/BunkerWeb, dois nós APP, Galera, Synology e Valkey, seguir primeiro o Guia prático de implementação — Fase 1. Este documento mantém o detalhe funcional das integrações.</w:t>
      </w:r>
    </w:p>
    <w:p>
      <w:pPr>
        <w:pStyle w:val="Heading2"/>
      </w:pPr>
      <w:r>
        <w:t>1. Objectivo e princípio de arquitectura</w:t>
      </w:r>
    </w:p>
    <w:p>
      <w:pPr>
        <w:spacing w:after="100"/>
      </w:pPr>
      <w:r>
        <w:t>A Plataforma de Gestão Ambiental centraliza workflows de fichas semanais, KPI, resíduos/e-GAR, calendário, planos, fases, EEP, dashboards, relatórios e controlo de acessos. A aplicação deve manter-se stateless para ficheiros definitivos: a base de dados guarda identidades, permissões, metadados, estados, auditoria e referências; os documentos aprovados devem ser arquivados no SharePoint da Start Campus como fonte documental oficial.</w:t>
      </w:r>
    </w:p>
    <w:p>
      <w:pPr>
        <w:pStyle w:val="Quote"/>
      </w:pPr>
      <w:r>
        <w:t>A plataforma não deve guardar ficheiros binários no MySQL. O histórico operacional é mantido por metadados e referências, enquanto o SharePoint mantém os documentos aprovados, com a política de retenção corporativa.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Responsabilidade alvo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Limite de responsabilidade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Aplicação React/Express/tRPC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Workflow, validação, permissões, dashboards, exportação e auditoria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processa fotogrametria pesada nem armazena documentos definitivos em BLOBs.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MySQL/TiDB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Dados transaccionais, índices, estados, auditoria e referências externas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é arquivo documental.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SharePoint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Arquivo documental oficial de fichas, RDCD, MIRR, planos e evidências aprovadas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substitui as regras de negócio e autorização da aplicação.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Autodesk Construction Cloud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Entrega e consulta de documentos nos projectos ACC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 plataforma continua a ser responsável pelo workflow ambiental próprio.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Serviço de email corporativo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Notificações de submissão, decisão, convite e prazo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decide permissões nem substitui alertas na aplicação.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Worker NodeODM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Ortofoto/DSM/tiles de capturas DJI nadir a 90°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Nunca corre dentro do processo web da aplicação.</w:t>
            </w:r>
          </w:p>
        </w:tc>
      </w:tr>
    </w:tbl>
    <w:p>
      <w:pPr>
        <w:spacing w:after="40"/>
      </w:pPr>
    </w:p>
    <w:p>
      <w:pPr>
        <w:pStyle w:val="Heading2"/>
      </w:pPr>
      <w:r>
        <w:t>2. Sequência de implementação recomendada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Ordem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Entrega IT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Critério de saída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Clonar, compilar e executar em staging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pnpm install --frozen-lockfile, verificação de tipos, testes e build passam.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2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Preparar DNS, TLS, reverse proxy, conta de serviço e MySQL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/api/health/live e /api/health/ready respondem correctamente através do domínio de staging.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3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Configurar segredos e identidade corporativa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Nenhum segredo está no repositório, no frontend ou em ficheiros .env versionados.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4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Integrar SharePoint e validar arquivo/restituição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Uma ficha aprovada é arquivada, fica pesquisável e é recuperável através da referência guardada.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5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Integrar ACC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Um PDF de teste é entregue na pasta correcta do projecto ACC e a referência devolvida é guardada.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6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Configurar email corporativo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Convites e notificações chegam ao grupo de teste com remetente Start Campus autenticado.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7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Activar CI/CD, watchdog, backup e rollback em staging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Um crash-loop simulado cria backup, alerta redundante e recuperação controlada.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8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Ativar a integração BMS fase 2 do SIN01/NEST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Gateway outbound assinado, idempotência, allowlist de métricas e validação contra fonte operacional aprovados.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9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Aprovação de segurança e passagem a produção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Todos os testes de aceitação desta guia têm evidência guardada.</w:t>
            </w:r>
          </w:p>
        </w:tc>
      </w:tr>
    </w:tbl>
    <w:p>
      <w:pPr>
        <w:spacing w:after="40"/>
      </w:pPr>
    </w:p>
    <w:p>
      <w:pPr>
        <w:pStyle w:val="Heading2"/>
      </w:pPr>
      <w:r>
        <w:t>3. Clonagem e execução em staging</w:t>
      </w:r>
    </w:p>
    <w:p>
      <w:pPr>
        <w:spacing w:after="100"/>
      </w:pPr>
      <w:r>
        <w:t>A partir do repositório público de referência, a equipa deve clonar a versão validada e criar a sua cópia interna/branch protegido antes de configurar qualquer ambiente: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git clone https://github.com/riquid14-ux/ficha-ambiental.git</w:t>
              <w:br/>
              <w:t>cd ficha-ambiental</w:t>
              <w:br/>
              <w:t>git checkout main</w:t>
              <w:br/>
              <w:t>pnpm install --frozen-lockfile</w:t>
              <w:br/>
              <w:t>pnpm check</w:t>
              <w:br/>
              <w:t>pnpm test</w:t>
              <w:br/>
              <w:t>pnpm build</w:t>
            </w:r>
          </w:p>
        </w:tc>
      </w:tr>
    </w:tbl>
    <w:p>
      <w:pPr>
        <w:spacing w:after="100"/>
      </w:pPr>
      <w:r>
        <w:t>O servidor deve correr com uma conta de serviço sem privilégios de administração do sistema. A aplicação usa Node.js 22, pnpm 10, MySQL compatível, reverse proxy TLS e um gestor de processos. Em produção, as variáveis de ambiente devem residir num gestor de segredos ou em ficheiros de sistema com permissões restritas; nunca no Git ou no frontend.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Grupo de configuração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Variáveis/elementos necessários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 de segurança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Aplicação e base de dados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DATABASE_URL, segredo de sessão, URL pública, configuração OAuth/identidade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Conta DB com privilégios mínimos; rotação de segredos; cópias de segurança restauráveis.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ACC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ADS_CLIENT_ID, ADS_CLIENT_SECRET, ACC_PROJECT_ID, ACC_FOLDER_ID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App técnica dedicada; credenciais apenas no backend.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SharePoint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SHAREPOINT_CLIENT_ID, SHAREPOINT_CLIENT_SECRET, SHAREPOINT_TENANT_ID, SHAREPOINT_SITE_ID, SHAREPOINT_DRIVE_ID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App Microsoft Entra dedicada; acesso apenas ao site/biblioteca ambiental.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Email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SMTP_HOST, SMTP_PORT, SMTP_USER, SMTP_PASS, SMTP_FROM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Caixa técnica dedicada; TLS; SPF, DKIM e DMARC no domínio remetente.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Watchdog/GitHub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ambiente /etc/plataforma-ambiental/, token GitHub App, chave SSH de deploy e destinatários de incidente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Segredos em ficheiros 600 ou cofre; não reutilizar credenciais pessoais.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BMS fase 2 (opcional)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BMS_INGEST_HMAC_SECRET, BMS_SERVICE_USER_ID, gateway HTTPS outbound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Segredo e conta técnica apenas no cofre; a aplicação não inicia ligações à rede OT.</w:t>
            </w:r>
          </w:p>
        </w:tc>
      </w:tr>
    </w:tbl>
    <w:p>
      <w:pPr>
        <w:spacing w:after="40"/>
      </w:pPr>
    </w:p>
    <w:p>
      <w:pPr>
        <w:pStyle w:val="Heading2"/>
      </w:pPr>
      <w:r>
        <w:t>4. Integração SharePoint como arquivo documental oficial</w:t>
      </w:r>
    </w:p>
    <w:p>
      <w:pPr>
        <w:spacing w:after="100"/>
      </w:pPr>
      <w:r>
        <w:t>A Microsoft Graph permite trabalhar com sites, listas e drives/bibliotecas documentais SharePoint e suporta operações de leitura/escrita em driveItems.[1] A implementação existente já espera a identidade da aplicação e o identificador da biblioteca documental.</w:t>
      </w:r>
    </w:p>
    <w:p>
      <w:pPr>
        <w:pStyle w:val="Heading3"/>
      </w:pPr>
      <w:r>
        <w:t>Configuração IT</w:t>
      </w:r>
    </w:p>
    <w:p>
      <w:pPr>
        <w:pStyle w:val="ListNumber"/>
      </w:pPr>
      <w:r>
        <w:t>Criar uma App Registration exclusiva para a plataforma no Microsoft Entra ID, com segredo ou, preferencialmente, certificado gerido.</w:t>
      </w:r>
    </w:p>
    <w:p>
      <w:pPr>
        <w:pStyle w:val="ListNumber"/>
      </w:pPr>
      <w:r>
        <w:t>Aplicar princípio de privilégio mínimo. Se a política Microsoft 365 da Start Campus o suportar, preferir acesso limitado ao site ambiental seleccionado em vez de permissões de tenant amplas.</w:t>
      </w:r>
    </w:p>
    <w:p>
      <w:pPr>
        <w:pStyle w:val="ListNumber"/>
      </w:pPr>
      <w:r>
        <w:t>Criar ou validar a biblioteca documental alvo e obter SITE_ID e DRIVE_ID.</w:t>
      </w:r>
    </w:p>
    <w:p>
      <w:pPr>
        <w:pStyle w:val="ListNumber"/>
      </w:pPr>
      <w:r>
        <w:t>Configurar as variáveis SHAREPOINT_* exclusivamente no servidor/gestor de segredos.</w:t>
      </w:r>
    </w:p>
    <w:p>
      <w:pPr>
        <w:pStyle w:val="ListNumber"/>
      </w:pPr>
      <w:r>
        <w:t>Criar a estrutura documental abaixo, ajustando apenas a nomenclatura se a política documental interna o exigir: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Ambiente/</w:t>
              <w:br/>
              <w:t xml:space="preserve">  SIN01…SIN07 e Subestação/</w:t>
              <w:br/>
              <w:t xml:space="preserve">    Fichas Semanais/</w:t>
              <w:br/>
              <w:t xml:space="preserve">    Relatórios/</w:t>
              <w:br/>
              <w:t xml:space="preserve">    Planos/</w:t>
              <w:br/>
              <w:t xml:space="preserve">    MIRR/</w:t>
            </w:r>
          </w:p>
        </w:tc>
      </w:tr>
    </w:tbl>
    <w:p>
      <w:pPr>
        <w:pStyle w:val="ListNumber"/>
      </w:pPr>
      <w:r>
        <w:t>Fazer upload de uma ficha de teste, guardar a URL/referência devolvida na aplicação e confirmar: permissões, versão, data, autor, retenção e recuperação.</w:t>
      </w:r>
    </w:p>
    <w:p>
      <w:pPr>
        <w:spacing w:after="100"/>
      </w:pPr>
      <w:r>
        <w:t>Os identificadores de site e drive devem ser tratados como configuração, não como valores fixos no código. A Graph permite endereçar bibliotecas por site e drive; usar pedidos selectivos evita transferir campos desnecessários.[1]</w:t>
      </w:r>
    </w:p>
    <w:p>
      <w:pPr>
        <w:pStyle w:val="Heading2"/>
      </w:pPr>
      <w:r>
        <w:t>5. Integração ACC</w:t>
      </w:r>
    </w:p>
    <w:p>
      <w:pPr>
        <w:spacing w:after="100"/>
      </w:pPr>
      <w:r>
        <w:t>A documentação Autodesk disponibiliza APIs para ficheiros, formulários, revisões e administração de hub/projecto. A API de ficheiros permite gerir planos, modelos e documentos de projecto; as APIs de revisões e formulários são adequadas quando o fluxo ACC seleccionado pela Start Campus exigir esses artefactos.[2]</w:t>
      </w:r>
    </w:p>
    <w:p>
      <w:pPr>
        <w:spacing w:after="100"/>
      </w:pPr>
      <w:r>
        <w:t>O módulo actual entrega documentos através do fluxo Data Management: criar storage, transferir o ficheiro e criar a versão/item no destino. A equipa de IT deve configurar por projecto ACC uma pasta destino e um mapeamento explícito para o projecto da plataforma.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Configuração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Acção IT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Aceitação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Aplicação Autodesk técnica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Registar/validar credenciais APS dedicadas e scopes mínimos para o caso de uso.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token é emitido no backend e nunca chega ao browser.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Associação de projecto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Definir ACC_PROJECT_ID para cada contexto ACC aplicável.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 ID refere o projecto exacto, não o hub inteiro.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Pasta documental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Definir ACC_FOLDER_ID na zona ambiental autorizada.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Um PDF de teste surge apenas na pasta Ambiente acordada.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Regras de negócio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Mapear tipo de documento, projecto, semana e empresa para o nome/caminho.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Não há sobreposição de documentos de projectos diferentes.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Monitorização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Registar erro, correlação e URL de item devolvida, sem expor tokens.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Falhas ACC não bloqueiam a aplicação nem apagam o registo local.</w:t>
            </w:r>
          </w:p>
        </w:tc>
      </w:tr>
    </w:tbl>
    <w:p>
      <w:pPr>
        <w:spacing w:after="40"/>
      </w:pPr>
    </w:p>
    <w:p>
      <w:pPr>
        <w:pStyle w:val="Heading2"/>
      </w:pPr>
      <w:r>
        <w:t>6. Email corporativo e convites</w:t>
      </w:r>
    </w:p>
    <w:p>
      <w:pPr>
        <w:spacing w:after="100"/>
      </w:pPr>
      <w:r>
        <w:t>O módulo actual usa SMTP e já inclui notificações de submissão, aprovação/rejeição, convite, eliminação e prazos. A instrução insegura de palavra-passe fixa foi removida: o convite agora orienta cada pessoa a criar a sua palavra-passe no primeiro acesso.</w:t>
      </w:r>
    </w:p>
    <w:p>
      <w:pPr>
        <w:spacing w:after="100"/>
      </w:pPr>
      <w:r>
        <w:t>Antes de activar envio real, a equipa deve criar uma caixa técnica, como apoioamb@…, e configurar TLS/STARTTLS, SPF, DKIM e DMARC. O modo de staging deve usar uma lista fechada e endereços de teste. Em produção, os destinatários da RAA devem ser definidos por projecto, e os alertas de incidente devem ir para uma lista de distribuição e um suplente, nunca para uma única pessoa.</w:t>
      </w:r>
    </w:p>
    <w:p>
      <w:pPr>
        <w:pStyle w:val="Heading2"/>
      </w:pPr>
      <w:r>
        <w:t>7. Segurança, CI/CD e recuperação operacional</w:t>
      </w:r>
    </w:p>
    <w:p>
      <w:pPr>
        <w:spacing w:after="100"/>
      </w:pPr>
      <w:r>
        <w:t>O repositório já contém CI, deployment aprovado, watchdog de PM2, backup, health check e scripts de rollback. A protecção de branch GitHub deve exigir pull request, revisão independente, checks obrigatórios e bloqueio de force-push.[3] O environment production deve exigir aprovação humana antes de expor segredos ou iniciar deployment.[4]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Controlo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Implementação no servidor Start Campus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Prova exigida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Processo aplicacional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PM2 com backoff e limites de reinício.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Reinício manual não cria crash-loop.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Watchdog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Serviço systemd plataforma-watchdog, utilizador plataforma, configuração em /etc/plataforma-ambiental/watchdog.env.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Três falhas em cinco minutos geram um incidente deduplicado.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Backup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Dump MySQL comprimido, hash SHA-256, retenção e teste de restauro em staging.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Backup só é aceite depois de uma reposição bem-sucedida.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Alertas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Múltiplos destinatários e excerto de log sanitizado.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Tokens/segredos aparecem como [REDACTED].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Deploy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Release versionada, mudança atómica de symlink, health check /api/health/ready.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 readiness falhar, a release anterior é reposta.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IA de triagem, se aprovada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Pode abrir proposta/PR mínima a partir de incidente sanitizado.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Nunca tem permissão de merge, deploy, migração destrutiva ou leitura de segredos.</w:t>
            </w:r>
          </w:p>
        </w:tc>
      </w:tr>
    </w:tbl>
    <w:p>
      <w:pPr>
        <w:spacing w:after="40"/>
      </w:pPr>
    </w:p>
    <w:p>
      <w:pPr>
        <w:pStyle w:val="Quote"/>
      </w:pPr>
      <w:r>
        <w:t>A IA pode acelerar a investigação, mas a aprovação de código e a publicação continuam a exigir decisão humana.</w:t>
      </w:r>
    </w:p>
    <w:p>
      <w:pPr>
        <w:pStyle w:val="Heading2"/>
      </w:pPr>
      <w:r>
        <w:t>8. Integração BMS fase 2 — SIN01 / NEST</w:t>
      </w:r>
    </w:p>
    <w:p>
      <w:pPr>
        <w:spacing w:after="100"/>
      </w:pPr>
      <w:r>
        <w:t>A STAND já inclui o cockpit de Operação, importação Excel auditável, mapeamento de cabeçalhos, faturas, reconciliação, cenários e regras aprovadas. A fase 2 acrescenta uma rota de receção BMS assinada, inativa enquanto o IT não configurar o segredo e a conta técnica no cofre. Não expõe credenciais BMS, não abre conexões da aplicação para a rede OT e não pode enviar comandos ao edifício.</w:t>
      </w:r>
    </w:p>
    <w:p>
      <w:pPr>
        <w:spacing w:after="100"/>
      </w:pPr>
      <w:r>
        <w:t>O gateway corporativo é o único componente que comunica com o BMS local e faz POST HTTPS para a aplicação. O contrato impõe HMAC-SHA256, timestamp de cinco minutos, eventId idempotente, projeto único SIN01 e allowlist de métricas/granularidades. A referência completa, payload, métricas e testes de aceitação estão em Integração BMS — Fase 2.</w:t>
      </w:r>
    </w:p>
    <w:p>
      <w:pPr>
        <w:pStyle w:val="Heading2"/>
      </w:pPr>
      <w:r>
        <w:t>9. Fotogrametria DJI / NodeODM</w:t>
      </w:r>
    </w:p>
    <w:p>
      <w:pPr>
        <w:spacing w:after="100"/>
      </w:pPr>
      <w:r>
        <w:t>O módulo de Mapa e de fotogrametria foi retirado da aplicação activa por decisão de produto em 31 de Agosto de 2026. A Plataforma não expõe rotas, ecrãs, APIs, armazenamento ou tabelas de dados para levantamentos DJI, ortofotos, DSM ou NodeODM.</w:t>
      </w:r>
    </w:p>
    <w:p>
      <w:pPr>
        <w:spacing w:after="100"/>
      </w:pPr>
      <w:r>
        <w:t>Caso a Start Campus pretenda retomar esta possibilidade, deverá ser planeada como iniciativa separada, num worker privado e isolado da aplicação web. Os requisitos de segurança, capacidade e aceitação estão registados no documento Ferramentas Futuras; não constituem trabalho de implementação pendente para a equipa de IT nesta versão.</w:t>
      </w:r>
    </w:p>
    <w:p>
      <w:pPr>
        <w:pStyle w:val="Heading2"/>
      </w:pPr>
      <w:r>
        <w:t>10. Testes de aceitação antes de produção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obrigatório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Convite de pessoa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 pessoa cria palavra-passe própria; não recebe credencial partilhada; Admin mantém o controlo de roles.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EE e EEP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EEP só vê KPI/Resíduos autorizados e projectos permitidos; EE vê apenas os seus parceiros; Admin tem audit trail.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SharePoint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Ficha aprovada fica no caminho correcto, com URL/referência e recuperação confirmada.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ACC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Documento é carregado uma vez na pasta correcta e a falha devolve erro controlado sem perder o workflow.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KPI/MIRR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Exportação por período mostra cabeçalhos profissionais, resumo e detalhe semanal correctos.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Recuperação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Crash-loop em staging cria backup, alerta para vários destinatários, issue/PR opcional e rollback após readiness falhar.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Segurança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Segredos não surgem em Git/logs; auditoria de dependências, testes e health check passam.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BMS fase 2, se ativada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Assinatura válida aceita eventos, repetição é idempotente, assinatura/métrica inválida não escreve, e a semana é reconciliada com a fonte aprovada.</w:t>
            </w:r>
          </w:p>
        </w:tc>
      </w:tr>
    </w:tbl>
    <w:p>
      <w:pPr>
        <w:spacing w:after="40"/>
      </w:pPr>
    </w:p>
    <w:p>
      <w:pPr>
        <w:pStyle w:val="Heading2"/>
      </w:pPr>
      <w:r>
        <w:t>11. Entregáveis que o IT deve devolver à Start Campus</w:t>
      </w:r>
    </w:p>
    <w:p>
      <w:pPr>
        <w:spacing w:after="100"/>
      </w:pPr>
      <w:r>
        <w:t>A passagem a produção deve terminar com um dossier de evidências: diagrama de rede e identidades técnicas; inventário de segredos e rotação; mapeamento projecto plataforma→ACC→SharePoint; resultado de testes de upload/arquivo/restauro; prova de SPF/DKIM/DMARC; relatório de health check e rollback; e evidência de branch protection/reviews. O template RDCD final continua a ser o elemento funcional que falta para validar a geração do relatório oficial com a estrutura exigida pela APA.</w:t>
      </w:r>
    </w:p>
    <w:p>
      <w:pPr>
        <w:pStyle w:val="Heading2"/>
      </w:pPr>
      <w:r>
        <w:t>Referências</w:t>
      </w:r>
    </w:p>
    <w:p>
      <w:pPr>
        <w:spacing w:after="100"/>
      </w:pPr>
      <w:r>
        <w:t>[1]: https://learn.microsoft.com/en-us/graph/api/resources/sharepoint?view=graph-rest-1.0 "Microsoft Learn — Working with SharePoint sites in Microsoft Graph"</w:t>
      </w:r>
    </w:p>
    <w:p>
      <w:pPr>
        <w:spacing w:after="100"/>
      </w:pPr>
      <w:r>
        <w:t>[2]: https://aps.autodesk.com/en/docs/acc/v1/overview/introduction/ "Autodesk Platform Services — Forma/ACC APIs"</w:t>
      </w:r>
    </w:p>
    <w:p>
      <w:pPr>
        <w:spacing w:after="100"/>
      </w:pPr>
      <w:r>
        <w:t>[3]: https://docs.github.com/en/repositories/configuring-branches-and-merges-in-your-repository/managing-protected-branches/managing-a-branch-protection-rule "GitHub Docs — Managing a branch protection rule"</w:t>
      </w:r>
    </w:p>
    <w:p>
      <w:pPr>
        <w:spacing w:after="100"/>
      </w:pPr>
      <w:r>
        <w:t>[4]: https://docs.github.com/actions/deployment/targeting-different-environments/using-environments-for-deployment "GitHub Docs — Using environments for deployment"</w:t>
      </w:r>
    </w:p>
    <w:p>
      <w:pPr>
        <w:spacing w:after="100"/>
      </w:pPr>
      <w:r>
        <w:t>[5]: https://opendronemap.org/nodeodm/ "OpenDroneMap — NodeODM"</w:t>
      </w:r>
    </w:p>
    <w:p>
      <w:r>
        <w:br w:type="page"/>
      </w:r>
    </w:p>
    <w:p>
      <w:pPr>
        <w:pStyle w:val="Heading1"/>
      </w:pPr>
      <w:r>
        <w:t>Integração BMS — Fase 2 — SIN01 / NEST</w:t>
      </w:r>
    </w:p>
    <w:p>
      <w:pPr>
        <w:spacing w:after="100"/>
      </w:pPr>
      <w:r>
        <w:t>Estado: implementada no código, inativa por defeito até configuração pelo IT da Start Campus.</w:t>
      </w:r>
    </w:p>
    <w:p>
      <w:pPr>
        <w:spacing w:after="100"/>
      </w:pPr>
      <w:r>
        <w:t>Âmbito: receção segura de telemetria operacional do SIN01 / NEST para alimentar leituras existentes de Operação.</w:t>
      </w:r>
    </w:p>
    <w:p>
      <w:pPr>
        <w:spacing w:after="100"/>
      </w:pPr>
      <w:r>
        <w:t>Não é: acesso remoto à rede OT, polling do BMS, acesso de browser ao BMS, nem substituto de validação de engenharia.</w:t>
      </w:r>
    </w:p>
    <w:p>
      <w:pPr>
        <w:pStyle w:val="Heading2"/>
      </w:pPr>
      <w:r>
        <w:t>1. Decisão de arquitetura</w:t>
      </w:r>
    </w:p>
    <w:p>
      <w:pPr>
        <w:spacing w:after="100"/>
      </w:pPr>
      <w:r>
        <w:t>A aplicação não inicia ligações a controladores, PLCs ou BMS. O IT instala ou configura um gateway de integração no perímetro corporativo que lê os dados autorizados localmente e envia eventos HTTPS para a aplicação.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flowchart LR</w:t>
              <w:br/>
              <w:t xml:space="preserve">  BMS["BMS / rede OT"] --&gt;|"ligação local autorizada"| GW["Gateway corporativo\nallowlist + buffer"]</w:t>
              <w:br/>
              <w:t xml:space="preserve">  GW --&gt;|"HTTPS + HMAC + eventId"| APP["STAND API\nreceção BMS"]</w:t>
              <w:br/>
              <w:t xml:space="preserve">  APP --&gt;|"métricas canónicas"| DB[("Leituras de Operação")]</w:t>
              <w:br/>
              <w:t xml:space="preserve">  DB --&gt; UI["Cockpit NEST\nqualidade, limites, tendências"]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Limite</w:t>
            </w:r>
          </w:p>
        </w:tc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 aplicada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Direção de rede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Apenas saída do gateway para o domínio HTTPS da aplicação. A aplicação não abre sockets para a rede OT.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Autenticação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Cada evento exige HMAC-SHA256, timestamp e corpo intacto. Sem segredo configurado, a rota devolve 503 e não escreve dados.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Repetições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eventId é único por projeto; repetição é aceite como idempotente (202) e não cria leituras adicionais.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Dados aceites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Apenas métricas canónicas do SIN01 e granularidade permitida. Campos desconhecidos são rejeitados.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Rastreabilidade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É guardado o lote, data, qualidade, hash do payload e evento; não é guardado o segredo nem a carga bruta.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Segurança operacional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 aplicação nunca envia comandos, setpoints ou alterações de configuração ao BMS.</w:t>
            </w:r>
          </w:p>
        </w:tc>
      </w:tr>
    </w:tbl>
    <w:p>
      <w:pPr>
        <w:spacing w:after="40"/>
      </w:pPr>
    </w:p>
    <w:p>
      <w:pPr>
        <w:pStyle w:val="Heading2"/>
      </w:pPr>
      <w:r>
        <w:t>2. Pré-requisitos do IT</w:t>
      </w:r>
    </w:p>
    <w:p>
      <w:pPr>
        <w:pStyle w:val="ListNumber"/>
      </w:pPr>
      <w:r>
        <w:t>Criar uma conta técnica interna apenas para auditoria da integração, sem acesso interativo nem permissões administrativas de plataforma.</w:t>
      </w:r>
    </w:p>
    <w:p>
      <w:pPr>
        <w:pStyle w:val="ListNumber"/>
      </w:pPr>
      <w:r>
        <w:t>Criar BMS_INGEST_HMAC_SECRET com valor aleatório de pelo menos 32 bytes, num cofre de segredos. O segredo existe apenas no gateway e no ambiente de produção.</w:t>
      </w:r>
    </w:p>
    <w:p>
      <w:pPr>
        <w:pStyle w:val="ListNumber"/>
      </w:pPr>
      <w:r>
        <w:t>Guardar o identificador interno dessa conta em BMS_SERVICE_USER_ID no cofre/ficheiro de sistema do servidor.</w:t>
      </w:r>
    </w:p>
    <w:p>
      <w:pPr>
        <w:pStyle w:val="ListNumber"/>
      </w:pPr>
      <w:r>
        <w:t>Permitir ao gateway apenas POST HTTPS para https://&lt;domínio-start-campus&gt;/api/integrations/bms/v1/readings.</w:t>
      </w:r>
    </w:p>
    <w:p>
      <w:pPr>
        <w:pStyle w:val="ListNumber"/>
      </w:pPr>
      <w:r>
        <w:t>Configurar logs do gateway com eventId, estado HTTP e tempo, nunca o segredo ou corpo integral do evento.</w:t>
      </w:r>
    </w:p>
    <w:p>
      <w:pPr>
        <w:pStyle w:val="ListNumber"/>
      </w:pPr>
      <w:r>
        <w:t>Confirmar sincronização NTP entre gateway e servidor; a API só aceita um desvio de relógio de cinco minutos.</w:t>
      </w:r>
    </w:p>
    <w:p>
      <w:pPr>
        <w:pStyle w:val="Quote"/>
      </w:pPr>
      <w:r>
        <w:t>A habilitação da fase BMS não requer segredo no repositório. Se qualquer uma das duas variáveis não existir, a integração mantém-se bloqueada por desenho.</w:t>
      </w:r>
    </w:p>
    <w:p>
      <w:pPr>
        <w:pStyle w:val="Heading2"/>
      </w:pPr>
      <w:r>
        <w:t>3. Contrato do evento</w:t>
      </w:r>
    </w:p>
    <w:p>
      <w:pPr>
        <w:pStyle w:val="Heading3"/>
      </w:pPr>
      <w:r>
        <w:t>Cabeçalhos obrigatórios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Cabeçalho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Content-Type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application/json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Obrigatório.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X-BMS-Timestamp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2026-10-06T08:30:00.000Z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ISO 8601, tolerância de ±5 minutos.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X-BMS-Signature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hex HMAC-SHA256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HMAC de timestamp + "." + rawBody, calculado sobre o JSON não alterado.</w:t>
            </w:r>
          </w:p>
        </w:tc>
      </w:tr>
    </w:tbl>
    <w:p>
      <w:pPr>
        <w:spacing w:after="40"/>
      </w:pPr>
    </w:p>
    <w:p>
      <w:pPr>
        <w:pStyle w:val="Heading3"/>
      </w:pPr>
      <w:r>
        <w:t>Corpo canónico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102C2D"/>
            <w:tcBorders>
              <w:top w:val="single" w:sz="6" w:color="2E5554"/>
              <w:left w:val="single" w:sz="6" w:color="2E5554"/>
              <w:bottom w:val="single" w:sz="6" w:color="2E5554"/>
              <w:right w:val="single" w:sz="6" w:color="2E5554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color w:val="E8FFF3"/>
                <w:sz w:val="15"/>
              </w:rPr>
              <w:t>{</w:t>
              <w:br/>
              <w:t xml:space="preserve">  "eventId": "nest-20261006-083000-0001",</w:t>
              <w:br/>
              <w:t xml:space="preserve">  "projectCode": "SIN01",</w:t>
              <w:br/>
              <w:t xml:space="preserve">  "measuredAt": "2026-10-06T08:30:00.000Z",</w:t>
              <w:br/>
              <w:t xml:space="preserve">  "readings": [</w:t>
              <w:br/>
              <w:t xml:space="preserve">    {</w:t>
              <w:br/>
              <w:t xml:space="preserve">      "metricCode": "it_power_15m_kw",</w:t>
              <w:br/>
              <w:t xml:space="preserve">      "value": 1200.4,</w:t>
              <w:br/>
              <w:t xml:space="preserve">      "granularity": "quinze_minutos",</w:t>
              <w:br/>
              <w:t xml:space="preserve">      "dataQuality": "valid"</w:t>
              <w:br/>
              <w:t xml:space="preserve">    },</w:t>
              <w:br/>
              <w:t xml:space="preserve">    {</w:t>
              <w:br/>
              <w:t xml:space="preserve">      "metricCode": "pue_15m",</w:t>
              <w:br/>
              <w:t xml:space="preserve">      "value": 1.18,</w:t>
              <w:br/>
              <w:t xml:space="preserve">      "granularity": "quinze_minutos",</w:t>
              <w:br/>
              <w:t xml:space="preserve">      "dataQuality": "warning",</w:t>
              <w:br/>
              <w:t xml:space="preserve">      "qualityNote": "Manutenção planeada no circuito secundário."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pStyle w:val="Heading3"/>
      </w:pPr>
      <w:r>
        <w:t>Métricas aceites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Unidade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Granularidade</w:t>
            </w:r>
          </w:p>
        </w:tc>
        <w:tc>
          <w:tcPr>
            <w:tcW w:type="dxa" w:w="2408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Uso na STAND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site_power_15m_kw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kW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Potência do site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it_power_15m_kw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kW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Carga TI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pue_15m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rácio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Eficiência instantânea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cooling_cycles_15m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N.º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Ciclos de arrefecimento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seawater_flow_15m_lps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L/s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Caudal de captação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seawater_intake_temp_15m_c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°C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Temperatura de captação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wue_15m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L/kWh TI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15 minutos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WUE reportado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site_energy_kwh_daily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kWh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Energia de site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it_energy_kwh_daily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kWh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Energia TI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pue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rácio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PUE diário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seawater_flow_lps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L/s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Caudal diário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seawater_intake_temp_c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°C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Temperatura de captação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seawater_return_temp_c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°C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Temperatura de descarga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seawater_pumping_cop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térmico/elétrico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COP de bombagem</w:t>
            </w:r>
          </w:p>
        </w:tc>
      </w:tr>
      <w:tr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wue_reportado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L/kWh TI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diário</w:t>
            </w:r>
          </w:p>
        </w:tc>
        <w:tc>
          <w:tcPr>
            <w:tcW w:type="dxa" w:w="240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WUE reportado</w:t>
            </w:r>
          </w:p>
        </w:tc>
      </w:tr>
    </w:tbl>
    <w:p>
      <w:pPr>
        <w:spacing w:after="40"/>
      </w:pPr>
    </w:p>
    <w:p>
      <w:pPr>
        <w:spacing w:after="100"/>
      </w:pPr>
      <w:r>
        <w:t>A API aceita no máximo 500 leituras por evento, valores não negativos e uma única ocorrência de cada combinação metricCode + granularidade por evento. O gateway deve enviar leituras em blocos pequenos; não deve enviar dumps históricos sem aprovação do responsável de Operação.</w:t>
      </w:r>
    </w:p>
    <w:p>
      <w:pPr>
        <w:pStyle w:val="Heading2"/>
      </w:pPr>
      <w:r>
        <w:t>4. Fluxo de ativação e aceitação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Passo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Ação IT</w:t>
            </w:r>
          </w:p>
        </w:tc>
        <w:tc>
          <w:tcPr>
            <w:tcW w:type="dxa" w:w="3211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Evidência de aceitação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1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Criar gateway em staging e configurar NTP.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Relógio do gateway e servidor sincronizados.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2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Configurar segredo e conta técnica exclusivamente no cofre.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Variáveis presentes no serviço, ausentes de Git/logs.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3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Enviar evento de teste com duas métricas canónicas.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202, lote e leituras visíveis no separador Dados de Operação.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4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Reenviar exatamente o mesmo eventId.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202 com duplicate: true; contagem de leituras não aumenta.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5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Alterar uma letra na assinatura.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401; nenhuma escrita na base.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6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Enviar métrica/granularidade não suportada.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400; nenhuma escrita na base.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7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Remover temporariamente segredo do ambiente de staging.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503; a integração fica desativada de forma segura.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8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Comparar uma semana BMS com o relatório Excel/fonte de origem.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Desvio explicado, qualidade registada e aceite pelo responsável técnico.</w:t>
            </w:r>
          </w:p>
        </w:tc>
      </w:tr>
      <w:tr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9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Produção</w:t>
            </w:r>
          </w:p>
        </w:tc>
        <w:tc>
          <w:tcPr>
            <w:tcW w:type="dxa" w:w="3211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Aprovação conjunta Infraestruturas + Operação + Segurança; plano de reversão documentado.</w:t>
            </w:r>
          </w:p>
        </w:tc>
      </w:tr>
    </w:tbl>
    <w:p>
      <w:pPr>
        <w:spacing w:after="40"/>
      </w:pPr>
    </w:p>
    <w:p>
      <w:pPr>
        <w:pStyle w:val="Heading2"/>
      </w:pPr>
      <w:r>
        <w:t>5. Operação contínua</w:t>
      </w:r>
    </w:p>
    <w:p>
      <w:pPr>
        <w:pStyle w:val="ListBullet"/>
      </w:pPr>
      <w:r>
        <w:t>O gateway pode manter uma fila local cifrada para indisponibilidades temporárias e reencaminhar eventos com o mesmo eventId.</w:t>
      </w:r>
    </w:p>
    <w:p>
      <w:pPr>
        <w:pStyle w:val="ListBullet"/>
      </w:pPr>
      <w:r>
        <w:t>A aplicação já dispõe de importação Excel auditável; esta continua a ser o fallback caso o gateway esteja indisponível.</w:t>
      </w:r>
    </w:p>
    <w:p>
      <w:pPr>
        <w:pStyle w:val="ListBullet"/>
      </w:pPr>
      <w:r>
        <w:t>A qualidade warning mantém a leitura visível mas separada de leituras válidas nos indicadores de cobertura. Leituras invalid não entram neste endpoint.</w:t>
      </w:r>
    </w:p>
    <w:p>
      <w:pPr>
        <w:pStyle w:val="ListBullet"/>
      </w:pPr>
      <w:r>
        <w:t>Cada alteração a limites, fatores de carbono, preços, fórmulas e mapeamentos continua a ser feita apenas pela Administração na área Operação e permanece auditada.</w:t>
      </w:r>
    </w:p>
    <w:p>
      <w:pPr>
        <w:pStyle w:val="ListBullet"/>
      </w:pPr>
      <w:r>
        <w:t>Alertas derivados de telemetria devem começar em modo de observação. Só depois da validação do responsável técnico é aceitável usar um limiar aprovado como sinal de desvio.</w:t>
      </w:r>
    </w:p>
    <w:p>
      <w:pPr>
        <w:pStyle w:val="Heading2"/>
      </w:pPr>
      <w:r>
        <w:t>6.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Equipa</w:t>
            </w:r>
          </w:p>
        </w:tc>
        <w:tc>
          <w:tcPr>
            <w:tcW w:type="dxa" w:w="4816"/>
            <w:shd w:fill="0A3638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Infraestruturas / BMS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Fonte, gateway, qualidade e significado físico das leituras.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IT / Segurança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Rede, cofre de segredos, gestão da conta técnica, monitorização e resposta a incidente.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Operação NEST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Aprovação de métricas, limites, regras de cálculo e reconciliação operacional.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Ambiental / RAA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Consulta de indicadores ambientais e rastreabilidade; não reconfigura a fonte BMS.</w:t>
            </w:r>
          </w:p>
        </w:tc>
      </w:tr>
      <w:tr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Plataforma STAND</w:t>
            </w:r>
          </w:p>
        </w:tc>
        <w:tc>
          <w:tcPr>
            <w:tcW w:type="dxa" w:w="4816"/>
            <w:vAlign w:val="center"/>
            <w:tcBorders>
              <w:top w:val="single" w:sz="6" w:color="D3DFDA"/>
              <w:left w:val="single" w:sz="6" w:color="D3DFDA"/>
              <w:bottom w:val="single" w:sz="6" w:color="D3DFDA"/>
              <w:right w:val="single" w:sz="6" w:color="D3DFDA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212F"/>
                <w:sz w:val="16"/>
              </w:rPr>
              <w:t>Validação de contrato, persistência idempotente, auditoria, qualidade, dashboard e acesso por RBAC.</w:t>
            </w:r>
          </w:p>
        </w:tc>
      </w:tr>
    </w:tbl>
    <w:p>
      <w:pPr>
        <w:spacing w:after="40"/>
      </w:pPr>
    </w:p>
    <w:p>
      <w:pPr>
        <w:pStyle w:val="Heading2"/>
      </w:pPr>
      <w:r>
        <w:t>7. Limites conhecidos</w:t>
      </w:r>
    </w:p>
    <w:p>
      <w:pPr>
        <w:spacing w:after="100"/>
      </w:pPr>
      <w:r>
        <w:t>Esta fase não cria um modelo de controlo do edifício nem uma ligação direta a sistemas industriais. A STAND usa dados recebidos para análise e tomada de decisão; qualquer ação sobre a infraestrutura continua nos sistemas técnicos aprovados e nos procedimentos operacionais da Start Campus.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E6C76"/>
        <w:sz w:val="16"/>
      </w:rPr>
      <w:t xml:space="preserve">Uso interno · Informação operacional controlada · </w:t>
    </w:r>
    <w:r>
      <w:rPr>
        <w:rFonts w:ascii="Aptos" w:hAnsi="Aptos"/>
        <w:color w:val="5E6C76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A859"/>
        <w:sz w:val="16"/>
      </w:rPr>
      <w:t>STAND  /  START CAMPUS     GUIA DE IMPLEMENTAÇÃO 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1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363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A36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A36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