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left"/>
      </w:pPr>
      <w:r>
        <w:rPr>
          <w:rFonts w:ascii="Aptos" w:hAnsi="Aptos"/>
          <w:b/>
          <w:color w:val="00C65A"/>
          <w:sz w:val="20"/>
        </w:rPr>
        <w:t>STAND  /  START CAMPUS</w:t>
      </w:r>
    </w:p>
    <w:p>
      <w:pPr>
        <w:spacing w:before="120" w:after="200"/>
      </w:pPr>
      <w:r>
        <w:rPr>
          <w:rFonts w:ascii="Aptos Display" w:hAnsi="Aptos Display"/>
          <w:b/>
          <w:color w:val="0A3638"/>
          <w:sz w:val="58"/>
        </w:rPr>
        <w:t>Avaliação Técnica</w:t>
        <w:br/>
        <w:t>da Arquitetura Proposta</w:t>
      </w:r>
    </w:p>
    <w:p>
      <w:pPr>
        <w:spacing w:after="360"/>
      </w:pPr>
      <w:r>
        <w:rPr>
          <w:rFonts w:ascii="Aptos" w:hAnsi="Aptos"/>
          <w:color w:val="17201F"/>
          <w:sz w:val="28"/>
        </w:rPr>
        <w:t>Fase 1 — Plataforma de Governação Ambiental STAND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8F7EF"/>
            <w:tcBorders>
              <w:top w:val="single" w:sz="10" w:space="0" w:color="00C65A"/>
              <w:left w:val="single" w:sz="10" w:space="0" w:color="00C65A"/>
              <w:bottom w:val="single" w:sz="10" w:space="0" w:color="00C65A"/>
              <w:right w:val="single" w:sz="10" w:space="0" w:color="00C65A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3638"/>
                <w:sz w:val="20"/>
              </w:rPr>
              <w:t>Parecer executivo</w:t>
            </w:r>
          </w:p>
          <w:p>
            <w:pPr>
              <w:spacing w:after="0"/>
            </w:pPr>
            <w:r>
              <w:rPr>
                <w:rFonts w:ascii="Aptos" w:hAnsi="Aptos"/>
                <w:color w:val="17201F"/>
                <w:sz w:val="19"/>
              </w:rPr>
              <w:t>A arquitetura é adequada para arrancar a Fase 1 em staging e piloto, desde que os controlos indicados neste documento sejam implementados antes da entrada em produção. A separação Internet → DMZ/WAF → Aplicação → Dados é correta e compatível com os requisitos de segurança, RBAC, auditoria e continuidade operacional da STAND.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F2F6F5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/>
                <w:color w:val="0A3638"/>
                <w:sz w:val="18"/>
              </w:rPr>
              <w:t>Data de avaliação</w:t>
            </w:r>
          </w:p>
        </w:tc>
        <w:tc>
          <w:tcPr>
            <w:tcW w:type="dxa" w:w="4933"/>
            <w:shd w:fill="FFFFFF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8"/>
              </w:rPr>
              <w:t>06 de outubro de 2026</w:t>
            </w:r>
          </w:p>
        </w:tc>
      </w:tr>
      <w:tr>
        <w:tc>
          <w:tcPr>
            <w:tcW w:type="dxa" w:w="4933"/>
            <w:shd w:fill="F2F6F5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/>
                <w:color w:val="0A3638"/>
                <w:sz w:val="18"/>
              </w:rPr>
              <w:t>Âmbito</w:t>
            </w:r>
          </w:p>
        </w:tc>
        <w:tc>
          <w:tcPr>
            <w:tcW w:type="dxa" w:w="4933"/>
            <w:shd w:fill="FFFFFF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8"/>
              </w:rPr>
              <w:t>Arquitetura de alojamento e segurança para a primeira fase da STAND</w:t>
            </w:r>
          </w:p>
        </w:tc>
      </w:tr>
      <w:tr>
        <w:tc>
          <w:tcPr>
            <w:tcW w:type="dxa" w:w="4933"/>
            <w:shd w:fill="F2F6F5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/>
                <w:color w:val="0A3638"/>
                <w:sz w:val="18"/>
              </w:rPr>
              <w:t>Decisão recomendada</w:t>
            </w:r>
          </w:p>
        </w:tc>
        <w:tc>
          <w:tcPr>
            <w:tcW w:type="dxa" w:w="4933"/>
            <w:shd w:fill="FFFFFF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8"/>
              </w:rPr>
              <w:t>Aprovação condicional para staging/piloto; produção após critérios de aceitação</w:t>
            </w:r>
          </w:p>
        </w:tc>
      </w:tr>
      <w:tr>
        <w:tc>
          <w:tcPr>
            <w:tcW w:type="dxa" w:w="4933"/>
            <w:shd w:fill="F2F6F5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/>
                <w:color w:val="0A3638"/>
                <w:sz w:val="18"/>
              </w:rPr>
              <w:t>Destinatários</w:t>
            </w:r>
          </w:p>
        </w:tc>
        <w:tc>
          <w:tcPr>
            <w:tcW w:type="dxa" w:w="4933"/>
            <w:shd w:fill="FFFFFF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8"/>
              </w:rPr>
              <w:t>IT, Segurança, Infraestruturas, Operação NEST e responsáveis da plataforma</w:t>
            </w:r>
          </w:p>
        </w:tc>
      </w:tr>
    </w:tbl>
    <w:p>
      <w:pPr>
        <w:spacing w:before="700" w:after="0"/>
      </w:pPr>
      <w:r>
        <w:rPr>
          <w:rFonts w:ascii="Aptos" w:hAnsi="Aptos"/>
          <w:i/>
          <w:color w:val="5A6662"/>
          <w:sz w:val="17"/>
        </w:rPr>
        <w:t>Classificação: uso interno — sujeito a validação final da equipa de IT e Segurança.</w:t>
      </w:r>
    </w:p>
    <w:p>
      <w:pPr>
        <w:sectPr>
          <w:headerReference w:type="default" r:id="rId9"/>
          <w:footerReference w:type="default" r:id="rId10"/>
          <w:pgSz w:w="11906" w:h="16838"/>
          <w:pgMar w:top="935" w:right="1020" w:bottom="935" w:left="1020" w:header="397" w:footer="425" w:gutter="0"/>
          <w:cols w:space="720"/>
          <w:docGrid w:linePitch="360"/>
        </w:sectPr>
      </w:pPr>
    </w:p>
    <w:p>
      <w:pPr>
        <w:pStyle w:val="Heading1"/>
        <w:spacing w:before="320" w:after="140"/>
      </w:pPr>
      <w:r>
        <w:rPr>
          <w:rFonts w:ascii="Aptos Display" w:hAnsi="Aptos Display"/>
          <w:color w:val="0A3638"/>
        </w:rPr>
        <w:t>Arquitetura de referência analisada</w:t>
      </w:r>
    </w:p>
    <w:p>
      <w:pPr>
        <w:spacing w:after="120" w:line="276" w:lineRule="auto"/>
      </w:pPr>
      <w:r>
        <w:rPr>
          <w:rFonts w:ascii="Aptos" w:hAnsi="Aptos"/>
          <w:color w:val="17201F"/>
          <w:sz w:val="20"/>
        </w:rPr>
        <w:t>Diagrama fornecido para a avaliação: perímetro Internet, DMZ de ingress, serviços de aplicação e zona de dados.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288000" cy="4316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ted_file_3u5qiA_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288000" cy="431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i/>
          <w:color w:val="5A6662"/>
          <w:sz w:val="17"/>
        </w:rPr>
        <w:t>Figura 1 — Proposta de segmentação HAProxy / BunkerWeb / App Nodes / MariaDB Galera / NAS.</w:t>
      </w:r>
    </w:p>
    <w:p>
      <w:pPr>
        <w:sectPr>
          <w:headerReference w:type="default" r:id="rId11"/>
          <w:footerReference w:type="default" r:id="rId12"/>
          <w:pgSz w:w="16838" w:h="11906" w:orient="landscape"/>
          <w:pgMar w:top="765" w:right="850" w:bottom="765" w:left="850" w:header="397" w:footer="425" w:gutter="0"/>
          <w:cols w:space="720"/>
          <w:docGrid w:linePitch="360"/>
        </w:sectPr>
      </w:pPr>
    </w:p>
    <w:p>
      <w:pPr>
        <w:pStyle w:val="Heading1"/>
        <w:spacing w:before="320" w:after="140"/>
      </w:pPr>
      <w:r>
        <w:rPr>
          <w:rFonts w:ascii="Aptos Display" w:hAnsi="Aptos Display"/>
          <w:color w:val="0A3638"/>
        </w:rPr>
        <w:t>1. Parecer e enquadramento</w:t>
      </w:r>
    </w:p>
    <w:p>
      <w:pPr>
        <w:spacing w:after="120" w:line="276" w:lineRule="auto"/>
      </w:pPr>
      <w:r>
        <w:rPr>
          <w:rFonts w:ascii="Aptos" w:hAnsi="Aptos"/>
          <w:color w:val="17201F"/>
          <w:sz w:val="20"/>
        </w:rPr>
        <w:t>A proposta aplica uma separação de zonas adequada para a STAND: o tráfego público termina no perímetro, atravessa uma camada WAF na DMZ, chega apenas a nós aplicacionais privados e só estes podem comunicar com a zona de dados. A aplicação não expõe diretamente a base de dados, armazenamento interno ou sistemas operacionais.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871"/>
            <w:shd w:fill="0A3638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Dimensão</w:t>
            </w:r>
          </w:p>
        </w:tc>
        <w:tc>
          <w:tcPr>
            <w:tcW w:type="dxa" w:w="1757"/>
            <w:shd w:fill="0A3638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Avaliação</w:t>
            </w:r>
          </w:p>
        </w:tc>
        <w:tc>
          <w:tcPr>
            <w:tcW w:type="dxa" w:w="5102"/>
            <w:shd w:fill="0A3638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Condição para aprovação</w:t>
            </w:r>
          </w:p>
        </w:tc>
      </w:tr>
      <w:tr>
        <w:tc>
          <w:tcPr>
            <w:tcW w:type="dxa" w:w="1871"/>
            <w:shd w:fill="F2F6F5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Segurança de perímetro</w:t>
            </w:r>
          </w:p>
        </w:tc>
        <w:tc>
          <w:tcPr>
            <w:tcW w:type="dxa" w:w="1757"/>
            <w:shd w:fill="F2F6F5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Adequada</w:t>
            </w:r>
          </w:p>
        </w:tc>
        <w:tc>
          <w:tcPr>
            <w:tcW w:type="dxa" w:w="5102"/>
            <w:shd w:fill="F2F6F5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HAProxy e BunkerWeb devem estar configurados com regras explícitas, TLS moderno e registo sanitizado.</w:t>
            </w:r>
          </w:p>
        </w:tc>
      </w:tr>
      <w:tr>
        <w:tc>
          <w:tcPr>
            <w:tcW w:type="dxa" w:w="1871"/>
            <w:shd w:fill="FFFFFF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Disponibilidade aplicacional</w:t>
            </w:r>
          </w:p>
        </w:tc>
        <w:tc>
          <w:tcPr>
            <w:tcW w:type="dxa" w:w="1757"/>
            <w:shd w:fill="FFFFFF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Adequada para Fase 1</w:t>
            </w:r>
          </w:p>
        </w:tc>
        <w:tc>
          <w:tcPr>
            <w:tcW w:type="dxa" w:w="5102"/>
            <w:shd w:fill="FFFFFF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Os dois App Nodes têm de executar a mesma versão e permanecer stateless.</w:t>
            </w:r>
          </w:p>
        </w:tc>
      </w:tr>
      <w:tr>
        <w:tc>
          <w:tcPr>
            <w:tcW w:type="dxa" w:w="1871"/>
            <w:shd w:fill="F2F6F5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Dados e continuidade</w:t>
            </w:r>
          </w:p>
        </w:tc>
        <w:tc>
          <w:tcPr>
            <w:tcW w:type="dxa" w:w="1757"/>
            <w:shd w:fill="F2F6F5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Adequada com reforço</w:t>
            </w:r>
          </w:p>
        </w:tc>
        <w:tc>
          <w:tcPr>
            <w:tcW w:type="dxa" w:w="5102"/>
            <w:shd w:fill="F2F6F5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Adicionar proxy/failover de base de dados, backups verificáveis e teste de restauro.</w:t>
            </w:r>
          </w:p>
        </w:tc>
      </w:tr>
      <w:tr>
        <w:tc>
          <w:tcPr>
            <w:tcW w:type="dxa" w:w="1871"/>
            <w:shd w:fill="FFFFFF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Integrações externas</w:t>
            </w:r>
          </w:p>
        </w:tc>
        <w:tc>
          <w:tcPr>
            <w:tcW w:type="dxa" w:w="1757"/>
            <w:shd w:fill="FFFFFF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Adequada</w:t>
            </w:r>
          </w:p>
        </w:tc>
        <w:tc>
          <w:tcPr>
            <w:tcW w:type="dxa" w:w="5102"/>
            <w:shd w:fill="FFFFFF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Somente saída HTTPS/SMTP autorizada a partir dos App Nodes; credenciais no cofre.</w:t>
            </w:r>
          </w:p>
        </w:tc>
      </w:tr>
      <w:tr>
        <w:tc>
          <w:tcPr>
            <w:tcW w:type="dxa" w:w="1871"/>
            <w:shd w:fill="F2F6F5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BMS / OT</w:t>
            </w:r>
          </w:p>
        </w:tc>
        <w:tc>
          <w:tcPr>
            <w:tcW w:type="dxa" w:w="1757"/>
            <w:shd w:fill="F2F6F5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Não incluído diretamente</w:t>
            </w:r>
          </w:p>
        </w:tc>
        <w:tc>
          <w:tcPr>
            <w:tcW w:type="dxa" w:w="5102"/>
            <w:shd w:fill="F2F6F5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A futura Fase 2 usa gateway outbound assinado; a aplicação nunca inicia ligações à rede OT.</w:t>
            </w:r>
          </w:p>
        </w:tc>
      </w:tr>
    </w:tbl>
    <w:p>
      <w:pPr>
        <w:spacing w:after="40"/>
      </w:pPr>
    </w:p>
    <w:p>
      <w:pPr>
        <w:pStyle w:val="Heading1"/>
        <w:spacing w:before="320" w:after="140"/>
      </w:pPr>
      <w:r>
        <w:rPr>
          <w:rFonts w:ascii="Aptos Display" w:hAnsi="Aptos Display"/>
          <w:color w:val="0A3638"/>
        </w:rPr>
        <w:t>2. Fluxo de referência para a STAND</w:t>
      </w:r>
    </w:p>
    <w:p>
      <w:pPr>
        <w:spacing w:after="120" w:line="276" w:lineRule="auto"/>
      </w:pPr>
      <w:r>
        <w:rPr>
          <w:rFonts w:ascii="Aptos" w:hAnsi="Aptos"/>
          <w:color w:val="17201F"/>
          <w:sz w:val="20"/>
        </w:rPr>
        <w:t>O caminho recomendado para pedidos de utilizadores e serviços externos deve ser o seguinte: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567"/>
            <w:shd w:fill="0A3638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Etapa</w:t>
            </w:r>
          </w:p>
        </w:tc>
        <w:tc>
          <w:tcPr>
            <w:tcW w:type="dxa" w:w="2835"/>
            <w:shd w:fill="0A3638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5329"/>
            <w:shd w:fill="0A3638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Função na Fase 1</w:t>
            </w:r>
          </w:p>
        </w:tc>
      </w:tr>
      <w:tr>
        <w:tc>
          <w:tcPr>
            <w:tcW w:type="dxa" w:w="567"/>
            <w:shd w:fill="F2F6F5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1</w:t>
            </w:r>
          </w:p>
        </w:tc>
        <w:tc>
          <w:tcPr>
            <w:tcW w:type="dxa" w:w="2835"/>
            <w:shd w:fill="F2F6F5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Utilizador / Internet</w:t>
            </w:r>
          </w:p>
        </w:tc>
        <w:tc>
          <w:tcPr>
            <w:tcW w:type="dxa" w:w="5329"/>
            <w:shd w:fill="F2F6F5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Acesso HTTPS ao domínio publicado da STAND.</w:t>
            </w:r>
          </w:p>
        </w:tc>
      </w:tr>
      <w:tr>
        <w:tc>
          <w:tcPr>
            <w:tcW w:type="dxa" w:w="567"/>
            <w:shd w:fill="FFFFFF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2</w:t>
            </w:r>
          </w:p>
        </w:tc>
        <w:tc>
          <w:tcPr>
            <w:tcW w:type="dxa" w:w="2835"/>
            <w:shd w:fill="FFFFFF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VIP HAProxy com VRRP</w:t>
            </w:r>
          </w:p>
        </w:tc>
        <w:tc>
          <w:tcPr>
            <w:tcW w:type="dxa" w:w="5329"/>
            <w:shd w:fill="FFFFFF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Ponto de entrada resiliente; distribui tráfego L4 sem expor os nós internos.</w:t>
            </w:r>
          </w:p>
        </w:tc>
      </w:tr>
      <w:tr>
        <w:tc>
          <w:tcPr>
            <w:tcW w:type="dxa" w:w="567"/>
            <w:shd w:fill="F2F6F5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3</w:t>
            </w:r>
          </w:p>
        </w:tc>
        <w:tc>
          <w:tcPr>
            <w:tcW w:type="dxa" w:w="2835"/>
            <w:shd w:fill="F2F6F5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BunkerWeb Workers</w:t>
            </w:r>
          </w:p>
        </w:tc>
        <w:tc>
          <w:tcPr>
            <w:tcW w:type="dxa" w:w="5329"/>
            <w:shd w:fill="F2F6F5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Termina TLS, executa WAF, rate limiting, validação de pedidos e cabeçalhos de segurança.</w:t>
            </w:r>
          </w:p>
        </w:tc>
      </w:tr>
      <w:tr>
        <w:tc>
          <w:tcPr>
            <w:tcW w:type="dxa" w:w="567"/>
            <w:shd w:fill="FFFFFF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4</w:t>
            </w:r>
          </w:p>
        </w:tc>
        <w:tc>
          <w:tcPr>
            <w:tcW w:type="dxa" w:w="2835"/>
            <w:shd w:fill="FFFFFF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App Node 1 / App Node 2</w:t>
            </w:r>
          </w:p>
        </w:tc>
        <w:tc>
          <w:tcPr>
            <w:tcW w:type="dxa" w:w="5329"/>
            <w:shd w:fill="FFFFFF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Executa React/Express/tRPC, RBAC, auditoria, workflows, Word/Excel e integrações externas.</w:t>
            </w:r>
          </w:p>
        </w:tc>
      </w:tr>
      <w:tr>
        <w:tc>
          <w:tcPr>
            <w:tcW w:type="dxa" w:w="567"/>
            <w:shd w:fill="F2F6F5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5</w:t>
            </w:r>
          </w:p>
        </w:tc>
        <w:tc>
          <w:tcPr>
            <w:tcW w:type="dxa" w:w="2835"/>
            <w:shd w:fill="F2F6F5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Proxy / VIP de base de dados</w:t>
            </w:r>
          </w:p>
        </w:tc>
        <w:tc>
          <w:tcPr>
            <w:tcW w:type="dxa" w:w="5329"/>
            <w:shd w:fill="F2F6F5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Fornece hostname único aos App Nodes e só encaminha para réplicas saudáveis.</w:t>
            </w:r>
          </w:p>
        </w:tc>
      </w:tr>
      <w:tr>
        <w:tc>
          <w:tcPr>
            <w:tcW w:type="dxa" w:w="567"/>
            <w:shd w:fill="FFFFFF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6</w:t>
            </w:r>
          </w:p>
        </w:tc>
        <w:tc>
          <w:tcPr>
            <w:tcW w:type="dxa" w:w="2835"/>
            <w:shd w:fill="FFFFFF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MariaDB Galera + garbd</w:t>
            </w:r>
          </w:p>
        </w:tc>
        <w:tc>
          <w:tcPr>
            <w:tcW w:type="dxa" w:w="5329"/>
            <w:shd w:fill="FFFFFF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Persistência transacional, alta disponibilidade e quorum; não substitui backup.</w:t>
            </w:r>
          </w:p>
        </w:tc>
      </w:tr>
      <w:tr>
        <w:tc>
          <w:tcPr>
            <w:tcW w:type="dxa" w:w="567"/>
            <w:shd w:fill="F2F6F5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7</w:t>
            </w:r>
          </w:p>
        </w:tc>
        <w:tc>
          <w:tcPr>
            <w:tcW w:type="dxa" w:w="2835"/>
            <w:shd w:fill="F2F6F5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Arquivos corporativos</w:t>
            </w:r>
          </w:p>
        </w:tc>
        <w:tc>
          <w:tcPr>
            <w:tcW w:type="dxa" w:w="5329"/>
            <w:shd w:fill="F2F6F5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SharePoint para documentos oficiais; NAS para backups cifrados e testes de restauro.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8F7EF"/>
            <w:tcBorders>
              <w:top w:val="single" w:sz="10" w:space="0" w:color="00C65A"/>
              <w:left w:val="single" w:sz="10" w:space="0" w:color="00C65A"/>
              <w:bottom w:val="single" w:sz="10" w:space="0" w:color="00C65A"/>
              <w:right w:val="single" w:sz="10" w:space="0" w:color="00C65A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3638"/>
                <w:sz w:val="20"/>
              </w:rPr>
              <w:t>Princípio a preservar</w:t>
            </w:r>
          </w:p>
          <w:p>
            <w:pPr>
              <w:spacing w:after="0"/>
            </w:pPr>
            <w:r>
              <w:rPr>
                <w:rFonts w:ascii="Aptos" w:hAnsi="Aptos"/>
                <w:color w:val="17201F"/>
                <w:sz w:val="19"/>
              </w:rPr>
              <w:t>A STAND é a fonte operacional de estados, permissões, auditoria e referências documentais. SharePoint é o arquivo documental oficial para documentos aprovados; MariaDB guarda dados transacionais e metadados, nunca BLOBs documentais como repositório definitivo.</w:t>
            </w:r>
          </w:p>
        </w:tc>
      </w:tr>
    </w:tbl>
    <w:p>
      <w:pPr>
        <w:spacing w:after="40"/>
      </w:pPr>
    </w:p>
    <w:p>
      <w:pPr>
        <w:pStyle w:val="Heading1"/>
        <w:spacing w:before="320" w:after="140"/>
      </w:pPr>
      <w:r>
        <w:rPr>
          <w:rFonts w:ascii="Aptos Display" w:hAnsi="Aptos Display"/>
          <w:color w:val="0A3638"/>
        </w:rPr>
        <w:t>3. Pontos fortes do desenho</w:t>
      </w:r>
    </w:p>
    <w:p>
      <w:pPr>
        <w:pStyle w:val="ListBullet"/>
        <w:spacing w:after="60"/>
        <w:ind w:left="312"/>
      </w:pPr>
      <w:r>
        <w:rPr>
          <w:rFonts w:ascii="Aptos" w:hAnsi="Aptos"/>
          <w:color w:val="17201F"/>
          <w:sz w:val="20"/>
        </w:rPr>
        <w:t>Dois HAProxy com VRRP/VIP evitam que uma falha isolada no ponto de entrada publique indisponibilidade total.</w:t>
      </w:r>
    </w:p>
    <w:p>
      <w:pPr>
        <w:pStyle w:val="ListBullet"/>
        <w:spacing w:after="60"/>
        <w:ind w:left="312"/>
      </w:pPr>
      <w:r>
        <w:rPr>
          <w:rFonts w:ascii="Aptos" w:hAnsi="Aptos"/>
          <w:color w:val="17201F"/>
          <w:sz w:val="20"/>
        </w:rPr>
        <w:t>O BunkerWeb fica antes da aplicação, permitindo WAF, limitação de pedidos, TLS e bloqueio de padrões maliciosos sem expor diretamente Express/Node.</w:t>
      </w:r>
    </w:p>
    <w:p>
      <w:pPr>
        <w:pStyle w:val="ListBullet"/>
        <w:spacing w:after="60"/>
        <w:ind w:left="312"/>
      </w:pPr>
      <w:r>
        <w:rPr>
          <w:rFonts w:ascii="Aptos" w:hAnsi="Aptos"/>
          <w:color w:val="17201F"/>
          <w:sz w:val="20"/>
        </w:rPr>
        <w:t>Dois App Nodes permitem manutenção e atualização sem parar a plataforma, desde que não haja estado local persistente.</w:t>
      </w:r>
    </w:p>
    <w:p>
      <w:pPr>
        <w:pStyle w:val="ListBullet"/>
        <w:spacing w:after="60"/>
        <w:ind w:left="312"/>
      </w:pPr>
      <w:r>
        <w:rPr>
          <w:rFonts w:ascii="Aptos" w:hAnsi="Aptos"/>
          <w:color w:val="17201F"/>
          <w:sz w:val="20"/>
        </w:rPr>
        <w:t>A zona de dados permanece separada da Internet e da DMZ web; apenas os App Nodes autorizados devem alcançá-la.</w:t>
      </w:r>
    </w:p>
    <w:p>
      <w:pPr>
        <w:pStyle w:val="ListBullet"/>
        <w:spacing w:after="60"/>
        <w:ind w:left="312"/>
      </w:pPr>
      <w:r>
        <w:rPr>
          <w:rFonts w:ascii="Aptos" w:hAnsi="Aptos"/>
          <w:color w:val="17201F"/>
          <w:sz w:val="20"/>
        </w:rPr>
        <w:t>Microsoft 365 SMTP e Azure OpenAI podem ser consumidos por ligações de saída controladas, sem expor serviços internos.</w:t>
      </w:r>
    </w:p>
    <w:p>
      <w:pPr>
        <w:pStyle w:val="ListBullet"/>
        <w:spacing w:after="60"/>
        <w:ind w:left="312"/>
      </w:pPr>
      <w:r>
        <w:rPr>
          <w:rFonts w:ascii="Aptos" w:hAnsi="Aptos"/>
          <w:color w:val="17201F"/>
          <w:sz w:val="20"/>
        </w:rPr>
        <w:t>MariaDB Galera com árbitro oferece uma base de disponibilidade superior a uma única base de dados para a primeira fase.</w:t>
      </w:r>
    </w:p>
    <w:p>
      <w:pPr>
        <w:pStyle w:val="Heading1"/>
        <w:spacing w:before="320" w:after="140"/>
      </w:pPr>
      <w:r>
        <w:rPr>
          <w:rFonts w:ascii="Aptos Display" w:hAnsi="Aptos Display"/>
          <w:color w:val="0A3638"/>
        </w:rPr>
        <w:t>4. Ajustes obrigatórios antes de produção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97"/>
            <w:shd w:fill="0A3638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#</w:t>
            </w:r>
          </w:p>
        </w:tc>
        <w:tc>
          <w:tcPr>
            <w:tcW w:type="dxa" w:w="2835"/>
            <w:shd w:fill="0A3638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Ajuste obrigatório</w:t>
            </w:r>
          </w:p>
        </w:tc>
        <w:tc>
          <w:tcPr>
            <w:tcW w:type="dxa" w:w="5499"/>
            <w:shd w:fill="0A3638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Motivo / critério de aceitação</w:t>
            </w:r>
          </w:p>
        </w:tc>
      </w:tr>
      <w:tr>
        <w:tc>
          <w:tcPr>
            <w:tcW w:type="dxa" w:w="397"/>
            <w:shd w:fill="F2F6F5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1</w:t>
            </w:r>
          </w:p>
        </w:tc>
        <w:tc>
          <w:tcPr>
            <w:tcW w:type="dxa" w:w="2835"/>
            <w:shd w:fill="F2F6F5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Adicionar proxy de base de dados</w:t>
            </w:r>
          </w:p>
        </w:tc>
        <w:tc>
          <w:tcPr>
            <w:tcW w:type="dxa" w:w="5499"/>
            <w:shd w:fill="F2F6F5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App Nodes usam um único hostname interno. ProxySQL ou HAProxy DB deve enviar apenas para nós Galera Synced e saudáveis.</w:t>
            </w:r>
          </w:p>
        </w:tc>
      </w:tr>
      <w:tr>
        <w:tc>
          <w:tcPr>
            <w:tcW w:type="dxa" w:w="397"/>
            <w:shd w:fill="FFFFFF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2</w:t>
            </w:r>
          </w:p>
        </w:tc>
        <w:tc>
          <w:tcPr>
            <w:tcW w:type="dxa" w:w="2835"/>
            <w:shd w:fill="FFFFFF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Separar Galera de backup</w:t>
            </w:r>
          </w:p>
        </w:tc>
        <w:tc>
          <w:tcPr>
            <w:tcW w:type="dxa" w:w="5499"/>
            <w:shd w:fill="FFFFFF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Replicação não protege contra erro lógico, ransomware ou eliminação. Exigir backup cifrado, retenção e restauro testado.</w:t>
            </w:r>
          </w:p>
        </w:tc>
      </w:tr>
      <w:tr>
        <w:tc>
          <w:tcPr>
            <w:tcW w:type="dxa" w:w="397"/>
            <w:shd w:fill="F2F6F5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3</w:t>
            </w:r>
          </w:p>
        </w:tc>
        <w:tc>
          <w:tcPr>
            <w:tcW w:type="dxa" w:w="2835"/>
            <w:shd w:fill="F2F6F5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Não usar NAS como disco ativo</w:t>
            </w:r>
          </w:p>
        </w:tc>
        <w:tc>
          <w:tcPr>
            <w:tcW w:type="dxa" w:w="5499"/>
            <w:shd w:fill="F2F6F5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O NAS serve para backup/logs/retenção. Uploads e documentos finais seguem o repositório documental corporativo autorizado.</w:t>
            </w:r>
          </w:p>
        </w:tc>
      </w:tr>
      <w:tr>
        <w:tc>
          <w:tcPr>
            <w:tcW w:type="dxa" w:w="397"/>
            <w:shd w:fill="FFFFFF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4</w:t>
            </w:r>
          </w:p>
        </w:tc>
        <w:tc>
          <w:tcPr>
            <w:tcW w:type="dxa" w:w="2835"/>
            <w:shd w:fill="FFFFFF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Configurar PROXY protocol com confiança restrita</w:t>
            </w:r>
          </w:p>
        </w:tc>
        <w:tc>
          <w:tcPr>
            <w:tcW w:type="dxa" w:w="5499"/>
            <w:shd w:fill="FFFFFF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BunkerWeb aceita IP real somente de HAProxy autorizado. Nunca aceitar origem externa que possa forjar IP.</w:t>
            </w:r>
          </w:p>
        </w:tc>
      </w:tr>
      <w:tr>
        <w:tc>
          <w:tcPr>
            <w:tcW w:type="dxa" w:w="397"/>
            <w:shd w:fill="F2F6F5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5</w:t>
            </w:r>
          </w:p>
        </w:tc>
        <w:tc>
          <w:tcPr>
            <w:tcW w:type="dxa" w:w="2835"/>
            <w:shd w:fill="F2F6F5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Tornar App Nodes stateless</w:t>
            </w:r>
          </w:p>
        </w:tc>
        <w:tc>
          <w:tcPr>
            <w:tcW w:type="dxa" w:w="5499"/>
            <w:shd w:fill="F2F6F5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Sem sessão, ficheiro, job ou segredo exclusivo num nó. Configuração vem do cofre; jobs usam lock distribuído/auditoria.</w:t>
            </w:r>
          </w:p>
        </w:tc>
      </w:tr>
      <w:tr>
        <w:tc>
          <w:tcPr>
            <w:tcW w:type="dxa" w:w="397"/>
            <w:shd w:fill="FFFFFF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6</w:t>
            </w:r>
          </w:p>
        </w:tc>
        <w:tc>
          <w:tcPr>
            <w:tcW w:type="dxa" w:w="2835"/>
            <w:shd w:fill="FFFFFF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Harden WAF e HTTPS</w:t>
            </w:r>
          </w:p>
        </w:tc>
        <w:tc>
          <w:tcPr>
            <w:tcW w:type="dxa" w:w="5499"/>
            <w:shd w:fill="FFFFFF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TLS moderno, HSTS, CSP, limites de payload, rate limit de login, métodos HTTP mínimos e logs sem credenciais.</w:t>
            </w:r>
          </w:p>
        </w:tc>
      </w:tr>
      <w:tr>
        <w:tc>
          <w:tcPr>
            <w:tcW w:type="dxa" w:w="397"/>
            <w:shd w:fill="F2F6F5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7</w:t>
            </w:r>
          </w:p>
        </w:tc>
        <w:tc>
          <w:tcPr>
            <w:tcW w:type="dxa" w:w="2835"/>
            <w:shd w:fill="F2F6F5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Fechar administração pública</w:t>
            </w:r>
          </w:p>
        </w:tc>
        <w:tc>
          <w:tcPr>
            <w:tcW w:type="dxa" w:w="5499"/>
            <w:shd w:fill="F2F6F5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SSH, painel de base de dados, dashboard de infraestrutura e administração fazem-se via VPN/bastion e identidade corporativa.</w:t>
            </w:r>
          </w:p>
        </w:tc>
      </w:tr>
    </w:tbl>
    <w:p>
      <w:pPr>
        <w:spacing w:after="40"/>
      </w:pPr>
    </w:p>
    <w:p>
      <w:pPr>
        <w:pStyle w:val="Heading1"/>
        <w:spacing w:before="320" w:after="140"/>
      </w:pPr>
      <w:r>
        <w:rPr>
          <w:rFonts w:ascii="Aptos Display" w:hAnsi="Aptos Display"/>
          <w:color w:val="0A3638"/>
        </w:rPr>
        <w:t>5. Regras de firewall e comunicação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701"/>
            <w:shd w:fill="0A3638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Origem</w:t>
            </w:r>
          </w:p>
        </w:tc>
        <w:tc>
          <w:tcPr>
            <w:tcW w:type="dxa" w:w="2268"/>
            <w:shd w:fill="0A3638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Destino</w:t>
            </w:r>
          </w:p>
        </w:tc>
        <w:tc>
          <w:tcPr>
            <w:tcW w:type="dxa" w:w="1134"/>
            <w:shd w:fill="0A3638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Porta</w:t>
            </w:r>
          </w:p>
        </w:tc>
        <w:tc>
          <w:tcPr>
            <w:tcW w:type="dxa" w:w="3628"/>
            <w:shd w:fill="0A3638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Regra</w:t>
            </w:r>
          </w:p>
        </w:tc>
      </w:tr>
      <w:tr>
        <w:tc>
          <w:tcPr>
            <w:tcW w:type="dxa" w:w="1701"/>
            <w:shd w:fill="F2F6F5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Internet</w:t>
            </w:r>
          </w:p>
        </w:tc>
        <w:tc>
          <w:tcPr>
            <w:tcW w:type="dxa" w:w="2268"/>
            <w:shd w:fill="F2F6F5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VIP HAProxy</w:t>
            </w:r>
          </w:p>
        </w:tc>
        <w:tc>
          <w:tcPr>
            <w:tcW w:type="dxa" w:w="1134"/>
            <w:shd w:fill="F2F6F5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443/TCP</w:t>
            </w:r>
          </w:p>
        </w:tc>
        <w:tc>
          <w:tcPr>
            <w:tcW w:type="dxa" w:w="3628"/>
            <w:shd w:fill="F2F6F5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Permitido para tráfego HTTPS publicado.</w:t>
            </w:r>
          </w:p>
        </w:tc>
      </w:tr>
      <w:tr>
        <w:tc>
          <w:tcPr>
            <w:tcW w:type="dxa" w:w="1701"/>
            <w:shd w:fill="FFFFFF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Internet</w:t>
            </w:r>
          </w:p>
        </w:tc>
        <w:tc>
          <w:tcPr>
            <w:tcW w:type="dxa" w:w="2268"/>
            <w:shd w:fill="FFFFFF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VIP HAProxy</w:t>
            </w:r>
          </w:p>
        </w:tc>
        <w:tc>
          <w:tcPr>
            <w:tcW w:type="dxa" w:w="1134"/>
            <w:shd w:fill="FFFFFF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80/TCP</w:t>
            </w:r>
          </w:p>
        </w:tc>
        <w:tc>
          <w:tcPr>
            <w:tcW w:type="dxa" w:w="3628"/>
            <w:shd w:fill="FFFFFF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Apenas redirect HTTPS e desafio ACME, se aplicável.</w:t>
            </w:r>
          </w:p>
        </w:tc>
      </w:tr>
      <w:tr>
        <w:tc>
          <w:tcPr>
            <w:tcW w:type="dxa" w:w="1701"/>
            <w:shd w:fill="F2F6F5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HAProxy</w:t>
            </w:r>
          </w:p>
        </w:tc>
        <w:tc>
          <w:tcPr>
            <w:tcW w:type="dxa" w:w="2268"/>
            <w:shd w:fill="F2F6F5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BunkerWeb Workers</w:t>
            </w:r>
          </w:p>
        </w:tc>
        <w:tc>
          <w:tcPr>
            <w:tcW w:type="dxa" w:w="1134"/>
            <w:shd w:fill="F2F6F5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443/TCP</w:t>
            </w:r>
          </w:p>
        </w:tc>
        <w:tc>
          <w:tcPr>
            <w:tcW w:type="dxa" w:w="3628"/>
            <w:shd w:fill="F2F6F5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Permitido; PROXY protocol apenas entre pares definidos.</w:t>
            </w:r>
          </w:p>
        </w:tc>
      </w:tr>
      <w:tr>
        <w:tc>
          <w:tcPr>
            <w:tcW w:type="dxa" w:w="1701"/>
            <w:shd w:fill="FFFFFF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BunkerWeb</w:t>
            </w:r>
          </w:p>
        </w:tc>
        <w:tc>
          <w:tcPr>
            <w:tcW w:type="dxa" w:w="2268"/>
            <w:shd w:fill="FFFFFF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App Nodes</w:t>
            </w:r>
          </w:p>
        </w:tc>
        <w:tc>
          <w:tcPr>
            <w:tcW w:type="dxa" w:w="1134"/>
            <w:shd w:fill="FFFFFF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Porta interna</w:t>
            </w:r>
          </w:p>
        </w:tc>
        <w:tc>
          <w:tcPr>
            <w:tcW w:type="dxa" w:w="3628"/>
            <w:shd w:fill="FFFFFF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Permitido exclusivamente para a aplicação STAND.</w:t>
            </w:r>
          </w:p>
        </w:tc>
      </w:tr>
      <w:tr>
        <w:tc>
          <w:tcPr>
            <w:tcW w:type="dxa" w:w="1701"/>
            <w:shd w:fill="F2F6F5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App Nodes</w:t>
            </w:r>
          </w:p>
        </w:tc>
        <w:tc>
          <w:tcPr>
            <w:tcW w:type="dxa" w:w="2268"/>
            <w:shd w:fill="F2F6F5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Proxy DB / Galera</w:t>
            </w:r>
          </w:p>
        </w:tc>
        <w:tc>
          <w:tcPr>
            <w:tcW w:type="dxa" w:w="1134"/>
            <w:shd w:fill="F2F6F5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3306/TCP</w:t>
            </w:r>
          </w:p>
        </w:tc>
        <w:tc>
          <w:tcPr>
            <w:tcW w:type="dxa" w:w="3628"/>
            <w:shd w:fill="F2F6F5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Permitido apenas da subnet da aplicação.</w:t>
            </w:r>
          </w:p>
        </w:tc>
      </w:tr>
      <w:tr>
        <w:tc>
          <w:tcPr>
            <w:tcW w:type="dxa" w:w="1701"/>
            <w:shd w:fill="FFFFFF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App Nodes</w:t>
            </w:r>
          </w:p>
        </w:tc>
        <w:tc>
          <w:tcPr>
            <w:tcW w:type="dxa" w:w="2268"/>
            <w:shd w:fill="FFFFFF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Office 365</w:t>
            </w:r>
          </w:p>
        </w:tc>
        <w:tc>
          <w:tcPr>
            <w:tcW w:type="dxa" w:w="1134"/>
            <w:shd w:fill="FFFFFF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587/TCP</w:t>
            </w:r>
          </w:p>
        </w:tc>
        <w:tc>
          <w:tcPr>
            <w:tcW w:type="dxa" w:w="3628"/>
            <w:shd w:fill="FFFFFF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Saída SMTP autenticada, TLS e caixa técnica.</w:t>
            </w:r>
          </w:p>
        </w:tc>
      </w:tr>
      <w:tr>
        <w:tc>
          <w:tcPr>
            <w:tcW w:type="dxa" w:w="1701"/>
            <w:shd w:fill="F2F6F5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App Nodes</w:t>
            </w:r>
          </w:p>
        </w:tc>
        <w:tc>
          <w:tcPr>
            <w:tcW w:type="dxa" w:w="2268"/>
            <w:shd w:fill="F2F6F5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Azure/Graph/ACC</w:t>
            </w:r>
          </w:p>
        </w:tc>
        <w:tc>
          <w:tcPr>
            <w:tcW w:type="dxa" w:w="1134"/>
            <w:shd w:fill="F2F6F5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443/TCP</w:t>
            </w:r>
          </w:p>
        </w:tc>
        <w:tc>
          <w:tcPr>
            <w:tcW w:type="dxa" w:w="3628"/>
            <w:shd w:fill="F2F6F5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Saída HTTPS com allowlist, cofre de segredos e auditoria.</w:t>
            </w:r>
          </w:p>
        </w:tc>
      </w:tr>
      <w:tr>
        <w:tc>
          <w:tcPr>
            <w:tcW w:type="dxa" w:w="1701"/>
            <w:shd w:fill="FFFFFF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App Nodes</w:t>
            </w:r>
          </w:p>
        </w:tc>
        <w:tc>
          <w:tcPr>
            <w:tcW w:type="dxa" w:w="2268"/>
            <w:shd w:fill="FFFFFF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NAS</w:t>
            </w:r>
          </w:p>
        </w:tc>
        <w:tc>
          <w:tcPr>
            <w:tcW w:type="dxa" w:w="1134"/>
            <w:shd w:fill="FFFFFF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Backup definido</w:t>
            </w:r>
          </w:p>
        </w:tc>
        <w:tc>
          <w:tcPr>
            <w:tcW w:type="dxa" w:w="3628"/>
            <w:shd w:fill="FFFFFF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Apenas jobs de backup/restauro autorizados e cifrados.</w:t>
            </w:r>
          </w:p>
        </w:tc>
      </w:tr>
      <w:tr>
        <w:tc>
          <w:tcPr>
            <w:tcW w:type="dxa" w:w="1701"/>
            <w:shd w:fill="F2F6F5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Administração</w:t>
            </w:r>
          </w:p>
        </w:tc>
        <w:tc>
          <w:tcPr>
            <w:tcW w:type="dxa" w:w="2268"/>
            <w:shd w:fill="F2F6F5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Infraestrutura</w:t>
            </w:r>
          </w:p>
        </w:tc>
        <w:tc>
          <w:tcPr>
            <w:tcW w:type="dxa" w:w="1134"/>
            <w:shd w:fill="F2F6F5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VPN/Bastion</w:t>
            </w:r>
          </w:p>
        </w:tc>
        <w:tc>
          <w:tcPr>
            <w:tcW w:type="dxa" w:w="3628"/>
            <w:shd w:fill="F2F6F5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Nunca expor gestão técnica ao público.</w:t>
            </w:r>
          </w:p>
        </w:tc>
      </w:tr>
    </w:tbl>
    <w:p>
      <w:pPr>
        <w:spacing w:after="40"/>
      </w:pPr>
    </w:p>
    <w:p>
      <w:pPr>
        <w:pStyle w:val="Heading1"/>
        <w:spacing w:before="320" w:after="140"/>
      </w:pPr>
      <w:r>
        <w:rPr>
          <w:rFonts w:ascii="Aptos Display" w:hAnsi="Aptos Display"/>
          <w:color w:val="0A3638"/>
        </w:rPr>
        <w:t>6. Aplicação, dados e continuidade operacional</w:t>
      </w:r>
    </w:p>
    <w:p>
      <w:pPr>
        <w:spacing w:after="120" w:line="276" w:lineRule="auto"/>
      </w:pPr>
      <w:r>
        <w:rPr>
          <w:rFonts w:ascii="Aptos" w:hAnsi="Aptos"/>
          <w:color w:val="17201F"/>
          <w:sz w:val="20"/>
        </w:rPr>
        <w:t>A STAND já possui fluxos com dados sensíveis do ponto de vista operacional — permissões por projeto, auditoria, fichas, KPI, resíduos/e-GAR, RDCD, planos e documentos. Os dois App Nodes devem executar a mesma release e receber exatamente a mesma configuração de segredos, domínio público, ligação de base de dados, regras de sessão e serviços de e-mail.</w:t>
      </w:r>
    </w:p>
    <w:p>
      <w:pPr>
        <w:pStyle w:val="ListBullet"/>
        <w:spacing w:after="60"/>
        <w:ind w:left="312"/>
      </w:pPr>
      <w:r>
        <w:rPr>
          <w:rFonts w:ascii="Aptos" w:hAnsi="Aptos"/>
          <w:color w:val="17201F"/>
          <w:sz w:val="20"/>
        </w:rPr>
        <w:t>Segredos em cofre ou ficheiros de sistema com permissões restritas; nunca no Git, frontend ou logs.</w:t>
      </w:r>
    </w:p>
    <w:p>
      <w:pPr>
        <w:pStyle w:val="ListBullet"/>
        <w:spacing w:after="60"/>
        <w:ind w:left="312"/>
      </w:pPr>
      <w:r>
        <w:rPr>
          <w:rFonts w:ascii="Aptos" w:hAnsi="Aptos"/>
          <w:color w:val="17201F"/>
          <w:sz w:val="20"/>
        </w:rPr>
        <w:t>Backups da base de dados antes de migrações e de ações de recuperação; hash, retenção e teste de restauro em staging.</w:t>
      </w:r>
    </w:p>
    <w:p>
      <w:pPr>
        <w:pStyle w:val="ListBullet"/>
        <w:spacing w:after="60"/>
        <w:ind w:left="312"/>
      </w:pPr>
      <w:r>
        <w:rPr>
          <w:rFonts w:ascii="Aptos" w:hAnsi="Aptos"/>
          <w:color w:val="17201F"/>
          <w:sz w:val="20"/>
        </w:rPr>
        <w:t>Health checks de liveness/readiness atrás do HAProxy; só nós saudáveis recebem tráfego.</w:t>
      </w:r>
    </w:p>
    <w:p>
      <w:pPr>
        <w:pStyle w:val="ListBullet"/>
        <w:spacing w:after="60"/>
        <w:ind w:left="312"/>
      </w:pPr>
      <w:r>
        <w:rPr>
          <w:rFonts w:ascii="Aptos" w:hAnsi="Aptos"/>
          <w:color w:val="17201F"/>
          <w:sz w:val="20"/>
        </w:rPr>
        <w:t>Watchdog de crash-loop com alertas para múltiplos destinatários e rollback quando a readiness falhar.</w:t>
      </w:r>
    </w:p>
    <w:p>
      <w:pPr>
        <w:pStyle w:val="ListBullet"/>
        <w:spacing w:after="60"/>
        <w:ind w:left="312"/>
      </w:pPr>
      <w:r>
        <w:rPr>
          <w:rFonts w:ascii="Aptos" w:hAnsi="Aptos"/>
          <w:color w:val="17201F"/>
          <w:sz w:val="20"/>
        </w:rPr>
        <w:t>Jobs de alertas, reporting e notificações deduplicados através de lock distribuído ou registo transacional na base de dados.</w:t>
      </w:r>
    </w:p>
    <w:p>
      <w:pPr>
        <w:pStyle w:val="Heading1"/>
        <w:spacing w:before="320" w:after="140"/>
      </w:pPr>
      <w:r>
        <w:rPr>
          <w:rFonts w:ascii="Aptos Display" w:hAnsi="Aptos Display"/>
          <w:color w:val="0A3638"/>
        </w:rPr>
        <w:t>7. Integração BMS — Fase 2 do SIN01 / NEST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D6"/>
            <w:tcBorders>
              <w:top w:val="single" w:sz="10" w:space="0" w:color="D9BF73"/>
              <w:left w:val="single" w:sz="10" w:space="0" w:color="D9BF73"/>
              <w:bottom w:val="single" w:sz="10" w:space="0" w:color="D9BF73"/>
              <w:right w:val="single" w:sz="10" w:space="0" w:color="D9BF73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805B00"/>
                <w:sz w:val="20"/>
              </w:rPr>
              <w:t>Separação OT/IT obrigatória</w:t>
            </w:r>
          </w:p>
          <w:p>
            <w:pPr>
              <w:spacing w:after="0"/>
            </w:pPr>
            <w:r>
              <w:rPr>
                <w:rFonts w:ascii="Aptos" w:hAnsi="Aptos"/>
                <w:color w:val="17201F"/>
                <w:sz w:val="19"/>
              </w:rPr>
              <w:t>O BMS não deve ser ligado diretamente aos App Nodes. A Fase 2 prevista usa um gateway corporativo interno que lê apenas dados autorizados e envia eventos HTTPS de saída, assinados por HMAC, para a aplicação. A STAND valida timestamp, assinatura, eventId e allowlist de métricas; não envia comandos, setpoints ou alterações à infraestrutura.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0A3638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6463"/>
            <w:shd w:fill="0A3638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Regra</w:t>
            </w:r>
          </w:p>
        </w:tc>
      </w:tr>
      <w:tr>
        <w:tc>
          <w:tcPr>
            <w:tcW w:type="dxa" w:w="2268"/>
            <w:shd w:fill="F2F6F5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Direção de rede</w:t>
            </w:r>
          </w:p>
        </w:tc>
        <w:tc>
          <w:tcPr>
            <w:tcW w:type="dxa" w:w="6463"/>
            <w:shd w:fill="F2F6F5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Somente gateway corporativo → HTTPS da STAND. Nunca STAND → BMS/PLC/controladores.</w:t>
            </w:r>
          </w:p>
        </w:tc>
      </w:tr>
      <w:tr>
        <w:tc>
          <w:tcPr>
            <w:tcW w:type="dxa" w:w="2268"/>
            <w:shd w:fill="FFFFFF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Autenticação</w:t>
            </w:r>
          </w:p>
        </w:tc>
        <w:tc>
          <w:tcPr>
            <w:tcW w:type="dxa" w:w="6463"/>
            <w:shd w:fill="FFFFFF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HMAC-SHA256, timestamp de curta tolerância e segredo apenas no cofre/gateway.</w:t>
            </w:r>
          </w:p>
        </w:tc>
      </w:tr>
      <w:tr>
        <w:tc>
          <w:tcPr>
            <w:tcW w:type="dxa" w:w="2268"/>
            <w:shd w:fill="F2F6F5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Repetições</w:t>
            </w:r>
          </w:p>
        </w:tc>
        <w:tc>
          <w:tcPr>
            <w:tcW w:type="dxa" w:w="6463"/>
            <w:shd w:fill="F2F6F5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eventId por projeto é idempotente; reenviar não duplica leituras.</w:t>
            </w:r>
          </w:p>
        </w:tc>
      </w:tr>
      <w:tr>
        <w:tc>
          <w:tcPr>
            <w:tcW w:type="dxa" w:w="2268"/>
            <w:shd w:fill="FFFFFF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Dados</w:t>
            </w:r>
          </w:p>
        </w:tc>
        <w:tc>
          <w:tcPr>
            <w:tcW w:type="dxa" w:w="6463"/>
            <w:shd w:fill="FFFFFF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Allowlist de métricas e granularidades SIN01; campo desconhecido é rejeitado.</w:t>
            </w:r>
          </w:p>
        </w:tc>
      </w:tr>
      <w:tr>
        <w:tc>
          <w:tcPr>
            <w:tcW w:type="dxa" w:w="2268"/>
            <w:shd w:fill="F2F6F5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Arranque</w:t>
            </w:r>
          </w:p>
        </w:tc>
        <w:tc>
          <w:tcPr>
            <w:tcW w:type="dxa" w:w="6463"/>
            <w:shd w:fill="F2F6F5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Staging, reconciliação contra fonte aprovada, modo observação e aprovação de Operação + Segurança.</w:t>
            </w:r>
          </w:p>
        </w:tc>
      </w:tr>
    </w:tbl>
    <w:p>
      <w:pPr>
        <w:spacing w:after="40"/>
      </w:pPr>
    </w:p>
    <w:p>
      <w:pPr>
        <w:pStyle w:val="Heading1"/>
        <w:spacing w:before="320" w:after="140"/>
      </w:pPr>
      <w:r>
        <w:rPr>
          <w:rFonts w:ascii="Aptos Display" w:hAnsi="Aptos Display"/>
          <w:color w:val="0A3638"/>
        </w:rPr>
        <w:t>8. Roteiro recomendado de implementação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814"/>
            <w:shd w:fill="0A3638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Fase</w:t>
            </w:r>
          </w:p>
        </w:tc>
        <w:tc>
          <w:tcPr>
            <w:tcW w:type="dxa" w:w="3515"/>
            <w:shd w:fill="0A3638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3402"/>
            <w:shd w:fill="0A3638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Saída obrigatória</w:t>
            </w:r>
          </w:p>
        </w:tc>
      </w:tr>
      <w:tr>
        <w:tc>
          <w:tcPr>
            <w:tcW w:type="dxa" w:w="1814"/>
            <w:shd w:fill="F2F6F5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0 — Design review</w:t>
            </w:r>
          </w:p>
        </w:tc>
        <w:tc>
          <w:tcPr>
            <w:tcW w:type="dxa" w:w="3515"/>
            <w:shd w:fill="F2F6F5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Confirmar segmentação, DNS, certificados, hostnames, subnets e responsáveis.</w:t>
            </w:r>
          </w:p>
        </w:tc>
        <w:tc>
          <w:tcPr>
            <w:tcW w:type="dxa" w:w="3402"/>
            <w:shd w:fill="F2F6F5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Diagrama aprovado pelo IT/Security e matriz de firewall validada.</w:t>
            </w:r>
          </w:p>
        </w:tc>
      </w:tr>
      <w:tr>
        <w:tc>
          <w:tcPr>
            <w:tcW w:type="dxa" w:w="1814"/>
            <w:shd w:fill="FFFFFF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1 — Staging resiliente</w:t>
            </w:r>
          </w:p>
        </w:tc>
        <w:tc>
          <w:tcPr>
            <w:tcW w:type="dxa" w:w="3515"/>
            <w:shd w:fill="FFFFFF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Implementar HAProxy, BunkerWeb, 2 App Nodes, DB proxy, Galera e backups.</w:t>
            </w:r>
          </w:p>
        </w:tc>
        <w:tc>
          <w:tcPr>
            <w:tcW w:type="dxa" w:w="3402"/>
            <w:shd w:fill="FFFFFF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Testes de login, RBAC, ficha, RDCD, e-GAR, KPI e failover passam.</w:t>
            </w:r>
          </w:p>
        </w:tc>
      </w:tr>
      <w:tr>
        <w:tc>
          <w:tcPr>
            <w:tcW w:type="dxa" w:w="1814"/>
            <w:shd w:fill="F2F6F5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2 — Integrações corporativas</w:t>
            </w:r>
          </w:p>
        </w:tc>
        <w:tc>
          <w:tcPr>
            <w:tcW w:type="dxa" w:w="3515"/>
            <w:shd w:fill="F2F6F5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Configurar SharePoint, ACC, SMTP, Azure e contas técnicas.</w:t>
            </w:r>
          </w:p>
        </w:tc>
        <w:tc>
          <w:tcPr>
            <w:tcW w:type="dxa" w:w="3402"/>
            <w:shd w:fill="F2F6F5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Documentos arquivados e recuperáveis; tokens nunca aparecem no browser/logs.</w:t>
            </w:r>
          </w:p>
        </w:tc>
      </w:tr>
      <w:tr>
        <w:tc>
          <w:tcPr>
            <w:tcW w:type="dxa" w:w="1814"/>
            <w:shd w:fill="FFFFFF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3 — Produção controlada</w:t>
            </w:r>
          </w:p>
        </w:tc>
        <w:tc>
          <w:tcPr>
            <w:tcW w:type="dxa" w:w="3515"/>
            <w:shd w:fill="FFFFFF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Ativar monitorização, CI/CD, branch protection, backup e rollback.</w:t>
            </w:r>
          </w:p>
        </w:tc>
        <w:tc>
          <w:tcPr>
            <w:tcW w:type="dxa" w:w="3402"/>
            <w:shd w:fill="FFFFFF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Health check, restauro, incidente e rollback simulados com evidência.</w:t>
            </w:r>
          </w:p>
        </w:tc>
      </w:tr>
      <w:tr>
        <w:tc>
          <w:tcPr>
            <w:tcW w:type="dxa" w:w="1814"/>
            <w:shd w:fill="F2F6F5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4 — BMS SIN01</w:t>
            </w:r>
          </w:p>
        </w:tc>
        <w:tc>
          <w:tcPr>
            <w:tcW w:type="dxa" w:w="3515"/>
            <w:shd w:fill="F2F6F5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Gateway outbound assinado e reconciliação de dados de operação.</w:t>
            </w:r>
          </w:p>
        </w:tc>
        <w:tc>
          <w:tcPr>
            <w:tcW w:type="dxa" w:w="3402"/>
            <w:shd w:fill="F2F6F5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Assinatura, idempotência, métricas e qualidade validadas em staging.</w:t>
            </w:r>
          </w:p>
        </w:tc>
      </w:tr>
    </w:tbl>
    <w:p>
      <w:pPr>
        <w:spacing w:after="40"/>
      </w:pPr>
    </w:p>
    <w:p>
      <w:pPr>
        <w:pStyle w:val="Heading1"/>
        <w:spacing w:before="320" w:after="140"/>
      </w:pPr>
      <w:r>
        <w:rPr>
          <w:rFonts w:ascii="Aptos Display" w:hAnsi="Aptos Display"/>
          <w:color w:val="0A3638"/>
        </w:rPr>
        <w:t>9. Testes de aceitação antes do go-live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324"/>
            <w:shd w:fill="0A3638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Cenário</w:t>
            </w:r>
          </w:p>
        </w:tc>
        <w:tc>
          <w:tcPr>
            <w:tcW w:type="dxa" w:w="6406"/>
            <w:shd w:fill="0A3638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Resultado obrigatório</w:t>
            </w:r>
          </w:p>
        </w:tc>
      </w:tr>
      <w:tr>
        <w:tc>
          <w:tcPr>
            <w:tcW w:type="dxa" w:w="2324"/>
            <w:shd w:fill="F2F6F5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Falha HAProxy / worker</w:t>
            </w:r>
          </w:p>
        </w:tc>
        <w:tc>
          <w:tcPr>
            <w:tcW w:type="dxa" w:w="6406"/>
            <w:shd w:fill="F2F6F5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VIP e balanceamento mantêm o serviço ou encaminham para nó saudável sem exposição da aplicação.</w:t>
            </w:r>
          </w:p>
        </w:tc>
      </w:tr>
      <w:tr>
        <w:tc>
          <w:tcPr>
            <w:tcW w:type="dxa" w:w="2324"/>
            <w:shd w:fill="FFFFFF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Falha App Node</w:t>
            </w:r>
          </w:p>
        </w:tc>
        <w:tc>
          <w:tcPr>
            <w:tcW w:type="dxa" w:w="6406"/>
            <w:shd w:fill="FFFFFF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Pedidos passam ao nó disponível; sessões e permissões mantêm comportamento coerente.</w:t>
            </w:r>
          </w:p>
        </w:tc>
      </w:tr>
      <w:tr>
        <w:tc>
          <w:tcPr>
            <w:tcW w:type="dxa" w:w="2324"/>
            <w:shd w:fill="F2F6F5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Falha DB node</w:t>
            </w:r>
          </w:p>
        </w:tc>
        <w:tc>
          <w:tcPr>
            <w:tcW w:type="dxa" w:w="6406"/>
            <w:shd w:fill="F2F6F5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Proxy não encaminha para nó degradado; aplicação preserva dados e recupera sem escrita duplicada.</w:t>
            </w:r>
          </w:p>
        </w:tc>
      </w:tr>
      <w:tr>
        <w:tc>
          <w:tcPr>
            <w:tcW w:type="dxa" w:w="2324"/>
            <w:shd w:fill="FFFFFF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Backup/restauro</w:t>
            </w:r>
          </w:p>
        </w:tc>
        <w:tc>
          <w:tcPr>
            <w:tcW w:type="dxa" w:w="6406"/>
            <w:shd w:fill="FFFFFF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Base de dados é restaurada em staging e fluxos críticos funcionam com integridade verificada.</w:t>
            </w:r>
          </w:p>
        </w:tc>
      </w:tr>
      <w:tr>
        <w:tc>
          <w:tcPr>
            <w:tcW w:type="dxa" w:w="2324"/>
            <w:shd w:fill="F2F6F5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WAF e login</w:t>
            </w:r>
          </w:p>
        </w:tc>
        <w:tc>
          <w:tcPr>
            <w:tcW w:type="dxa" w:w="6406"/>
            <w:shd w:fill="F2F6F5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Rate limit, headers, bloqueio OWASP e IP real auditável funcionam sem quebrar utilizadores legítimos.</w:t>
            </w:r>
          </w:p>
        </w:tc>
      </w:tr>
      <w:tr>
        <w:tc>
          <w:tcPr>
            <w:tcW w:type="dxa" w:w="2324"/>
            <w:shd w:fill="FFFFFF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RBAC por projeto</w:t>
            </w:r>
          </w:p>
        </w:tc>
        <w:tc>
          <w:tcPr>
            <w:tcW w:type="dxa" w:w="6406"/>
            <w:shd w:fill="FFFFFF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Cada papel apenas vê projetos/módulos autorizados; tentativas diretas são recusadas no servidor.</w:t>
            </w:r>
          </w:p>
        </w:tc>
      </w:tr>
      <w:tr>
        <w:tc>
          <w:tcPr>
            <w:tcW w:type="dxa" w:w="2324"/>
            <w:shd w:fill="F2F6F5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Integrações externas</w:t>
            </w:r>
          </w:p>
        </w:tc>
        <w:tc>
          <w:tcPr>
            <w:tcW w:type="dxa" w:w="6406"/>
            <w:shd w:fill="F2F6F5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SMTP, SharePoint, ACC e Azure funcionam sem expor segredos ou bloquear o workflow se falharem.</w:t>
            </w:r>
          </w:p>
        </w:tc>
      </w:tr>
      <w:tr>
        <w:tc>
          <w:tcPr>
            <w:tcW w:type="dxa" w:w="2324"/>
            <w:shd w:fill="FFFFFF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BMS, se ativado</w:t>
            </w:r>
          </w:p>
        </w:tc>
        <w:tc>
          <w:tcPr>
            <w:tcW w:type="dxa" w:w="6406"/>
            <w:shd w:fill="FFFFFF"/>
            <w:vAlign w:val="center"/>
            <w:tcBorders>
              <w:top w:val="single" w:sz="6" w:space="0" w:color="D5E2DE"/>
              <w:left w:val="single" w:sz="6" w:space="0" w:color="D5E2DE"/>
              <w:bottom w:val="single" w:sz="6" w:space="0" w:color="D5E2DE"/>
              <w:right w:val="single" w:sz="6" w:space="0" w:color="D5E2D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17201F"/>
                <w:sz w:val="17"/>
              </w:rPr>
              <w:t>Assinatura/métrica inválida não escreve; repetição não duplica; dados conciliam com fonte aprovada.</w:t>
            </w:r>
          </w:p>
        </w:tc>
      </w:tr>
    </w:tbl>
    <w:p>
      <w:pPr>
        <w:spacing w:after="40"/>
      </w:pPr>
    </w:p>
    <w:p>
      <w:pPr>
        <w:pStyle w:val="Heading1"/>
        <w:spacing w:before="320" w:after="140"/>
      </w:pPr>
      <w:r>
        <w:rPr>
          <w:rFonts w:ascii="Aptos Display" w:hAnsi="Aptos Display"/>
          <w:color w:val="0A3638"/>
        </w:rPr>
        <w:t>10. Decisão final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8F7EF"/>
            <w:tcBorders>
              <w:top w:val="single" w:sz="10" w:space="0" w:color="00C65A"/>
              <w:left w:val="single" w:sz="10" w:space="0" w:color="00C65A"/>
              <w:bottom w:val="single" w:sz="10" w:space="0" w:color="00C65A"/>
              <w:right w:val="single" w:sz="10" w:space="0" w:color="00C65A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A3638"/>
                <w:sz w:val="20"/>
              </w:rPr>
              <w:t>Recomendação: avançar para Fase 1 em staging/piloto</w:t>
            </w:r>
          </w:p>
          <w:p>
            <w:pPr>
              <w:spacing w:after="0"/>
            </w:pPr>
            <w:r>
              <w:rPr>
                <w:rFonts w:ascii="Aptos" w:hAnsi="Aptos"/>
                <w:color w:val="17201F"/>
                <w:sz w:val="19"/>
              </w:rPr>
              <w:t>A arquitetura é tecnicamente adequada como base de primeira fase. A aprovação para produção deve ficar condicionada à implementação do proxy de dados, política comprovada de backup/restauro, configuração stateless dos App Nodes, hardening do BunkerWeb/HAProxy, administração por VPN/bastion e testes de aceitação documentados.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Aptos" w:hAnsi="Aptos"/>
          <w:color w:val="17201F"/>
          <w:sz w:val="20"/>
        </w:rPr>
        <w:t>Esta avaliação não substitui a revisão formal de cibersegurança, capacidade, licenciamento, continuidade de negócio ou operação de infraestrutura da Start Campus. Esses temas devem ser aprovados pela equipa responsável antes de disponibilização em produção.</w:t>
      </w:r>
    </w:p>
    <w:sectPr w:rsidR="00FC693F" w:rsidRPr="0006063C" w:rsidSect="00034616">
      <w:headerReference w:type="default" r:id="rId14"/>
      <w:footerReference w:type="default" r:id="rId15"/>
      <w:pgSz w:w="11906" w:h="16838"/>
      <w:pgMar w:top="935" w:right="1020" w:bottom="935" w:left="1020" w:header="397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A6662"/>
        <w:sz w:val="15"/>
      </w:rPr>
      <w:t xml:space="preserve">Uso interno · Arquitetura de Fase 1 · Página </w:t>
    </w:r>
    <w: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A6662"/>
        <w:sz w:val="15"/>
      </w:rPr>
      <w:t xml:space="preserve">Uso interno · Arquitetura de Fase 1 · Página </w:t>
    </w:r>
    <w:r>
      <w:fldChar w:fldCharType="begin"/>
      <w:instrText xml:space="preserve">PAGE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A6662"/>
        <w:sz w:val="15"/>
      </w:rPr>
      <w:t xml:space="preserve">Uso interno · Arquitetura de Fase 1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A6662"/>
        <w:sz w:val="15"/>
      </w:rPr>
      <w:t>STAND / START CAMPUS  ·  AVALIAÇÃO TÉCNICA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A6662"/>
        <w:sz w:val="15"/>
      </w:rPr>
      <w:t>STAND / START CAMPUS  ·  AVALIAÇÃO TÉCNICA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A6662"/>
        <w:sz w:val="15"/>
      </w:rPr>
      <w:t>STAND / START CAMPUS  ·  AVALIAÇÃO TÉCNICA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720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A363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7201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