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ptos" w:hAnsi="Aptos"/>
          <w:b/>
          <w:color w:val="00A859"/>
          <w:sz w:val="22"/>
        </w:rPr>
        <w:t>START CAMPUS  ·  STAND</w:t>
      </w:r>
    </w:p>
    <w:p>
      <w:pPr>
        <w:spacing w:before="400" w:after="200"/>
        <w:jc w:val="center"/>
      </w:pPr>
      <w:r>
        <w:rPr>
          <w:rFonts w:ascii="Aptos Display" w:hAnsi="Aptos Display"/>
          <w:b/>
          <w:color w:val="0A3638"/>
          <w:sz w:val="60"/>
        </w:rPr>
        <w:t>Guia de Implementação</w:t>
        <w:br/>
        <w:t>para a Equipa de IT</w:t>
      </w:r>
    </w:p>
    <w:p>
      <w:pPr>
        <w:spacing w:after="560"/>
        <w:jc w:val="center"/>
      </w:pPr>
      <w:r>
        <w:rPr>
          <w:rFonts w:ascii="Aptos" w:hAnsi="Aptos"/>
          <w:color w:val="5E6C76"/>
          <w:sz w:val="26"/>
        </w:rPr>
        <w:t>STAND — Plataforma de Governação Ambiental</w:t>
        <w:br/>
        <w:t>Instalação, segurança, integrações e Operação NEST / BMS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VERSÃO</w:t>
              <w:br/>
              <w:t>Main / release validada</w:t>
            </w:r>
          </w:p>
        </w:tc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AMBIENTE</w:t>
              <w:br/>
              <w:t>Staging → Produção</w:t>
            </w:r>
          </w:p>
        </w:tc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SEGURANÇA</w:t>
              <w:br/>
              <w:t>Segredos fora do Git</w:t>
            </w:r>
          </w:p>
        </w:tc>
      </w:tr>
    </w:tbl>
    <w:p/>
    <w:p>
      <w:pPr>
        <w:spacing w:before="440"/>
        <w:jc w:val="center"/>
      </w:pPr>
      <w:r>
        <w:rPr>
          <w:i/>
          <w:color w:val="5E6C76"/>
          <w:sz w:val="18"/>
        </w:rPr>
        <w:t>Documento de passagem para IT. Não contém palavras-passe, chaves, tokens ou URLs privadas.</w:t>
      </w:r>
    </w:p>
    <w:p>
      <w:r>
        <w:br w:type="page"/>
      </w:r>
    </w:p>
    <w:p>
      <w:pPr>
        <w:pStyle w:val="Heading1"/>
      </w:pPr>
      <w:r>
        <w:t>Guia de implementação para IT — Plataforma de Gestão Ambiental — Start Campus</w:t>
      </w:r>
    </w:p>
    <w:p>
      <w:pPr>
        <w:spacing w:after="100"/>
      </w:pPr>
      <w:r>
        <w:t>Versão de referência: branch main, confirmar o checkpoint/release mais recente antes da passagem a staging.</w:t>
      </w:r>
    </w:p>
    <w:p>
      <w:pPr>
        <w:spacing w:after="100"/>
      </w:pPr>
      <w:r>
        <w:t>Repositório: https://github.com/riquid14-ux/ficha-ambiental</w:t>
      </w:r>
    </w:p>
    <w:p>
      <w:pPr>
        <w:spacing w:after="100"/>
      </w:pPr>
      <w:r>
        <w:t>Branch de integração: main</w:t>
      </w:r>
    </w:p>
    <w:p>
      <w:pPr>
        <w:spacing w:after="100"/>
      </w:pPr>
      <w:r>
        <w:t>Publicação de referência: RMD / riquid14-ux; repositório público sem segredos, ficheiros de produção ou documentação privada. O IT deve usar uma cópia interna/branch protegido para qualquer configuração de produção.</w:t>
      </w:r>
    </w:p>
    <w:p>
      <w:pPr>
        <w:pStyle w:val="Heading2"/>
      </w:pPr>
      <w:r>
        <w:t>1. Objectivo e princípio de arquitectura</w:t>
      </w:r>
    </w:p>
    <w:p>
      <w:pPr>
        <w:spacing w:after="100"/>
      </w:pPr>
      <w:r>
        <w:t>A Plataforma de Gestão Ambiental centraliza workflows de fichas semanais, KPI, resíduos/e-GAR, calendário, planos, fases, EEP, dashboards, relatórios e controlo de acessos. A aplicação deve manter-se stateless para ficheiros definitivos: a base de dados guarda identidades, permissões, metadados, estados, auditoria e referências; os documentos aprovados devem ser arquivados no SharePoint da Start Campus como fonte documental oficial.</w:t>
      </w:r>
    </w:p>
    <w:p>
      <w:pPr>
        <w:pStyle w:val="Quote"/>
      </w:pPr>
      <w:r>
        <w:t>A plataforma não deve guardar ficheiros binários no MySQL. O histórico operacional é mantido por metadados e referências, enquanto o SharePoint mantém os documentos aprovados, com a política de retenção corporativa.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Responsabilidade alvo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Limite de responsabilidade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React/Express/tRPC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Workflow, validação, permissões, dashboards, exportação e auditoria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processa fotogrametria pesada nem armazena documentos definitivos em BLOBs.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MySQL/TiDB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transaccionais, índices, estados, auditoria e referências externas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é arquivo documental.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Arquivo documental oficial de fichas, RDCD, MIRR, planos e evidências aprovadas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substitui as regras de negócio e autorização da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Autodesk Construction Cloud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Entrega e consulta de documentos nos projectos 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plataforma continua a ser responsável pelo workflow ambiental próprio.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Serviço de email corporativo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Notificações de submissão, decisão, convite e prazo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decide permissões nem substitui alertas na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Worker NodeODM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Ortofoto/DSM/tiles de capturas DJI nadir a 90°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Nunca corre dentro do processo web da aplicação.</w:t>
            </w:r>
          </w:p>
        </w:tc>
      </w:tr>
    </w:tbl>
    <w:p>
      <w:pPr>
        <w:spacing w:after="40"/>
      </w:pPr>
    </w:p>
    <w:p>
      <w:pPr>
        <w:pStyle w:val="Heading2"/>
      </w:pPr>
      <w:r>
        <w:t>2. Sequência de implementação recomendada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Ordem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Entrega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Critério de saída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Clonar, compilar e executar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pnpm install --frozen-lockfile, verificação de tipos, testes e build passam.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Preparar DNS, TLS, reverse proxy, conta de serviço e MySQL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/api/health/live e /api/health/ready respondem correctamente através do domínio de staging.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3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segredos e identidade corporativa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Nenhum segredo está no repositório, no frontend ou em ficheiros .env versionados.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Integrar SharePoint e validar arquivo/restituição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Uma ficha aprovada é arquivada, fica pesquisável e é recuperável através da referência guardada.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Integrar 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PDF de teste é entregue na pasta correcta do projecto ACC e a referência devolvida é guardada.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email corporativo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Convites e notificações chegam ao grupo de teste com remetente Start Campus autenticado.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7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Activar CI/CD, watchdog, backup e rollback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crash-loop simulado cria backup, alerta redundante e recuperação controlada.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8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Ativar a integração BMS fase 2 do SIN01/NEST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Gateway outbound assinado, idempotência, allowlist de métricas e validação contra fonte operacional aprovados.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de segurança e passagem a produção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Todos os testes de aceitação desta guia têm evidência guardada.</w:t>
            </w:r>
          </w:p>
        </w:tc>
      </w:tr>
    </w:tbl>
    <w:p>
      <w:pPr>
        <w:spacing w:after="40"/>
      </w:pPr>
    </w:p>
    <w:p>
      <w:pPr>
        <w:pStyle w:val="Heading2"/>
      </w:pPr>
      <w:r>
        <w:t>3. Clonagem e execução em staging</w:t>
      </w:r>
    </w:p>
    <w:p>
      <w:pPr>
        <w:spacing w:after="100"/>
      </w:pPr>
      <w:r>
        <w:t>A partir do repositório público de referência, a equipa deve clonar a versão validada e criar a sua cópia interna/branch protegido antes de configurar qualquer ambiente: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git clone https://github.com/riquid14-ux/ficha-ambiental.git</w:t>
              <w:br/>
              <w:t>cd ficha-ambiental</w:t>
              <w:br/>
              <w:t>git checkout main</w:t>
              <w:br/>
              <w:t>pnpm install --frozen-lockfile</w:t>
              <w:br/>
              <w:t>pnpm check</w:t>
              <w:br/>
              <w:t>pnpm test</w:t>
              <w:br/>
              <w:t>pnpm build</w:t>
            </w:r>
          </w:p>
        </w:tc>
      </w:tr>
    </w:tbl>
    <w:p>
      <w:pPr>
        <w:spacing w:after="100"/>
      </w:pPr>
      <w:r>
        <w:t>O servidor deve correr com uma conta de serviço sem privilégios de administração do sistema. A aplicação usa Node.js 22, pnpm 10, MySQL compatível, reverse proxy TLS e um gestor de processos. Em produção, as variáveis de ambiente devem residir num gestor de segredos ou em ficheiros de sistema com permissões restritas; nunca no Git ou no frontend.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Grupo de configuração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Variáveis/elementos necessários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 de segurança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e base de dados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DATABASE_URL, segredo de sessão, URL pública, configuração OAuth/identidade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Conta DB com privilégios mínimos; rotação de segredos; cópias de segurança restauráveis.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ADS_CLIENT_ID, ADS_CLIENT_SECRET, ACC_PROJECT_ID, ACC_FOLDER_ID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técnica dedicada; credenciais apenas no backend.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SHAREPOINT_CLIENT_ID, SHAREPOINT_CLIENT_SECRET, SHAREPOINT_TENANT_ID, SHAREPOINT_SITE_ID, SHAREPOINT_DRIVE_ID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Microsoft Entra dedicada; acesso apenas ao site/biblioteca ambiental.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Email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SMTP_HOST, SMTP_PORT, SMTP_USER, SMTP_PASS, SMTP_FROM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Caixa técnica dedicada; TLS; SPF, DKIM e DMARC no domínio remetente.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Watchdog/GitHub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ambiente /etc/plataforma-ambiental/, token GitHub App, chave SSH de deploy e destinatários de incidente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em ficheiros 600 ou cofre; não reutilizar credenciais pessoais.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 (opcional)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BMS_INGEST_HMAC_SECRET, BMS_SERVICE_USER_ID, gateway HTTPS outbound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 e conta técnica apenas no cofre; a aplicação não inicia ligações à rede OT.</w:t>
            </w:r>
          </w:p>
        </w:tc>
      </w:tr>
    </w:tbl>
    <w:p>
      <w:pPr>
        <w:spacing w:after="40"/>
      </w:pPr>
    </w:p>
    <w:p>
      <w:pPr>
        <w:pStyle w:val="Heading2"/>
      </w:pPr>
      <w:r>
        <w:t>4. Integração SharePoint como arquivo documental oficial</w:t>
      </w:r>
    </w:p>
    <w:p>
      <w:pPr>
        <w:spacing w:after="100"/>
      </w:pPr>
      <w:r>
        <w:t>A Microsoft Graph permite trabalhar com sites, listas e drives/bibliotecas documentais SharePoint e suporta operações de leitura/escrita em driveItems.[1] A implementação existente já espera a identidade da aplicação e o identificador da biblioteca documental.</w:t>
      </w:r>
    </w:p>
    <w:p>
      <w:pPr>
        <w:pStyle w:val="Heading3"/>
      </w:pPr>
      <w:r>
        <w:t>Configuração IT</w:t>
      </w:r>
    </w:p>
    <w:p>
      <w:pPr>
        <w:pStyle w:val="ListNumber"/>
      </w:pPr>
      <w:r>
        <w:t>Criar uma App Registration exclusiva para a plataforma no Microsoft Entra ID, com segredo ou, preferencialmente, certificado gerido.</w:t>
      </w:r>
    </w:p>
    <w:p>
      <w:pPr>
        <w:pStyle w:val="ListNumber"/>
      </w:pPr>
      <w:r>
        <w:t>Aplicar princípio de privilégio mínimo. Se a política Microsoft 365 da Start Campus o suportar, preferir acesso limitado ao site ambiental seleccionado em vez de permissões de tenant amplas.</w:t>
      </w:r>
    </w:p>
    <w:p>
      <w:pPr>
        <w:pStyle w:val="ListNumber"/>
      </w:pPr>
      <w:r>
        <w:t>Criar ou validar a biblioteca documental alvo e obter SITE_ID e DRIVE_ID.</w:t>
      </w:r>
    </w:p>
    <w:p>
      <w:pPr>
        <w:pStyle w:val="ListNumber"/>
      </w:pPr>
      <w:r>
        <w:t>Configurar as variáveis SHAREPOINT_* exclusivamente no servidor/gestor de segredos.</w:t>
      </w:r>
    </w:p>
    <w:p>
      <w:pPr>
        <w:pStyle w:val="ListNumber"/>
      </w:pPr>
      <w:r>
        <w:t>Criar a estrutura documental abaixo, ajustando apenas a nomenclatura se a política documental interna o exigir: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Ambiente/</w:t>
              <w:br/>
              <w:t xml:space="preserve">  SIN01…SIN07 e Subestação/</w:t>
              <w:br/>
              <w:t xml:space="preserve">    Fichas Semanais/</w:t>
              <w:br/>
              <w:t xml:space="preserve">    Relatórios/</w:t>
              <w:br/>
              <w:t xml:space="preserve">    Planos/</w:t>
              <w:br/>
              <w:t xml:space="preserve">    MIRR/</w:t>
            </w:r>
          </w:p>
        </w:tc>
      </w:tr>
    </w:tbl>
    <w:p>
      <w:pPr>
        <w:pStyle w:val="ListNumber"/>
      </w:pPr>
      <w:r>
        <w:t>Fazer upload de uma ficha de teste, guardar a URL/referência devolvida na aplicação e confirmar: permissões, versão, data, autor, retenção e recuperação.</w:t>
      </w:r>
    </w:p>
    <w:p>
      <w:pPr>
        <w:spacing w:after="100"/>
      </w:pPr>
      <w:r>
        <w:t>Os identificadores de site e drive devem ser tratados como configuração, não como valores fixos no código. A Graph permite endereçar bibliotecas por site e drive; usar pedidos selectivos evita transferir campos desnecessários.[1]</w:t>
      </w:r>
    </w:p>
    <w:p>
      <w:pPr>
        <w:pStyle w:val="Heading2"/>
      </w:pPr>
      <w:r>
        <w:t>5. Integração ACC</w:t>
      </w:r>
    </w:p>
    <w:p>
      <w:pPr>
        <w:spacing w:after="100"/>
      </w:pPr>
      <w:r>
        <w:t>A documentação Autodesk disponibiliza APIs para ficheiros, formulários, revisões e administração de hub/projecto. A API de ficheiros permite gerir planos, modelos e documentos de projecto; as APIs de revisões e formulários são adequadas quando o fluxo ACC seleccionado pela Start Campus exigir esses artefactos.[2]</w:t>
      </w:r>
    </w:p>
    <w:p>
      <w:pPr>
        <w:spacing w:after="100"/>
      </w:pPr>
      <w:r>
        <w:t>O módulo actual entrega documentos através do fluxo Data Management: criar storage, transferir o ficheiro e criar a versão/item no destino. A equipa de IT deve configurar por projecto ACC uma pasta destino e um mapeamento explícito para o projecto da plataforma.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Configuração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Acção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Autodesk técnica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Registar/validar credenciais APS dedicadas e scopes mínimos para o caso de uso.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token é emitido no backend e nunca chega ao browser.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Associação de projecto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Definir ACC_PROJECT_ID para cada contexto ACC aplicável.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ID refere o projecto exacto, não o hub inteiro.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Pasta documental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Definir ACC_FOLDER_ID na zona ambiental autorizada.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PDF de teste surge apenas na pasta Ambiente acordada.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Regras de negócio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Mapear tipo de documento, projecto, semana e empresa para o nome/caminho.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há sobreposição de documentos de projectos diferentes.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Monitorização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Registar erro, correlação e URL de item devolvida, sem expor tokens.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Falhas ACC não bloqueiam a aplicação nem apagam o registo local.</w:t>
            </w:r>
          </w:p>
        </w:tc>
      </w:tr>
    </w:tbl>
    <w:p>
      <w:pPr>
        <w:spacing w:after="40"/>
      </w:pPr>
    </w:p>
    <w:p>
      <w:pPr>
        <w:pStyle w:val="Heading2"/>
      </w:pPr>
      <w:r>
        <w:t>6. Email corporativo e convites</w:t>
      </w:r>
    </w:p>
    <w:p>
      <w:pPr>
        <w:spacing w:after="100"/>
      </w:pPr>
      <w:r>
        <w:t>O módulo actual usa SMTP e já inclui notificações de submissão, aprovação/rejeição, convite, eliminação e prazos. A instrução insegura de palavra-passe fixa foi removida: o convite agora orienta cada pessoa a criar a sua palavra-passe no primeiro acesso.</w:t>
      </w:r>
    </w:p>
    <w:p>
      <w:pPr>
        <w:spacing w:after="100"/>
      </w:pPr>
      <w:r>
        <w:t>Antes de activar envio real, a equipa deve criar uma caixa técnica, como apoioamb@…, e configurar TLS/STARTTLS, SPF, DKIM e DMARC. O modo de staging deve usar uma lista fechada e endereços de teste. Em produção, os destinatários da RAA devem ser definidos por projecto, e os alertas de incidente devem ir para uma lista de distribuição e um suplente, nunca para uma única pessoa.</w:t>
      </w:r>
    </w:p>
    <w:p>
      <w:pPr>
        <w:pStyle w:val="Heading2"/>
      </w:pPr>
      <w:r>
        <w:t>7. Segurança, CI/CD e recuperação operacional</w:t>
      </w:r>
    </w:p>
    <w:p>
      <w:pPr>
        <w:spacing w:after="100"/>
      </w:pPr>
      <w:r>
        <w:t>O repositório já contém CI, deployment aprovado, watchdog de PM2, backup, health check e scripts de rollback. A protecção de branch GitHub deve exigir pull request, revisão independente, checks obrigatórios e bloqueio de force-push.[3] O environment production deve exigir aprovação humana antes de expor segredos ou iniciar deployment.[4]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Implementação no servidor Start Campus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Prova exigida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Processo aplicacional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PM2 com backoff e limites de reinício.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Reinício manual não cria crash-loop.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Serviço systemd plataforma-watchdog, utilizador plataforma, configuração em /etc/plataforma-ambiental/watchdog.env.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Três falhas em cinco minutos geram um incidente deduplicado.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 MySQL comprimido, hash SHA-256, retenção e teste de restauro em staging.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 só é aceite depois de uma reposição bem-sucedida.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Alertas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Múltiplos destinatários e excerto de log sanitizado.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Tokens/segredos aparecem como [REDACTED].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Deploy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Release versionada, mudança atómica de symlink, health check /api/health/ready.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 readiness falhar, a release anterior é reposta.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IA de triagem, se aprovada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Pode abrir proposta/PR mínima a partir de incidente sanitizado.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Nunca tem permissão de merge, deploy, migração destrutiva ou leitura de segredos.</w:t>
            </w:r>
          </w:p>
        </w:tc>
      </w:tr>
    </w:tbl>
    <w:p>
      <w:pPr>
        <w:spacing w:after="40"/>
      </w:pPr>
    </w:p>
    <w:p>
      <w:pPr>
        <w:pStyle w:val="Quote"/>
      </w:pPr>
      <w:r>
        <w:t>A IA pode acelerar a investigação, mas a aprovação de código e a publicação continuam a exigir decisão humana.</w:t>
      </w:r>
    </w:p>
    <w:p>
      <w:pPr>
        <w:pStyle w:val="Heading2"/>
      </w:pPr>
      <w:r>
        <w:t>8. Integração BMS fase 2 — SIN01 / NEST</w:t>
      </w:r>
    </w:p>
    <w:p>
      <w:pPr>
        <w:spacing w:after="100"/>
      </w:pPr>
      <w:r>
        <w:t>A STAND já inclui o cockpit de Operação, importação Excel auditável, mapeamento de cabeçalhos, faturas, reconciliação, cenários e regras aprovadas. A fase 2 acrescenta uma rota de receção BMS assinada, inativa enquanto o IT não configurar o segredo e a conta técnica no cofre. Não expõe credenciais BMS, não abre conexões da aplicação para a rede OT e não pode enviar comandos ao edifício.</w:t>
      </w:r>
    </w:p>
    <w:p>
      <w:pPr>
        <w:spacing w:after="100"/>
      </w:pPr>
      <w:r>
        <w:t>O gateway corporativo é o único componente que comunica com o BMS local e faz POST HTTPS para a aplicação. O contrato impõe HMAC-SHA256, timestamp de cinco minutos, eventId idempotente, projeto único SIN01 e allowlist de métricas/granularidades. A referência completa, payload, métricas e testes de aceitação estão em Integração BMS — Fase 2.</w:t>
      </w:r>
    </w:p>
    <w:p>
      <w:pPr>
        <w:pStyle w:val="Heading2"/>
      </w:pPr>
      <w:r>
        <w:t>9. Fotogrametria DJI / NodeODM</w:t>
      </w:r>
    </w:p>
    <w:p>
      <w:pPr>
        <w:spacing w:after="100"/>
      </w:pPr>
      <w:r>
        <w:t>O módulo de Mapa e de fotogrametria foi retirado da aplicação activa por decisão de produto em 31 de Agosto de 2026. A Plataforma não expõe rotas, ecrãs, APIs, armazenamento ou tabelas de dados para levantamentos DJI, ortofotos, DSM ou NodeODM.</w:t>
      </w:r>
    </w:p>
    <w:p>
      <w:pPr>
        <w:spacing w:after="100"/>
      </w:pPr>
      <w:r>
        <w:t>Caso a Start Campus pretenda retomar esta possibilidade, deverá ser planeada como iniciativa separada, num worker privado e isolado da aplicação web. Os requisitos de segurança, capacidade e aceitação estão registados no documento Ferramentas Futuras; não constituem trabalho de implementação pendente para a equipa de IT nesta versão.</w:t>
      </w:r>
    </w:p>
    <w:p>
      <w:pPr>
        <w:pStyle w:val="Heading2"/>
      </w:pPr>
      <w:r>
        <w:t>10. Testes de aceitação antes de produção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Cenário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 obrigatório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Convite de pessoa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pessoa cria palavra-passe própria; não recebe credencial partilhada; Admin mantém o controlo de roles.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EE e EEP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EEP só vê KPI/Resíduos autorizados e projectos permitidos; EE vê apenas os seus parceiros; Admin tem audit trail.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Ficha aprovada fica no caminho correcto, com URL/referência e recuperação confirmada.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Documento é carregado uma vez na pasta correcta e a falha devolve erro controlado sem perder o workflow.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KPI/MIRR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Exportação por período mostra cabeçalhos profissionais, resumo e detalhe semanal correctos.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Recuperação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Crash-loop em staging cria backup, alerta para vários destinatários, issue/PR opcional e rollback após readiness falhar.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não surgem em Git/logs; auditoria de dependências, testes e health check passam.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2, se ativada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Assinatura válida aceita eventos, repetição é idempotente, assinatura/métrica inválida não escreve, e a semana é reconciliada com a fonte aprovada.</w:t>
            </w:r>
          </w:p>
        </w:tc>
      </w:tr>
    </w:tbl>
    <w:p>
      <w:pPr>
        <w:spacing w:after="40"/>
      </w:pPr>
    </w:p>
    <w:p>
      <w:pPr>
        <w:pStyle w:val="Heading2"/>
      </w:pPr>
      <w:r>
        <w:t>11. Entregáveis que o IT deve devolver à Start Campus</w:t>
      </w:r>
    </w:p>
    <w:p>
      <w:pPr>
        <w:spacing w:after="100"/>
      </w:pPr>
      <w:r>
        <w:t>A passagem a produção deve terminar com um dossier de evidências: diagrama de rede e identidades técnicas; inventário de segredos e rotação; mapeamento projecto plataforma→ACC→SharePoint; resultado de testes de upload/arquivo/restauro; prova de SPF/DKIM/DMARC; relatório de health check e rollback; e evidência de branch protection/reviews. O template RDCD final continua a ser o elemento funcional que falta para validar a geração do relatório oficial com a estrutura exigida pela APA.</w:t>
      </w:r>
    </w:p>
    <w:p>
      <w:pPr>
        <w:pStyle w:val="Heading2"/>
      </w:pPr>
      <w:r>
        <w:t>Referências</w:t>
      </w:r>
    </w:p>
    <w:p>
      <w:pPr>
        <w:spacing w:after="100"/>
      </w:pPr>
      <w:r>
        <w:t>[1]: https://learn.microsoft.com/en-us/graph/api/resources/sharepoint?view=graph-rest-1.0 "Microsoft Learn — Working with SharePoint sites in Microsoft Graph"</w:t>
      </w:r>
    </w:p>
    <w:p>
      <w:pPr>
        <w:spacing w:after="100"/>
      </w:pPr>
      <w:r>
        <w:t>[2]: https://aps.autodesk.com/en/docs/acc/v1/overview/introduction/ "Autodesk Platform Services — Forma/ACC APIs"</w:t>
      </w:r>
    </w:p>
    <w:p>
      <w:pPr>
        <w:spacing w:after="100"/>
      </w:pPr>
      <w:r>
        <w:t>[3]: https://docs.github.com/en/repositories/configuring-branches-and-merges-in-your-repository/managing-protected-branches/managing-a-branch-protection-rule "GitHub Docs — Managing a branch protection rule"</w:t>
      </w:r>
    </w:p>
    <w:p>
      <w:pPr>
        <w:spacing w:after="100"/>
      </w:pPr>
      <w:r>
        <w:t>[4]: https://docs.github.com/actions/deployment/targeting-different-environments/using-environments-for-deployment "GitHub Docs — Using environments for deployment"</w:t>
      </w:r>
    </w:p>
    <w:p>
      <w:pPr>
        <w:spacing w:after="100"/>
      </w:pPr>
      <w:r>
        <w:t>[5]: https://opendronemap.org/nodeodm/ "OpenDroneMap — NodeODM"</w:t>
      </w:r>
    </w:p>
    <w:p>
      <w:r>
        <w:br w:type="page"/>
      </w:r>
    </w:p>
    <w:p>
      <w:pPr>
        <w:pStyle w:val="Heading1"/>
      </w:pPr>
      <w:r>
        <w:t>Integração BMS — Fase 2 — SIN01 / NEST</w:t>
      </w:r>
    </w:p>
    <w:p>
      <w:pPr>
        <w:spacing w:after="100"/>
      </w:pPr>
      <w:r>
        <w:t>Estado: implementada no código, inativa por defeito até configuração pelo IT da Start Campus.</w:t>
      </w:r>
    </w:p>
    <w:p>
      <w:pPr>
        <w:spacing w:after="100"/>
      </w:pPr>
      <w:r>
        <w:t>Âmbito: receção segura de telemetria operacional do SIN01 / NEST para alimentar leituras existentes de Operação.</w:t>
      </w:r>
    </w:p>
    <w:p>
      <w:pPr>
        <w:spacing w:after="100"/>
      </w:pPr>
      <w:r>
        <w:t>Não é: acesso remoto à rede OT, polling do BMS, acesso de browser ao BMS, nem substituto de validação de engenharia.</w:t>
      </w:r>
    </w:p>
    <w:p>
      <w:pPr>
        <w:pStyle w:val="Heading2"/>
      </w:pPr>
      <w:r>
        <w:t>1. Decisão de arquitetura</w:t>
      </w:r>
    </w:p>
    <w:p>
      <w:pPr>
        <w:spacing w:after="100"/>
      </w:pPr>
      <w:r>
        <w:t>A aplicação não inicia ligações a controladores, PLCs ou BMS. O IT instala ou configura um gateway de integração no perímetro corporativo que lê os dados autorizados localmente e envia eventos HTTPS para a aplicação.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flowchart LR</w:t>
              <w:br/>
              <w:t xml:space="preserve">  BMS["BMS / rede OT"] --&gt;|"ligação local autorizada"| GW["Gateway corporativo\nallowlist + buffer"]</w:t>
              <w:br/>
              <w:t xml:space="preserve">  GW --&gt;|"HTTPS + HMAC + eventId"| APP["STAND API\nreceção BMS"]</w:t>
              <w:br/>
              <w:t xml:space="preserve">  APP --&gt;|"métricas canónicas"| DB[("Leituras de Operação")]</w:t>
              <w:br/>
              <w:t xml:space="preserve">  DB --&gt; UI["Cockpit NEST\nqualidade, limites, tendências"]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Limite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 aplicada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Direção de rede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saída do gateway para o domínio HTTPS da aplicação. A aplicação não abre sockets para a rede OT.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Autenticação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Cada evento exige HMAC-SHA256, timestamp e corpo intacto. Sem segredo configurado, a rota devolve 503 e não escreve dados.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Repetições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eventId é único por projeto; repetição é aceite como idempotente (202) e não cria leituras adicionais.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aceites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métricas canónicas do SIN01 e granularidade permitida. Campos desconhecidos são rejeitados.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Rastreabilidade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É guardado o lote, data, qualidade, hash do payload e evento; não é guardado o segredo nem a carga bruta.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 operacional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aplicação nunca envia comandos, setpoints ou alterações de configuração ao BMS.</w:t>
            </w:r>
          </w:p>
        </w:tc>
      </w:tr>
    </w:tbl>
    <w:p>
      <w:pPr>
        <w:spacing w:after="40"/>
      </w:pPr>
    </w:p>
    <w:p>
      <w:pPr>
        <w:pStyle w:val="Heading2"/>
      </w:pPr>
      <w:r>
        <w:t>2. Pré-requisitos do IT</w:t>
      </w:r>
    </w:p>
    <w:p>
      <w:pPr>
        <w:pStyle w:val="ListNumber"/>
      </w:pPr>
      <w:r>
        <w:t>Criar uma conta técnica interna apenas para auditoria da integração, sem acesso interativo nem permissões administrativas de plataforma.</w:t>
      </w:r>
    </w:p>
    <w:p>
      <w:pPr>
        <w:pStyle w:val="ListNumber"/>
      </w:pPr>
      <w:r>
        <w:t>Criar BMS_INGEST_HMAC_SECRET com valor aleatório de pelo menos 32 bytes, num cofre de segredos. O segredo existe apenas no gateway e no ambiente de produção.</w:t>
      </w:r>
    </w:p>
    <w:p>
      <w:pPr>
        <w:pStyle w:val="ListNumber"/>
      </w:pPr>
      <w:r>
        <w:t>Guardar o identificador interno dessa conta em BMS_SERVICE_USER_ID no cofre/ficheiro de sistema do servidor.</w:t>
      </w:r>
    </w:p>
    <w:p>
      <w:pPr>
        <w:pStyle w:val="ListNumber"/>
      </w:pPr>
      <w:r>
        <w:t>Permitir ao gateway apenas POST HTTPS para https://&lt;domínio-start-campus&gt;/api/integrations/bms/v1/readings.</w:t>
      </w:r>
    </w:p>
    <w:p>
      <w:pPr>
        <w:pStyle w:val="ListNumber"/>
      </w:pPr>
      <w:r>
        <w:t>Configurar logs do gateway com eventId, estado HTTP e tempo, nunca o segredo ou corpo integral do evento.</w:t>
      </w:r>
    </w:p>
    <w:p>
      <w:pPr>
        <w:pStyle w:val="ListNumber"/>
      </w:pPr>
      <w:r>
        <w:t>Confirmar sincronização NTP entre gateway e servidor; a API só aceita um desvio de relógio de cinco minutos.</w:t>
      </w:r>
    </w:p>
    <w:p>
      <w:pPr>
        <w:pStyle w:val="Quote"/>
      </w:pPr>
      <w:r>
        <w:t>A habilitação da fase BMS não requer segredo no repositório. Se qualquer uma das duas variáveis não existir, a integração mantém-se bloqueada por desenho.</w:t>
      </w:r>
    </w:p>
    <w:p>
      <w:pPr>
        <w:pStyle w:val="Heading2"/>
      </w:pPr>
      <w:r>
        <w:t>3. Contrato do evento</w:t>
      </w:r>
    </w:p>
    <w:p>
      <w:pPr>
        <w:pStyle w:val="Heading3"/>
      </w:pPr>
      <w:r>
        <w:t>Cabeçalhos obrigatórios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Cabeçalho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Exemplo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Content-Type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application/json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Obrigatório.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X-BMS-Timestamp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2026-10-06T08:30:00.000Z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ISO 8601, tolerância de ±5 minutos.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X-BMS-Signature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hex HMAC-SHA256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HMAC de timestamp + "." + rawBody, calculado sobre o JSON não alterado.</w:t>
            </w:r>
          </w:p>
        </w:tc>
      </w:tr>
    </w:tbl>
    <w:p>
      <w:pPr>
        <w:spacing w:after="40"/>
      </w:pPr>
    </w:p>
    <w:p>
      <w:pPr>
        <w:pStyle w:val="Heading3"/>
      </w:pPr>
      <w:r>
        <w:t>Corpo canónico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{</w:t>
              <w:br/>
              <w:t xml:space="preserve">  "eventId": "nest-20261006-083000-0001",</w:t>
              <w:br/>
              <w:t xml:space="preserve">  "projectCode": "SIN01",</w:t>
              <w:br/>
              <w:t xml:space="preserve">  "measuredAt": "2026-10-06T08:30:00.000Z",</w:t>
              <w:br/>
              <w:t xml:space="preserve">  "readings": [</w:t>
              <w:br/>
              <w:t xml:space="preserve">    {</w:t>
              <w:br/>
              <w:t xml:space="preserve">      "metricCode": "it_power_15m_kw",</w:t>
              <w:br/>
              <w:t xml:space="preserve">      "value": 1200.4,</w:t>
              <w:br/>
              <w:t xml:space="preserve">      "granularity": "quinze_minutos",</w:t>
              <w:br/>
              <w:t xml:space="preserve">      "dataQuality": "valid"</w:t>
              <w:br/>
              <w:t xml:space="preserve">    },</w:t>
              <w:br/>
              <w:t xml:space="preserve">    {</w:t>
              <w:br/>
              <w:t xml:space="preserve">      "metricCode": "pue_15m",</w:t>
              <w:br/>
              <w:t xml:space="preserve">      "value": 1.18,</w:t>
              <w:br/>
              <w:t xml:space="preserve">      "granularity": "quinze_minutos",</w:t>
              <w:br/>
              <w:t xml:space="preserve">      "dataQuality": "warning",</w:t>
              <w:br/>
              <w:t xml:space="preserve">      "qualityNote": "Manutenção planeada no circuito secundário."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pStyle w:val="Heading3"/>
      </w:pPr>
      <w:r>
        <w:t>Métricas aceites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Unidade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Granularidade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Uso na STAND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site_power_15m_kw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Potência do site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it_power_15m_kw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Carga TI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rácio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Eficiência instantânea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cooling_cycles_15m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N.º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Ciclos de arrefecimento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seawater_flow_15m_lps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Caudal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seawater_intake_temp_15m_c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L/kWh TI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 reportado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site_energy_kwh_daily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kWh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Energia de site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it_energy_kwh_daily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kWh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Energia TI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rácio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 diário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seawater_flow_lps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Caudal diário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seawater_intake_temp_c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seawater_return_temp_c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descarga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seawater_pumping_cop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térmico/elétrico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COP de bombagem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wue_reportado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L/kWh TI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 reportado</w:t>
            </w:r>
          </w:p>
        </w:tc>
      </w:tr>
    </w:tbl>
    <w:p>
      <w:pPr>
        <w:spacing w:after="40"/>
      </w:pPr>
    </w:p>
    <w:p>
      <w:pPr>
        <w:spacing w:after="100"/>
      </w:pPr>
      <w:r>
        <w:t>A API aceita no máximo 500 leituras por evento, valores não negativos e uma única ocorrência de cada combinação metricCode + granularidade por evento. O gateway deve enviar leituras em blocos pequenos; não deve enviar dumps históricos sem aprovação do responsável de Operação.</w:t>
      </w:r>
    </w:p>
    <w:p>
      <w:pPr>
        <w:pStyle w:val="Heading2"/>
      </w:pPr>
      <w:r>
        <w:t>4. Fluxo de ativação e aceitação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Passo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Ação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Evidência de 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Criar gateway em staging e configurar NTP.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Relógio do gateway e servidor sincronizados.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segredo e conta técnica exclusivamente no cofre.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Variáveis presentes no serviço, ausentes de Git/logs.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3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Enviar evento de teste com duas métricas canónicas.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202, lote e leituras visíveis no separador Dados de Operação.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Reenviar exatamente o mesmo eventId.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 com duplicate: true; contagem de leituras não aumenta.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Alterar uma letra na assinatura.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401; nenhuma escrita na base.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Enviar métrica/granularidade não suportada.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400; nenhuma escrita na base.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7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Remover temporariamente segredo do ambiente de staging.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503; a integração fica desativada de forma segura.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8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Comparar uma semana BMS com o relatório Excel/fonte de origem.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Desvio explicado, qualidade registada e aceite pelo responsável técnico.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Produção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conjunta Infraestruturas + Operação + Segurança; plano de reversão documentado.</w:t>
            </w:r>
          </w:p>
        </w:tc>
      </w:tr>
    </w:tbl>
    <w:p>
      <w:pPr>
        <w:spacing w:after="40"/>
      </w:pPr>
    </w:p>
    <w:p>
      <w:pPr>
        <w:pStyle w:val="Heading2"/>
      </w:pPr>
      <w:r>
        <w:t>5. Operação contínua</w:t>
      </w:r>
    </w:p>
    <w:p>
      <w:pPr>
        <w:pStyle w:val="ListBullet"/>
      </w:pPr>
      <w:r>
        <w:t>O gateway pode manter uma fila local cifrada para indisponibilidades temporárias e reencaminhar eventos com o mesmo eventId.</w:t>
      </w:r>
    </w:p>
    <w:p>
      <w:pPr>
        <w:pStyle w:val="ListBullet"/>
      </w:pPr>
      <w:r>
        <w:t>A aplicação já dispõe de importação Excel auditável; esta continua a ser o fallback caso o gateway esteja indisponível.</w:t>
      </w:r>
    </w:p>
    <w:p>
      <w:pPr>
        <w:pStyle w:val="ListBullet"/>
      </w:pPr>
      <w:r>
        <w:t>A qualidade warning mantém a leitura visível mas separada de leituras válidas nos indicadores de cobertura. Leituras invalid não entram neste endpoint.</w:t>
      </w:r>
    </w:p>
    <w:p>
      <w:pPr>
        <w:pStyle w:val="ListBullet"/>
      </w:pPr>
      <w:r>
        <w:t>Cada alteração a limites, fatores de carbono, preços, fórmulas e mapeamentos continua a ser feita apenas pela Administração na área Operação e permanece auditada.</w:t>
      </w:r>
    </w:p>
    <w:p>
      <w:pPr>
        <w:pStyle w:val="ListBullet"/>
      </w:pPr>
      <w:r>
        <w:t>Alertas derivados de telemetria devem começar em modo de observação. Só depois da validação do responsável técnico é aceitável usar um limiar aprovado como sinal de desvio.</w:t>
      </w:r>
    </w:p>
    <w:p>
      <w:pPr>
        <w:pStyle w:val="Heading2"/>
      </w:pPr>
      <w:r>
        <w:t>6. Responsabilidades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Equipa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Infraestruturas / BMS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Fonte, gateway, qualidade e significado físico das leituras.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 / 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Rede, cofre de segredos, gestão da conta técnica, monitorização e resposta a incidente.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Operação NEST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de métricas, limites, regras de cálculo e reconciliação operacional.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Ambiental / RAA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Consulta de indicadores ambientais e rastreabilidade; não reconfigura a fonte BMS.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Plataforma STAND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Validação de contrato, persistência idempotente, auditoria, qualidade, dashboard e acesso por RBAC.</w:t>
            </w:r>
          </w:p>
        </w:tc>
      </w:tr>
    </w:tbl>
    <w:p>
      <w:pPr>
        <w:spacing w:after="40"/>
      </w:pPr>
    </w:p>
    <w:p>
      <w:pPr>
        <w:pStyle w:val="Heading2"/>
      </w:pPr>
      <w:r>
        <w:t>7. Limites conhecidos</w:t>
      </w:r>
    </w:p>
    <w:p>
      <w:pPr>
        <w:spacing w:after="100"/>
      </w:pPr>
      <w:r>
        <w:t>Esta fase não cria um modelo de controlo do edifício nem uma ligação direta a sistemas industriais. A STAND usa dados recebidos para análise e tomada de decisão; qualquer ação sobre a infraestrutura continua nos sistemas técnicos aprovados e nos procedimentos operacionais da Start Campus.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E6C76"/>
        <w:sz w:val="16"/>
      </w:rPr>
      <w:t xml:space="preserve">Uso interno · Informação operacional controlada · </w:t>
    </w:r>
    <w:r>
      <w:rPr>
        <w:rFonts w:ascii="Aptos" w:hAnsi="Aptos"/>
        <w:color w:val="5E6C76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A859"/>
        <w:sz w:val="16"/>
      </w:rPr>
      <w:t>STAND  /  START CAMPUS     GUIA DE IMPLEMENTAÇÃO 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821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