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ECF360">
      <w:pPr>
        <w:pStyle w:val="31"/>
        <w:spacing w:after="60"/>
      </w:pPr>
      <w:r>
        <w:rPr>
          <w:rFonts w:ascii="Aptos Display" w:hAnsi="Aptos Display" w:eastAsia="STHeiti"/>
          <w:b/>
          <w:i w:val="0"/>
          <w:color w:val="000000"/>
          <w:sz w:val="48"/>
        </w:rPr>
        <w:t>可视化分析报告</w:t>
      </w:r>
    </w:p>
    <w:p w14:paraId="5DDE4C58">
      <w:pPr>
        <w:spacing w:after="200"/>
      </w:pPr>
      <w:r>
        <w:rPr>
          <w:rFonts w:ascii="Aptos" w:hAnsi="Aptos" w:eastAsia="STHeiti"/>
          <w:b/>
          <w:i w:val="0"/>
          <w:color w:val="0F766E"/>
          <w:sz w:val="24"/>
        </w:rPr>
        <w:t>全球远程招聘岗位结构洞察与岗位信息质量评分模型</w:t>
      </w:r>
    </w:p>
    <w:p w14:paraId="7FC9C636">
      <w:pPr>
        <w:spacing w:after="260"/>
      </w:pPr>
      <w:r>
        <w:rPr>
          <w:rFonts w:ascii="Aptos" w:hAnsi="Aptos" w:eastAsia="STHeiti"/>
          <w:b w:val="0"/>
          <w:i w:val="0"/>
          <w:color w:val="52606D"/>
          <w:sz w:val="18"/>
        </w:rPr>
        <w:t>课程项目：基于全球远程招聘岗位大数据的岗位质量评分与人岗匹配研究  |  版本：2026-09-08</w:t>
      </w:r>
    </w:p>
    <w:p w14:paraId="2ADCC479">
      <w:r>
        <w:rPr>
          <w:rFonts w:ascii="Aptos" w:hAnsi="Aptos" w:eastAsia="STHeiti"/>
          <w:b w:val="0"/>
          <w:i w:val="0"/>
          <w:color w:val="17202A"/>
          <w:sz w:val="21"/>
        </w:rPr>
        <w:t>本文基于 Himalayas 公开 Jobs API 采集的 12,000 条全球远程岗位，完成数据清洗、特征工程、七张业务可视化图以及四种分类模型比较。报告回答两个问题：远程岗位市场呈现怎样的类别、薪资、技能和发布时间结构；哪些岗位信息特征可以用于构造和学习岗位信息质量标签。</w:t>
      </w:r>
    </w:p>
    <w:p w14:paraId="37487F5D">
      <w:r>
        <w:rPr>
          <w:rFonts w:ascii="Aptos" w:hAnsi="Aptos" w:eastAsia="STHeiti"/>
          <w:b w:val="0"/>
          <w:i w:val="0"/>
          <w:color w:val="17202A"/>
          <w:sz w:val="21"/>
        </w:rPr>
        <w:t>阅读结论：Engineering 和 Data Science 是样本主体；可比较的 USD 薪资中位数为 121,550 美元；岗位描述长度与信息质量分呈中等正相关；规则标签下高信息质量岗位占 50.6%。这些结论限定在本次 API 时间窗口快照，不外推为完整市场结论。</w:t>
      </w:r>
    </w:p>
    <w:p w14:paraId="6CD05A1D">
      <w:pPr>
        <w:pStyle w:val="3"/>
      </w:pPr>
      <w:r>
        <w:t>一 数据范围与清洗口径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1"/>
        <w:gridCol w:w="3331"/>
        <w:gridCol w:w="3331"/>
      </w:tblGrid>
      <w:tr w14:paraId="073C67EF">
        <w:trPr>
          <w:tblHeader/>
          <w:jc w:val="center"/>
        </w:trPr>
        <w:tc>
          <w:tcPr>
            <w:tcW w:w="2088" w:type="dxa"/>
            <w:tcBorders>
              <w:top w:val="single" w:color="D9E0E5" w:sz="6" w:space="0"/>
              <w:left w:val="single" w:color="D9E0E5" w:sz="6" w:space="0"/>
              <w:bottom w:val="single" w:color="D9E0E5" w:sz="6" w:space="0"/>
              <w:right w:val="single" w:color="D9E0E5" w:sz="6" w:space="0"/>
              <w:insideH w:val="single" w:sz="6" w:space="0"/>
              <w:insideV w:val="single" w:sz="6" w:space="0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8D5714">
            <w:pPr>
              <w:jc w:val="center"/>
            </w:pPr>
            <w:r>
              <w:rPr>
                <w:rFonts w:ascii="Aptos" w:hAnsi="Aptos" w:eastAsia="STHeiti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w="2376" w:type="dxa"/>
            <w:tcBorders>
              <w:top w:val="single" w:color="D9E0E5" w:sz="6" w:space="0"/>
              <w:left w:val="single" w:color="D9E0E5" w:sz="6" w:space="0"/>
              <w:bottom w:val="single" w:color="D9E0E5" w:sz="6" w:space="0"/>
              <w:right w:val="single" w:color="D9E0E5" w:sz="6" w:space="0"/>
              <w:insideH w:val="single" w:sz="6" w:space="0"/>
              <w:insideV w:val="single" w:sz="6" w:space="0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15937A">
            <w:pPr>
              <w:jc w:val="center"/>
            </w:pPr>
            <w:r>
              <w:rPr>
                <w:rFonts w:ascii="Aptos" w:hAnsi="Aptos" w:eastAsia="STHeiti"/>
                <w:b/>
                <w:i w:val="0"/>
                <w:color w:val="FFFFFF"/>
                <w:sz w:val="18"/>
              </w:rPr>
              <w:t>结果</w:t>
            </w:r>
          </w:p>
        </w:tc>
        <w:tc>
          <w:tcPr>
            <w:tcW w:w="5184" w:type="dxa"/>
            <w:tcBorders>
              <w:top w:val="single" w:color="D9E0E5" w:sz="6" w:space="0"/>
              <w:left w:val="single" w:color="D9E0E5" w:sz="6" w:space="0"/>
              <w:bottom w:val="single" w:color="D9E0E5" w:sz="6" w:space="0"/>
              <w:right w:val="single" w:color="D9E0E5" w:sz="6" w:space="0"/>
              <w:insideH w:val="single" w:sz="6" w:space="0"/>
              <w:insideV w:val="single" w:sz="6" w:space="0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EA4096">
            <w:pPr>
              <w:jc w:val="center"/>
            </w:pPr>
            <w:r>
              <w:rPr>
                <w:rFonts w:ascii="Aptos" w:hAnsi="Aptos" w:eastAsia="STHeiti"/>
                <w:b/>
                <w:i w:val="0"/>
                <w:color w:val="FFFFFF"/>
                <w:sz w:val="18"/>
              </w:rPr>
              <w:t>说明</w:t>
            </w:r>
          </w:p>
        </w:tc>
      </w:tr>
      <w:tr w14:paraId="0F7972DE">
        <w:trPr>
          <w:jc w:val="center"/>
        </w:trPr>
        <w:tc>
          <w:tcPr>
            <w:tcW w:w="2088" w:type="dxa"/>
            <w:tcBorders>
              <w:top w:val="single" w:color="D9E0E5" w:sz="6" w:space="0"/>
              <w:left w:val="single" w:color="D9E0E5" w:sz="6" w:space="0"/>
              <w:bottom w:val="single" w:color="D9E0E5" w:sz="6" w:space="0"/>
              <w:right w:val="single" w:color="D9E0E5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57408B">
            <w:pPr>
              <w:jc w:val="left"/>
            </w:pPr>
            <w:r>
              <w:rPr>
                <w:rFonts w:ascii="Aptos" w:hAnsi="Aptos" w:eastAsia="STHeiti"/>
                <w:b w:val="0"/>
                <w:i w:val="0"/>
                <w:color w:val="17202A"/>
                <w:sz w:val="18"/>
              </w:rPr>
              <w:t>数据源</w:t>
            </w:r>
          </w:p>
        </w:tc>
        <w:tc>
          <w:tcPr>
            <w:tcW w:w="2376" w:type="dxa"/>
            <w:tcBorders>
              <w:top w:val="single" w:color="D9E0E5" w:sz="6" w:space="0"/>
              <w:left w:val="single" w:color="D9E0E5" w:sz="6" w:space="0"/>
              <w:bottom w:val="single" w:color="D9E0E5" w:sz="6" w:space="0"/>
              <w:right w:val="single" w:color="D9E0E5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A733B8">
            <w:pPr>
              <w:jc w:val="center"/>
            </w:pPr>
            <w:r>
              <w:rPr>
                <w:rFonts w:ascii="Aptos" w:hAnsi="Aptos" w:eastAsia="STHeiti"/>
                <w:b w:val="0"/>
                <w:i w:val="0"/>
                <w:color w:val="17202A"/>
                <w:sz w:val="18"/>
              </w:rPr>
              <w:t>Himalayas 公开 Jobs API</w:t>
            </w:r>
          </w:p>
        </w:tc>
        <w:tc>
          <w:tcPr>
            <w:tcW w:w="5184" w:type="dxa"/>
            <w:tcBorders>
              <w:top w:val="single" w:color="D9E0E5" w:sz="6" w:space="0"/>
              <w:left w:val="single" w:color="D9E0E5" w:sz="6" w:space="0"/>
              <w:bottom w:val="single" w:color="D9E0E5" w:sz="6" w:space="0"/>
              <w:right w:val="single" w:color="D9E0E5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0D66D7">
            <w:pPr>
              <w:jc w:val="center"/>
            </w:pPr>
            <w:r>
              <w:rPr>
                <w:rFonts w:ascii="Aptos" w:hAnsi="Aptos" w:eastAsia="STHeiti"/>
                <w:b w:val="0"/>
                <w:i w:val="0"/>
                <w:color w:val="17202A"/>
                <w:sz w:val="18"/>
              </w:rPr>
              <w:t>已取得研究用途回复/许可</w:t>
            </w:r>
          </w:p>
        </w:tc>
      </w:tr>
      <w:tr w14:paraId="0EBE7525">
        <w:trPr>
          <w:jc w:val="center"/>
        </w:trPr>
        <w:tc>
          <w:tcPr>
            <w:tcW w:w="2088" w:type="dxa"/>
            <w:tcBorders>
              <w:top w:val="single" w:color="D9E0E5" w:sz="6" w:space="0"/>
              <w:left w:val="single" w:color="D9E0E5" w:sz="6" w:space="0"/>
              <w:bottom w:val="single" w:color="D9E0E5" w:sz="6" w:space="0"/>
              <w:right w:val="single" w:color="D9E0E5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C6DF72">
            <w:pPr>
              <w:jc w:val="left"/>
            </w:pPr>
            <w:r>
              <w:rPr>
                <w:rFonts w:ascii="Aptos" w:hAnsi="Aptos" w:eastAsia="STHeiti"/>
                <w:b w:val="0"/>
                <w:i w:val="0"/>
                <w:color w:val="17202A"/>
                <w:sz w:val="18"/>
              </w:rPr>
              <w:t>原始记录</w:t>
            </w:r>
          </w:p>
        </w:tc>
        <w:tc>
          <w:tcPr>
            <w:tcW w:w="2376" w:type="dxa"/>
            <w:tcBorders>
              <w:top w:val="single" w:color="D9E0E5" w:sz="6" w:space="0"/>
              <w:left w:val="single" w:color="D9E0E5" w:sz="6" w:space="0"/>
              <w:bottom w:val="single" w:color="D9E0E5" w:sz="6" w:space="0"/>
              <w:right w:val="single" w:color="D9E0E5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7A4FFB">
            <w:pPr>
              <w:jc w:val="center"/>
            </w:pPr>
            <w:r>
              <w:rPr>
                <w:rFonts w:ascii="Aptos" w:hAnsi="Aptos" w:eastAsia="STHeiti"/>
                <w:b w:val="0"/>
                <w:i w:val="0"/>
                <w:color w:val="17202A"/>
                <w:sz w:val="18"/>
              </w:rPr>
              <w:t>12,000 条</w:t>
            </w:r>
          </w:p>
        </w:tc>
        <w:tc>
          <w:tcPr>
            <w:tcW w:w="5184" w:type="dxa"/>
            <w:tcBorders>
              <w:top w:val="single" w:color="D9E0E5" w:sz="6" w:space="0"/>
              <w:left w:val="single" w:color="D9E0E5" w:sz="6" w:space="0"/>
              <w:bottom w:val="single" w:color="D9E0E5" w:sz="6" w:space="0"/>
              <w:right w:val="single" w:color="D9E0E5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01654B">
            <w:pPr>
              <w:jc w:val="center"/>
            </w:pPr>
            <w:r>
              <w:rPr>
                <w:rFonts w:ascii="Aptos" w:hAnsi="Aptos" w:eastAsia="STHeiti"/>
                <w:b w:val="0"/>
                <w:i w:val="0"/>
                <w:color w:val="17202A"/>
                <w:sz w:val="18"/>
              </w:rPr>
              <w:t>600 个分页文件，每页约 20 条</w:t>
            </w:r>
          </w:p>
        </w:tc>
      </w:tr>
      <w:tr w14:paraId="302CC06F">
        <w:trPr>
          <w:jc w:val="center"/>
        </w:trPr>
        <w:tc>
          <w:tcPr>
            <w:tcW w:w="2088" w:type="dxa"/>
            <w:tcBorders>
              <w:top w:val="single" w:color="D9E0E5" w:sz="6" w:space="0"/>
              <w:left w:val="single" w:color="D9E0E5" w:sz="6" w:space="0"/>
              <w:bottom w:val="single" w:color="D9E0E5" w:sz="6" w:space="0"/>
              <w:right w:val="single" w:color="D9E0E5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1C78FB">
            <w:pPr>
              <w:jc w:val="left"/>
            </w:pPr>
            <w:r>
              <w:rPr>
                <w:rFonts w:ascii="Aptos" w:hAnsi="Aptos" w:eastAsia="STHeiti"/>
                <w:b w:val="0"/>
                <w:i w:val="0"/>
                <w:color w:val="17202A"/>
                <w:sz w:val="18"/>
              </w:rPr>
              <w:t>去重后记录</w:t>
            </w:r>
          </w:p>
        </w:tc>
        <w:tc>
          <w:tcPr>
            <w:tcW w:w="2376" w:type="dxa"/>
            <w:tcBorders>
              <w:top w:val="single" w:color="D9E0E5" w:sz="6" w:space="0"/>
              <w:left w:val="single" w:color="D9E0E5" w:sz="6" w:space="0"/>
              <w:bottom w:val="single" w:color="D9E0E5" w:sz="6" w:space="0"/>
              <w:right w:val="single" w:color="D9E0E5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2067A0">
            <w:pPr>
              <w:jc w:val="center"/>
            </w:pPr>
            <w:r>
              <w:rPr>
                <w:rFonts w:ascii="Aptos" w:hAnsi="Aptos" w:eastAsia="STHeiti"/>
                <w:b w:val="0"/>
                <w:i w:val="0"/>
                <w:color w:val="17202A"/>
                <w:sz w:val="18"/>
              </w:rPr>
              <w:t>12,000 条</w:t>
            </w:r>
          </w:p>
        </w:tc>
        <w:tc>
          <w:tcPr>
            <w:tcW w:w="5184" w:type="dxa"/>
            <w:tcBorders>
              <w:top w:val="single" w:color="D9E0E5" w:sz="6" w:space="0"/>
              <w:left w:val="single" w:color="D9E0E5" w:sz="6" w:space="0"/>
              <w:bottom w:val="single" w:color="D9E0E5" w:sz="6" w:space="0"/>
              <w:right w:val="single" w:color="D9E0E5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37C1C4">
            <w:pPr>
              <w:jc w:val="center"/>
            </w:pPr>
            <w:r>
              <w:rPr>
                <w:rFonts w:ascii="Aptos" w:hAnsi="Aptos" w:eastAsia="STHeiti"/>
                <w:b w:val="0"/>
                <w:i w:val="0"/>
                <w:color w:val="17202A"/>
                <w:sz w:val="18"/>
              </w:rPr>
              <w:t>重复 0 条，重复率 0.00%</w:t>
            </w:r>
          </w:p>
        </w:tc>
      </w:tr>
      <w:tr w14:paraId="08EAD4D4">
        <w:trPr>
          <w:jc w:val="center"/>
        </w:trPr>
        <w:tc>
          <w:tcPr>
            <w:tcW w:w="2088" w:type="dxa"/>
            <w:tcBorders>
              <w:top w:val="single" w:color="D9E0E5" w:sz="6" w:space="0"/>
              <w:left w:val="single" w:color="D9E0E5" w:sz="6" w:space="0"/>
              <w:bottom w:val="single" w:color="D9E0E5" w:sz="6" w:space="0"/>
              <w:right w:val="single" w:color="D9E0E5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D7D02F">
            <w:pPr>
              <w:jc w:val="left"/>
            </w:pPr>
            <w:r>
              <w:rPr>
                <w:rFonts w:ascii="Aptos" w:hAnsi="Aptos" w:eastAsia="STHeiti"/>
                <w:b w:val="0"/>
                <w:i w:val="0"/>
                <w:color w:val="17202A"/>
                <w:sz w:val="18"/>
              </w:rPr>
              <w:t>研究对象</w:t>
            </w:r>
          </w:p>
        </w:tc>
        <w:tc>
          <w:tcPr>
            <w:tcW w:w="2376" w:type="dxa"/>
            <w:tcBorders>
              <w:top w:val="single" w:color="D9E0E5" w:sz="6" w:space="0"/>
              <w:left w:val="single" w:color="D9E0E5" w:sz="6" w:space="0"/>
              <w:bottom w:val="single" w:color="D9E0E5" w:sz="6" w:space="0"/>
              <w:right w:val="single" w:color="D9E0E5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564926">
            <w:pPr>
              <w:jc w:val="center"/>
            </w:pPr>
            <w:r>
              <w:rPr>
                <w:rFonts w:ascii="Aptos" w:hAnsi="Aptos" w:eastAsia="STHeiti"/>
                <w:b w:val="0"/>
                <w:i w:val="0"/>
                <w:color w:val="17202A"/>
                <w:sz w:val="18"/>
              </w:rPr>
              <w:t>全球远程岗位</w:t>
            </w:r>
          </w:p>
        </w:tc>
        <w:tc>
          <w:tcPr>
            <w:tcW w:w="5184" w:type="dxa"/>
            <w:tcBorders>
              <w:top w:val="single" w:color="D9E0E5" w:sz="6" w:space="0"/>
              <w:left w:val="single" w:color="D9E0E5" w:sz="6" w:space="0"/>
              <w:bottom w:val="single" w:color="D9E0E5" w:sz="6" w:space="0"/>
              <w:right w:val="single" w:color="D9E0E5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000E5F">
            <w:pPr>
              <w:jc w:val="center"/>
            </w:pPr>
            <w:r>
              <w:rPr>
                <w:rFonts w:ascii="Aptos" w:hAnsi="Aptos" w:eastAsia="STHeiti"/>
                <w:b w:val="0"/>
                <w:i w:val="0"/>
                <w:color w:val="17202A"/>
                <w:sz w:val="18"/>
              </w:rPr>
              <w:t>city=Remote，district 表示地区限制</w:t>
            </w:r>
          </w:p>
        </w:tc>
      </w:tr>
      <w:tr w14:paraId="7822E39C">
        <w:trPr>
          <w:jc w:val="center"/>
        </w:trPr>
        <w:tc>
          <w:tcPr>
            <w:tcW w:w="2088" w:type="dxa"/>
            <w:tcBorders>
              <w:top w:val="single" w:color="D9E0E5" w:sz="6" w:space="0"/>
              <w:left w:val="single" w:color="D9E0E5" w:sz="6" w:space="0"/>
              <w:bottom w:val="single" w:color="D9E0E5" w:sz="6" w:space="0"/>
              <w:right w:val="single" w:color="D9E0E5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C1BBE2">
            <w:pPr>
              <w:jc w:val="left"/>
            </w:pPr>
            <w:r>
              <w:rPr>
                <w:rFonts w:ascii="Aptos" w:hAnsi="Aptos" w:eastAsia="STHeiti"/>
                <w:b w:val="0"/>
                <w:i w:val="0"/>
                <w:color w:val="17202A"/>
                <w:sz w:val="18"/>
              </w:rPr>
              <w:t>薪资披露</w:t>
            </w:r>
          </w:p>
        </w:tc>
        <w:tc>
          <w:tcPr>
            <w:tcW w:w="2376" w:type="dxa"/>
            <w:tcBorders>
              <w:top w:val="single" w:color="D9E0E5" w:sz="6" w:space="0"/>
              <w:left w:val="single" w:color="D9E0E5" w:sz="6" w:space="0"/>
              <w:bottom w:val="single" w:color="D9E0E5" w:sz="6" w:space="0"/>
              <w:right w:val="single" w:color="D9E0E5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58C7D6">
            <w:pPr>
              <w:jc w:val="center"/>
            </w:pPr>
            <w:r>
              <w:rPr>
                <w:rFonts w:ascii="Aptos" w:hAnsi="Aptos" w:eastAsia="STHeiti"/>
                <w:b w:val="0"/>
                <w:i w:val="0"/>
                <w:color w:val="17202A"/>
                <w:sz w:val="18"/>
              </w:rPr>
              <w:t>5,185 条可解析</w:t>
            </w:r>
          </w:p>
        </w:tc>
        <w:tc>
          <w:tcPr>
            <w:tcW w:w="5184" w:type="dxa"/>
            <w:tcBorders>
              <w:top w:val="single" w:color="D9E0E5" w:sz="6" w:space="0"/>
              <w:left w:val="single" w:color="D9E0E5" w:sz="6" w:space="0"/>
              <w:bottom w:val="single" w:color="D9E0E5" w:sz="6" w:space="0"/>
              <w:right w:val="single" w:color="D9E0E5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367841">
            <w:pPr>
              <w:jc w:val="center"/>
            </w:pPr>
            <w:r>
              <w:rPr>
                <w:rFonts w:ascii="Aptos" w:hAnsi="Aptos" w:eastAsia="STHeiti"/>
                <w:b w:val="0"/>
                <w:i w:val="0"/>
                <w:color w:val="17202A"/>
                <w:sz w:val="18"/>
              </w:rPr>
              <w:t>只对非异常 USD 年薪做金额图</w:t>
            </w:r>
          </w:p>
        </w:tc>
      </w:tr>
      <w:tr w14:paraId="258F5F07">
        <w:trPr>
          <w:jc w:val="center"/>
        </w:trPr>
        <w:tc>
          <w:tcPr>
            <w:tcW w:w="2088" w:type="dxa"/>
            <w:tcBorders>
              <w:top w:val="single" w:color="D9E0E5" w:sz="6" w:space="0"/>
              <w:left w:val="single" w:color="D9E0E5" w:sz="6" w:space="0"/>
              <w:bottom w:val="single" w:color="D9E0E5" w:sz="6" w:space="0"/>
              <w:right w:val="single" w:color="D9E0E5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90F964">
            <w:pPr>
              <w:jc w:val="left"/>
            </w:pPr>
            <w:r>
              <w:rPr>
                <w:rFonts w:ascii="Aptos" w:hAnsi="Aptos" w:eastAsia="STHeiti"/>
                <w:b w:val="0"/>
                <w:i w:val="0"/>
                <w:color w:val="17202A"/>
                <w:sz w:val="18"/>
              </w:rPr>
              <w:t>质量标签</w:t>
            </w:r>
          </w:p>
        </w:tc>
        <w:tc>
          <w:tcPr>
            <w:tcW w:w="2376" w:type="dxa"/>
            <w:tcBorders>
              <w:top w:val="single" w:color="D9E0E5" w:sz="6" w:space="0"/>
              <w:left w:val="single" w:color="D9E0E5" w:sz="6" w:space="0"/>
              <w:bottom w:val="single" w:color="D9E0E5" w:sz="6" w:space="0"/>
              <w:right w:val="single" w:color="D9E0E5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864BF4">
            <w:pPr>
              <w:jc w:val="center"/>
            </w:pPr>
            <w:r>
              <w:rPr>
                <w:rFonts w:ascii="Aptos" w:hAnsi="Aptos" w:eastAsia="STHeiti"/>
                <w:b w:val="0"/>
                <w:i w:val="0"/>
                <w:color w:val="17202A"/>
                <w:sz w:val="18"/>
              </w:rPr>
              <w:t>High 6,071 条</w:t>
            </w:r>
          </w:p>
        </w:tc>
        <w:tc>
          <w:tcPr>
            <w:tcW w:w="5184" w:type="dxa"/>
            <w:tcBorders>
              <w:top w:val="single" w:color="D9E0E5" w:sz="6" w:space="0"/>
              <w:left w:val="single" w:color="D9E0E5" w:sz="6" w:space="0"/>
              <w:bottom w:val="single" w:color="D9E0E5" w:sz="6" w:space="0"/>
              <w:right w:val="single" w:color="D9E0E5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F9FFED">
            <w:pPr>
              <w:jc w:val="center"/>
            </w:pPr>
            <w:r>
              <w:rPr>
                <w:rFonts w:ascii="Aptos" w:hAnsi="Aptos" w:eastAsia="STHeiti"/>
                <w:b w:val="0"/>
                <w:i w:val="0"/>
                <w:color w:val="17202A"/>
                <w:sz w:val="18"/>
              </w:rPr>
              <w:t>固定信息透明度规则分 &gt;= 80</w:t>
            </w:r>
          </w:p>
        </w:tc>
      </w:tr>
    </w:tbl>
    <w:p w14:paraId="26C00428">
      <w:pPr>
        <w:spacing w:after="20"/>
      </w:pPr>
    </w:p>
    <w:p w14:paraId="61C0624C">
      <w:r>
        <w:rPr>
          <w:rFonts w:ascii="Aptos" w:hAnsi="Aptos" w:eastAsia="STHeiti"/>
          <w:b w:val="0"/>
          <w:i w:val="0"/>
          <w:color w:val="17202A"/>
          <w:sz w:val="21"/>
        </w:rPr>
        <w:t>清洗规则包括去重、字段类型标准化、薪资周期解析、经验职级映射、异常值标记、HTML/URL/标点清洗、jieba 分词、技能归一化、描述长度和结构特征构造。原始 JSONL 和 API 响应保持不变，处理数据写入 `data/processed/`。每条记录保留 `source_url`、`crawl_time` 和 `data_origin`。</w:t>
      </w:r>
    </w:p>
    <w:p w14:paraId="3DCD983E">
      <w:pPr>
        <w:pStyle w:val="3"/>
      </w:pPr>
      <w:r>
        <w:t>二 岗位结构可视化</w:t>
      </w:r>
    </w:p>
    <w:p w14:paraId="7F1EF1CC">
      <w:pPr>
        <w:spacing w:before="60" w:after="40"/>
        <w:jc w:val="center"/>
      </w:pPr>
      <w:r>
        <w:drawing>
          <wp:inline distT="0" distB="0" distL="114300" distR="114300">
            <wp:extent cx="5532120" cy="3341370"/>
            <wp:effectExtent l="0" t="0" r="508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34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40ECA">
      <w:pPr>
        <w:spacing w:before="40" w:after="120"/>
        <w:jc w:val="center"/>
      </w:pPr>
      <w:r>
        <w:rPr>
          <w:rFonts w:ascii="Aptos" w:hAnsi="Aptos" w:eastAsia="STHeiti"/>
          <w:b w:val="0"/>
          <w:i/>
          <w:color w:val="52606D"/>
          <w:sz w:val="17"/>
        </w:rPr>
        <w:t>图 1 岗位宽类分布。数据源：12,000 条去重清洗岗位。</w:t>
      </w:r>
    </w:p>
    <w:p w14:paraId="4E5292E5">
      <w:r>
        <w:rPr>
          <w:rFonts w:ascii="Aptos" w:hAnsi="Aptos" w:eastAsia="STHeiti"/>
          <w:b w:val="0"/>
          <w:i w:val="0"/>
          <w:color w:val="17202A"/>
          <w:sz w:val="21"/>
        </w:rPr>
        <w:t>指标定义：宽类由岗位标题、技能标签、岗位分类和描述中的固定关键词映射得到，同一岗位只保留一个主类别。图表观察：Engineering 共 2,792 条，占 23.3%，为最大类别；Data Science 次之，共 2,199 条，占 18.3%。业务洞察：样本明显偏向技术和数据岗位，匹配与聚类应按类别分层评估，否则大类会掩盖小类的技能结构；对求职者而言，先选择目标类别再做技能匹配更稳妥。</w:t>
      </w:r>
    </w:p>
    <w:p w14:paraId="39160794">
      <w:pPr>
        <w:spacing w:before="60" w:after="40"/>
        <w:jc w:val="center"/>
      </w:pPr>
      <w:r>
        <w:drawing>
          <wp:inline distT="0" distB="0" distL="114300" distR="114300">
            <wp:extent cx="5440680" cy="3424555"/>
            <wp:effectExtent l="0" t="0" r="2032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424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B59EB">
      <w:pPr>
        <w:spacing w:before="40" w:after="120"/>
        <w:jc w:val="center"/>
      </w:pPr>
      <w:r>
        <w:rPr>
          <w:rFonts w:ascii="Aptos" w:hAnsi="Aptos" w:eastAsia="STHeiti"/>
          <w:b w:val="0"/>
          <w:i/>
          <w:color w:val="52606D"/>
          <w:sz w:val="17"/>
        </w:rPr>
        <w:t>图 2 非异常 USD 年薪分布。金额图不包含其他币种。</w:t>
      </w:r>
    </w:p>
    <w:p w14:paraId="71181316">
      <w:r>
        <w:rPr>
          <w:rFonts w:ascii="Aptos" w:hAnsi="Aptos" w:eastAsia="STHeiti"/>
          <w:b w:val="0"/>
          <w:i w:val="0"/>
          <w:color w:val="17202A"/>
          <w:sz w:val="21"/>
        </w:rPr>
        <w:t>指标定义：仅保留可解析、非异常且币种为 USD 的年薪，并对分析值做 P1/P99 缩尾。图表观察：有效样本 4,592 条，中位数为 121,550 美元。业务洞察：薪资分布可为求职者提供市场参考，但它只代表主动披露 USD 薪资的透明子样本；不能把未披露薪资岗位自动视为低薪，也不能跨币种直接比较。</w:t>
      </w:r>
    </w:p>
    <w:p w14:paraId="5F7CF53B">
      <w:pPr>
        <w:spacing w:before="60" w:after="40"/>
        <w:jc w:val="center"/>
      </w:pPr>
      <w:r>
        <w:drawing>
          <wp:inline distT="0" distB="0" distL="114300" distR="114300">
            <wp:extent cx="5440680" cy="3686810"/>
            <wp:effectExtent l="0" t="0" r="20320" b="215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68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8752B">
      <w:pPr>
        <w:spacing w:before="40" w:after="120"/>
        <w:jc w:val="center"/>
      </w:pPr>
      <w:r>
        <w:rPr>
          <w:rFonts w:ascii="Aptos" w:hAnsi="Aptos" w:eastAsia="STHeiti"/>
          <w:b w:val="0"/>
          <w:i/>
          <w:color w:val="52606D"/>
          <w:sz w:val="17"/>
        </w:rPr>
        <w:t>图 3 职级与 USD 年薪。箱体用于展示分布而非单一报价。</w:t>
      </w:r>
    </w:p>
    <w:p w14:paraId="36508FF0">
      <w:r>
        <w:rPr>
          <w:rFonts w:ascii="Aptos" w:hAnsi="Aptos" w:eastAsia="STHeiti"/>
          <w:b w:val="0"/>
          <w:i w:val="0"/>
          <w:color w:val="17202A"/>
          <w:sz w:val="21"/>
        </w:rPr>
        <w:t>指标定义：按来源 seniority 映射职级，并在 USD 非异常子样本中比较年薪分布。图表观察：Executive 年薪中位数约 226,250 美元，整体高于其他职级；不同职级箱体仍有明显重叠。业务洞察：职级对薪资有区分作用，但不是唯一解释变量；岗位类别、地区限制、合同形式和企业需求也应纳入判断。</w:t>
      </w:r>
    </w:p>
    <w:p w14:paraId="1C14D219">
      <w:r>
        <w:br w:type="page"/>
      </w:r>
    </w:p>
    <w:p w14:paraId="661A56B0">
      <w:pPr>
        <w:pStyle w:val="3"/>
      </w:pPr>
      <w:r>
        <w:t>三 技能与岗位信息可视化</w:t>
      </w:r>
    </w:p>
    <w:p w14:paraId="2D06790F">
      <w:pPr>
        <w:spacing w:before="60" w:after="40"/>
        <w:jc w:val="center"/>
      </w:pPr>
      <w:r>
        <w:drawing>
          <wp:inline distT="0" distB="0" distL="114300" distR="114300">
            <wp:extent cx="5532120" cy="3691890"/>
            <wp:effectExtent l="0" t="0" r="5080" b="165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69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15862">
      <w:pPr>
        <w:spacing w:before="40" w:after="120"/>
        <w:jc w:val="center"/>
      </w:pPr>
      <w:r>
        <w:rPr>
          <w:rFonts w:ascii="Aptos" w:hAnsi="Aptos" w:eastAsia="STHeiti"/>
          <w:b w:val="0"/>
          <w:i/>
          <w:color w:val="52606D"/>
          <w:sz w:val="17"/>
        </w:rPr>
        <w:t>图 4 Top 技能标签频次。标签来自平台分类体系。</w:t>
      </w:r>
    </w:p>
    <w:p w14:paraId="50553213">
      <w:r>
        <w:rPr>
          <w:rFonts w:ascii="Aptos" w:hAnsi="Aptos" w:eastAsia="STHeiti"/>
          <w:b w:val="0"/>
          <w:i w:val="0"/>
          <w:color w:val="17202A"/>
          <w:sz w:val="21"/>
        </w:rPr>
        <w:t>指标定义：拆分并规范化 skills 字段后统计岗位标签出现次数。图表观察：sales 出现 728 次，是频次最高的标签；前列标签同时包含技术词、职能词和角色词。业务洞察：平台标签适合做岗位召回和聚类的初始特征，但不能直接全部当作候选人技能；人岗匹配中需要结合岗位描述，并通过别名表减少表达差异。</w:t>
      </w:r>
    </w:p>
    <w:p w14:paraId="70082952">
      <w:pPr>
        <w:spacing w:before="60" w:after="40"/>
        <w:jc w:val="center"/>
      </w:pPr>
      <w:r>
        <w:drawing>
          <wp:inline distT="0" distB="0" distL="114300" distR="114300">
            <wp:extent cx="5440680" cy="3458210"/>
            <wp:effectExtent l="0" t="0" r="20320" b="215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458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5BE30">
      <w:pPr>
        <w:spacing w:before="40" w:after="120"/>
        <w:jc w:val="center"/>
      </w:pPr>
      <w:r>
        <w:rPr>
          <w:rFonts w:ascii="Aptos" w:hAnsi="Aptos" w:eastAsia="STHeiti"/>
          <w:b w:val="0"/>
          <w:i/>
          <w:color w:val="52606D"/>
          <w:sz w:val="17"/>
        </w:rPr>
        <w:t>图 5 描述长度与岗位信息质量分。散点图用于观察关联，不表示因果。</w:t>
      </w:r>
    </w:p>
    <w:p w14:paraId="3A4D0853">
      <w:r>
        <w:rPr>
          <w:rFonts w:ascii="Aptos" w:hAnsi="Aptos" w:eastAsia="STHeiti"/>
          <w:b w:val="0"/>
          <w:i w:val="0"/>
          <w:color w:val="17202A"/>
          <w:sz w:val="21"/>
        </w:rPr>
        <w:t>指标定义：描述长度为清洗后字符数，质量分为由追溯字段、核心字段、地点限制、描述结构、薪资透明度、技能清晰度、职级、时效性和类别组成的 100 分规则分。图表观察：Spearman 相关系数为 0.67，描述更完整的岗位通常质量分更高。业务洞察：长度只贡献有限分值，过长文本不自动等于高质量；招聘方应优先补足薪资、职责结构和技能要求。该图也说明质量标签存在可学习结构，但不能据此解释真实企业质量。</w:t>
      </w:r>
    </w:p>
    <w:p w14:paraId="31864FB9">
      <w:pPr>
        <w:spacing w:before="60" w:after="40"/>
        <w:jc w:val="center"/>
      </w:pPr>
      <w:r>
        <w:drawing>
          <wp:inline distT="0" distB="0" distL="114300" distR="114300">
            <wp:extent cx="5532120" cy="2863850"/>
            <wp:effectExtent l="0" t="0" r="508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86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44591">
      <w:pPr>
        <w:spacing w:before="40" w:after="120"/>
        <w:jc w:val="center"/>
      </w:pPr>
      <w:r>
        <w:rPr>
          <w:rFonts w:ascii="Aptos" w:hAnsi="Aptos" w:eastAsia="STHeiti"/>
          <w:b w:val="0"/>
          <w:i/>
          <w:color w:val="52606D"/>
          <w:sz w:val="17"/>
        </w:rPr>
        <w:t>图 6 岗位发布日期趋势。时间范围为本次采集快照窗口。</w:t>
      </w:r>
    </w:p>
    <w:p w14:paraId="4D8AB1CF">
      <w:r>
        <w:rPr>
          <w:rFonts w:ascii="Aptos" w:hAnsi="Aptos" w:eastAsia="STHeiti"/>
          <w:b w:val="0"/>
          <w:i w:val="0"/>
          <w:color w:val="17202A"/>
          <w:sz w:val="21"/>
        </w:rPr>
        <w:t>指标定义：将 API 发布日期转换为日期后按天计数。图表观察：样本覆盖 2026-09-04 至 2026-09-08，2026-09-06 达到 3,699 条。业务洞察：日期可以帮助看岗位库的时间新鲜度，但本样本受 API 排序和截取窗口影响，不能解释为完整市场的新增岗位趋势；系统上线时应增加持续采集，才可做真正的时间序列分析。</w:t>
      </w:r>
    </w:p>
    <w:p w14:paraId="1EDA3C1E">
      <w:pPr>
        <w:spacing w:before="60" w:after="40"/>
        <w:jc w:val="center"/>
      </w:pPr>
      <w:r>
        <w:drawing>
          <wp:inline distT="0" distB="0" distL="114300" distR="114300">
            <wp:extent cx="5166360" cy="3636010"/>
            <wp:effectExtent l="0" t="0" r="15240" b="215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63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FAF9D">
      <w:pPr>
        <w:spacing w:before="40" w:after="120"/>
        <w:jc w:val="center"/>
      </w:pPr>
      <w:r>
        <w:rPr>
          <w:rFonts w:ascii="Aptos" w:hAnsi="Aptos" w:eastAsia="STHeiti"/>
          <w:b w:val="0"/>
          <w:i/>
          <w:color w:val="52606D"/>
          <w:sz w:val="17"/>
        </w:rPr>
        <w:t>图 7 岗位信息质量等级分布。High/Medium/Low 来自固定规则。</w:t>
      </w:r>
    </w:p>
    <w:p w14:paraId="07ED2C3F">
      <w:r>
        <w:rPr>
          <w:rFonts w:ascii="Aptos" w:hAnsi="Aptos" w:eastAsia="STHeiti"/>
          <w:b w:val="0"/>
          <w:i w:val="0"/>
          <w:color w:val="17202A"/>
          <w:sz w:val="21"/>
        </w:rPr>
        <w:t>指标定义：quality_score &gt;= 80 为 High，60 至 79 为 Medium，低于 60 为 Low。图表观察：High 6,071 条，占 50.6%；Medium 5,855 条，占 48.8%；Low 74 条，占 0.6%。业务洞察：一半左右岗位的信息披露达到规则高等级，仍有大量岗位处于中等水平；求职者应同时查看信息透明度和技能匹配，招聘方可据此完善薪资、职责和技能字段。High 不代表企业信誉、工作体验或录用概率。</w:t>
      </w:r>
    </w:p>
    <w:p w14:paraId="6507465B">
      <w:pPr>
        <w:pStyle w:val="3"/>
      </w:pPr>
      <w:r>
        <w:t>四 岗位质量评分模型</w:t>
      </w:r>
    </w:p>
    <w:p w14:paraId="597D3136">
      <w:r>
        <w:rPr>
          <w:rFonts w:ascii="Aptos" w:hAnsi="Aptos" w:eastAsia="STHeiti"/>
          <w:b w:val="0"/>
          <w:i w:val="0"/>
          <w:color w:val="17202A"/>
          <w:sz w:val="21"/>
        </w:rPr>
        <w:t>岗位质量定义为“招聘信息透明度与完整度”，不是企业好坏、真实工作体验或候选人录用概率。规则分满分 100，quality_score &gt;= 80 作为高信息质量标签。标签由可复现规则生成，模型任务是学习信息质量标签，属于课程代理标签。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1"/>
        <w:gridCol w:w="3331"/>
        <w:gridCol w:w="3331"/>
      </w:tblGrid>
      <w:tr w14:paraId="17AEF173">
        <w:trPr>
          <w:tblHeader/>
          <w:jc w:val="center"/>
        </w:trPr>
        <w:tc>
          <w:tcPr>
            <w:tcW w:w="2520" w:type="dxa"/>
            <w:tcBorders>
              <w:top w:val="single" w:color="D9E0E5" w:sz="6" w:space="0"/>
              <w:left w:val="single" w:color="D9E0E5" w:sz="6" w:space="0"/>
              <w:bottom w:val="single" w:color="D9E0E5" w:sz="6" w:space="0"/>
              <w:right w:val="single" w:color="D9E0E5" w:sz="6" w:space="0"/>
              <w:insideH w:val="single" w:sz="6" w:space="0"/>
              <w:insideV w:val="single" w:sz="6" w:space="0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609580">
            <w:pPr>
              <w:jc w:val="center"/>
            </w:pPr>
            <w:r>
              <w:rPr>
                <w:rFonts w:ascii="Aptos" w:hAnsi="Aptos" w:eastAsia="STHeiti"/>
                <w:b/>
                <w:i w:val="0"/>
                <w:color w:val="FFFFFF"/>
                <w:sz w:val="17"/>
              </w:rPr>
              <w:t>评分组件</w:t>
            </w:r>
          </w:p>
        </w:tc>
        <w:tc>
          <w:tcPr>
            <w:tcW w:w="1224" w:type="dxa"/>
            <w:tcBorders>
              <w:top w:val="single" w:color="D9E0E5" w:sz="6" w:space="0"/>
              <w:left w:val="single" w:color="D9E0E5" w:sz="6" w:space="0"/>
              <w:bottom w:val="single" w:color="D9E0E5" w:sz="6" w:space="0"/>
              <w:right w:val="single" w:color="D9E0E5" w:sz="6" w:space="0"/>
              <w:insideH w:val="single" w:sz="6" w:space="0"/>
              <w:insideV w:val="single" w:sz="6" w:space="0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BA5F41">
            <w:pPr>
              <w:jc w:val="center"/>
            </w:pPr>
            <w:r>
              <w:rPr>
                <w:rFonts w:ascii="Aptos" w:hAnsi="Aptos" w:eastAsia="STHeiti"/>
                <w:b/>
                <w:i w:val="0"/>
                <w:color w:val="FFFFFF"/>
                <w:sz w:val="17"/>
              </w:rPr>
              <w:t>分值</w:t>
            </w:r>
          </w:p>
        </w:tc>
        <w:tc>
          <w:tcPr>
            <w:tcW w:w="6048" w:type="dxa"/>
            <w:tcBorders>
              <w:top w:val="single" w:color="D9E0E5" w:sz="6" w:space="0"/>
              <w:left w:val="single" w:color="D9E0E5" w:sz="6" w:space="0"/>
              <w:bottom w:val="single" w:color="D9E0E5" w:sz="6" w:space="0"/>
              <w:right w:val="single" w:color="D9E0E5" w:sz="6" w:space="0"/>
              <w:insideH w:val="single" w:sz="6" w:space="0"/>
              <w:insideV w:val="single" w:sz="6" w:space="0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8208B3">
            <w:pPr>
              <w:jc w:val="center"/>
            </w:pPr>
            <w:r>
              <w:rPr>
                <w:rFonts w:ascii="Aptos" w:hAnsi="Aptos" w:eastAsia="STHeiti"/>
                <w:b/>
                <w:i w:val="0"/>
                <w:color w:val="FFFFFF"/>
                <w:sz w:val="17"/>
              </w:rPr>
              <w:t>业务含义</w:t>
            </w:r>
          </w:p>
        </w:tc>
      </w:tr>
      <w:tr w14:paraId="4165233B">
        <w:trPr>
          <w:jc w:val="center"/>
        </w:trPr>
        <w:tc>
          <w:tcPr>
            <w:tcW w:w="2520" w:type="dxa"/>
            <w:tcBorders>
              <w:top w:val="single" w:color="D9E0E5" w:sz="6" w:space="0"/>
              <w:left w:val="single" w:color="D9E0E5" w:sz="6" w:space="0"/>
              <w:bottom w:val="single" w:color="D9E0E5" w:sz="6" w:space="0"/>
              <w:right w:val="single" w:color="D9E0E5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6ACC0A">
            <w:pPr>
              <w:jc w:val="left"/>
            </w:pPr>
            <w:r>
              <w:rPr>
                <w:rFonts w:ascii="Aptos" w:hAnsi="Aptos" w:eastAsia="STHeiti"/>
                <w:b w:val="0"/>
                <w:i w:val="0"/>
                <w:color w:val="17202A"/>
                <w:sz w:val="17"/>
              </w:rPr>
              <w:t>追溯字段</w:t>
            </w:r>
          </w:p>
        </w:tc>
        <w:tc>
          <w:tcPr>
            <w:tcW w:w="1224" w:type="dxa"/>
            <w:tcBorders>
              <w:top w:val="single" w:color="D9E0E5" w:sz="6" w:space="0"/>
              <w:left w:val="single" w:color="D9E0E5" w:sz="6" w:space="0"/>
              <w:bottom w:val="single" w:color="D9E0E5" w:sz="6" w:space="0"/>
              <w:right w:val="single" w:color="D9E0E5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D893EC">
            <w:pPr>
              <w:jc w:val="center"/>
            </w:pPr>
            <w:r>
              <w:rPr>
                <w:rFonts w:ascii="Aptos" w:hAnsi="Aptos" w:eastAsia="STHeiti"/>
                <w:b w:val="0"/>
                <w:i w:val="0"/>
                <w:color w:val="17202A"/>
                <w:sz w:val="17"/>
              </w:rPr>
              <w:t>5</w:t>
            </w:r>
          </w:p>
        </w:tc>
        <w:tc>
          <w:tcPr>
            <w:tcW w:w="6048" w:type="dxa"/>
            <w:tcBorders>
              <w:top w:val="single" w:color="D9E0E5" w:sz="6" w:space="0"/>
              <w:left w:val="single" w:color="D9E0E5" w:sz="6" w:space="0"/>
              <w:bottom w:val="single" w:color="D9E0E5" w:sz="6" w:space="0"/>
              <w:right w:val="single" w:color="D9E0E5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2DB9CE">
            <w:pPr>
              <w:jc w:val="left"/>
            </w:pPr>
            <w:r>
              <w:rPr>
                <w:rFonts w:ascii="Aptos" w:hAnsi="Aptos" w:eastAsia="STHeiti"/>
                <w:b w:val="0"/>
                <w:i w:val="0"/>
                <w:color w:val="17202A"/>
                <w:sz w:val="17"/>
              </w:rPr>
              <w:t>source_url、crawl_time、data_origin 完整</w:t>
            </w:r>
          </w:p>
        </w:tc>
      </w:tr>
      <w:tr w14:paraId="093CB479">
        <w:trPr>
          <w:jc w:val="center"/>
        </w:trPr>
        <w:tc>
          <w:tcPr>
            <w:tcW w:w="2520" w:type="dxa"/>
            <w:tcBorders>
              <w:top w:val="single" w:color="D9E0E5" w:sz="6" w:space="0"/>
              <w:left w:val="single" w:color="D9E0E5" w:sz="6" w:space="0"/>
              <w:bottom w:val="single" w:color="D9E0E5" w:sz="6" w:space="0"/>
              <w:right w:val="single" w:color="D9E0E5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546A12">
            <w:pPr>
              <w:jc w:val="left"/>
            </w:pPr>
            <w:r>
              <w:rPr>
                <w:rFonts w:ascii="Aptos" w:hAnsi="Aptos" w:eastAsia="STHeiti"/>
                <w:b w:val="0"/>
                <w:i w:val="0"/>
                <w:color w:val="17202A"/>
                <w:sz w:val="17"/>
              </w:rPr>
              <w:t>核心字段</w:t>
            </w:r>
          </w:p>
        </w:tc>
        <w:tc>
          <w:tcPr>
            <w:tcW w:w="1224" w:type="dxa"/>
            <w:tcBorders>
              <w:top w:val="single" w:color="D9E0E5" w:sz="6" w:space="0"/>
              <w:left w:val="single" w:color="D9E0E5" w:sz="6" w:space="0"/>
              <w:bottom w:val="single" w:color="D9E0E5" w:sz="6" w:space="0"/>
              <w:right w:val="single" w:color="D9E0E5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771C1E">
            <w:pPr>
              <w:jc w:val="center"/>
            </w:pPr>
            <w:r>
              <w:rPr>
                <w:rFonts w:ascii="Aptos" w:hAnsi="Aptos" w:eastAsia="STHeiti"/>
                <w:b w:val="0"/>
                <w:i w:val="0"/>
                <w:color w:val="17202A"/>
                <w:sz w:val="17"/>
              </w:rPr>
              <w:t>10</w:t>
            </w:r>
          </w:p>
        </w:tc>
        <w:tc>
          <w:tcPr>
            <w:tcW w:w="6048" w:type="dxa"/>
            <w:tcBorders>
              <w:top w:val="single" w:color="D9E0E5" w:sz="6" w:space="0"/>
              <w:left w:val="single" w:color="D9E0E5" w:sz="6" w:space="0"/>
              <w:bottom w:val="single" w:color="D9E0E5" w:sz="6" w:space="0"/>
              <w:right w:val="single" w:color="D9E0E5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C6DEBB">
            <w:pPr>
              <w:jc w:val="center"/>
            </w:pPr>
            <w:r>
              <w:rPr>
                <w:rFonts w:ascii="Aptos" w:hAnsi="Aptos" w:eastAsia="STHeiti"/>
                <w:b w:val="0"/>
                <w:i w:val="0"/>
                <w:color w:val="17202A"/>
                <w:sz w:val="17"/>
              </w:rPr>
              <w:t>岗位名、公司、城市等核心信息</w:t>
            </w:r>
          </w:p>
        </w:tc>
      </w:tr>
      <w:tr w14:paraId="07753541">
        <w:trPr>
          <w:jc w:val="center"/>
        </w:trPr>
        <w:tc>
          <w:tcPr>
            <w:tcW w:w="2520" w:type="dxa"/>
            <w:tcBorders>
              <w:top w:val="single" w:color="D9E0E5" w:sz="6" w:space="0"/>
              <w:left w:val="single" w:color="D9E0E5" w:sz="6" w:space="0"/>
              <w:bottom w:val="single" w:color="D9E0E5" w:sz="6" w:space="0"/>
              <w:right w:val="single" w:color="D9E0E5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CBC710">
            <w:pPr>
              <w:jc w:val="left"/>
            </w:pPr>
            <w:r>
              <w:rPr>
                <w:rFonts w:ascii="Aptos" w:hAnsi="Aptos" w:eastAsia="STHeiti"/>
                <w:b w:val="0"/>
                <w:i w:val="0"/>
                <w:color w:val="17202A"/>
                <w:sz w:val="17"/>
              </w:rPr>
              <w:t>地点限制</w:t>
            </w:r>
          </w:p>
        </w:tc>
        <w:tc>
          <w:tcPr>
            <w:tcW w:w="1224" w:type="dxa"/>
            <w:tcBorders>
              <w:top w:val="single" w:color="D9E0E5" w:sz="6" w:space="0"/>
              <w:left w:val="single" w:color="D9E0E5" w:sz="6" w:space="0"/>
              <w:bottom w:val="single" w:color="D9E0E5" w:sz="6" w:space="0"/>
              <w:right w:val="single" w:color="D9E0E5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946579">
            <w:pPr>
              <w:jc w:val="center"/>
            </w:pPr>
            <w:r>
              <w:rPr>
                <w:rFonts w:ascii="Aptos" w:hAnsi="Aptos" w:eastAsia="STHeiti"/>
                <w:b w:val="0"/>
                <w:i w:val="0"/>
                <w:color w:val="17202A"/>
                <w:sz w:val="17"/>
              </w:rPr>
              <w:t>5</w:t>
            </w:r>
          </w:p>
        </w:tc>
        <w:tc>
          <w:tcPr>
            <w:tcW w:w="6048" w:type="dxa"/>
            <w:tcBorders>
              <w:top w:val="single" w:color="D9E0E5" w:sz="6" w:space="0"/>
              <w:left w:val="single" w:color="D9E0E5" w:sz="6" w:space="0"/>
              <w:bottom w:val="single" w:color="D9E0E5" w:sz="6" w:space="0"/>
              <w:right w:val="single" w:color="D9E0E5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35E855">
            <w:pPr>
              <w:jc w:val="center"/>
            </w:pPr>
            <w:r>
              <w:rPr>
                <w:rFonts w:ascii="Aptos" w:hAnsi="Aptos" w:eastAsia="STHeiti"/>
                <w:b w:val="0"/>
                <w:i w:val="0"/>
                <w:color w:val="17202A"/>
                <w:sz w:val="17"/>
              </w:rPr>
              <w:t>远程岗位可申请国家/地区信息</w:t>
            </w:r>
          </w:p>
        </w:tc>
      </w:tr>
      <w:tr w14:paraId="4D1580D3">
        <w:trPr>
          <w:jc w:val="center"/>
        </w:trPr>
        <w:tc>
          <w:tcPr>
            <w:tcW w:w="2520" w:type="dxa"/>
            <w:tcBorders>
              <w:top w:val="single" w:color="D9E0E5" w:sz="6" w:space="0"/>
              <w:left w:val="single" w:color="D9E0E5" w:sz="6" w:space="0"/>
              <w:bottom w:val="single" w:color="D9E0E5" w:sz="6" w:space="0"/>
              <w:right w:val="single" w:color="D9E0E5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44BA38">
            <w:pPr>
              <w:jc w:val="left"/>
            </w:pPr>
            <w:r>
              <w:rPr>
                <w:rFonts w:ascii="Aptos" w:hAnsi="Aptos" w:eastAsia="STHeiti"/>
                <w:b w:val="0"/>
                <w:i w:val="0"/>
                <w:color w:val="17202A"/>
                <w:sz w:val="17"/>
              </w:rPr>
              <w:t>描述完整性</w:t>
            </w:r>
          </w:p>
        </w:tc>
        <w:tc>
          <w:tcPr>
            <w:tcW w:w="1224" w:type="dxa"/>
            <w:tcBorders>
              <w:top w:val="single" w:color="D9E0E5" w:sz="6" w:space="0"/>
              <w:left w:val="single" w:color="D9E0E5" w:sz="6" w:space="0"/>
              <w:bottom w:val="single" w:color="D9E0E5" w:sz="6" w:space="0"/>
              <w:right w:val="single" w:color="D9E0E5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9BB1D5">
            <w:pPr>
              <w:jc w:val="center"/>
            </w:pPr>
            <w:r>
              <w:rPr>
                <w:rFonts w:ascii="Aptos" w:hAnsi="Aptos" w:eastAsia="STHeiti"/>
                <w:b w:val="0"/>
                <w:i w:val="0"/>
                <w:color w:val="17202A"/>
                <w:sz w:val="17"/>
              </w:rPr>
              <w:t>25</w:t>
            </w:r>
          </w:p>
        </w:tc>
        <w:tc>
          <w:tcPr>
            <w:tcW w:w="6048" w:type="dxa"/>
            <w:tcBorders>
              <w:top w:val="single" w:color="D9E0E5" w:sz="6" w:space="0"/>
              <w:left w:val="single" w:color="D9E0E5" w:sz="6" w:space="0"/>
              <w:bottom w:val="single" w:color="D9E0E5" w:sz="6" w:space="0"/>
              <w:right w:val="single" w:color="D9E0E5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B14E5D">
            <w:pPr>
              <w:jc w:val="center"/>
            </w:pPr>
            <w:r>
              <w:rPr>
                <w:rFonts w:ascii="Aptos" w:hAnsi="Aptos" w:eastAsia="STHeiti"/>
                <w:b w:val="0"/>
                <w:i w:val="0"/>
                <w:color w:val="17202A"/>
                <w:sz w:val="17"/>
              </w:rPr>
              <w:t>长度与职责、要求、福利等结构词</w:t>
            </w:r>
          </w:p>
        </w:tc>
      </w:tr>
      <w:tr w14:paraId="436DF949">
        <w:trPr>
          <w:jc w:val="center"/>
        </w:trPr>
        <w:tc>
          <w:tcPr>
            <w:tcW w:w="2520" w:type="dxa"/>
            <w:tcBorders>
              <w:top w:val="single" w:color="D9E0E5" w:sz="6" w:space="0"/>
              <w:left w:val="single" w:color="D9E0E5" w:sz="6" w:space="0"/>
              <w:bottom w:val="single" w:color="D9E0E5" w:sz="6" w:space="0"/>
              <w:right w:val="single" w:color="D9E0E5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FFADD7">
            <w:pPr>
              <w:jc w:val="left"/>
            </w:pPr>
            <w:r>
              <w:rPr>
                <w:rFonts w:ascii="Aptos" w:hAnsi="Aptos" w:eastAsia="STHeiti"/>
                <w:b w:val="0"/>
                <w:i w:val="0"/>
                <w:color w:val="17202A"/>
                <w:sz w:val="17"/>
              </w:rPr>
              <w:t>薪资透明度</w:t>
            </w:r>
          </w:p>
        </w:tc>
        <w:tc>
          <w:tcPr>
            <w:tcW w:w="1224" w:type="dxa"/>
            <w:tcBorders>
              <w:top w:val="single" w:color="D9E0E5" w:sz="6" w:space="0"/>
              <w:left w:val="single" w:color="D9E0E5" w:sz="6" w:space="0"/>
              <w:bottom w:val="single" w:color="D9E0E5" w:sz="6" w:space="0"/>
              <w:right w:val="single" w:color="D9E0E5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846990">
            <w:pPr>
              <w:jc w:val="center"/>
            </w:pPr>
            <w:r>
              <w:rPr>
                <w:rFonts w:ascii="Aptos" w:hAnsi="Aptos" w:eastAsia="STHeiti"/>
                <w:b w:val="0"/>
                <w:i w:val="0"/>
                <w:color w:val="17202A"/>
                <w:sz w:val="17"/>
              </w:rPr>
              <w:t>15</w:t>
            </w:r>
          </w:p>
        </w:tc>
        <w:tc>
          <w:tcPr>
            <w:tcW w:w="6048" w:type="dxa"/>
            <w:tcBorders>
              <w:top w:val="single" w:color="D9E0E5" w:sz="6" w:space="0"/>
              <w:left w:val="single" w:color="D9E0E5" w:sz="6" w:space="0"/>
              <w:bottom w:val="single" w:color="D9E0E5" w:sz="6" w:space="0"/>
              <w:right w:val="single" w:color="D9E0E5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CBFAC5">
            <w:pPr>
              <w:jc w:val="center"/>
            </w:pPr>
            <w:r>
              <w:rPr>
                <w:rFonts w:ascii="Aptos" w:hAnsi="Aptos" w:eastAsia="STHeiti"/>
                <w:b w:val="0"/>
                <w:i w:val="0"/>
                <w:color w:val="17202A"/>
                <w:sz w:val="17"/>
              </w:rPr>
              <w:t>薪资原文及可解析状态</w:t>
            </w:r>
          </w:p>
        </w:tc>
      </w:tr>
      <w:tr w14:paraId="4067B4DA">
        <w:trPr>
          <w:jc w:val="center"/>
        </w:trPr>
        <w:tc>
          <w:tcPr>
            <w:tcW w:w="2520" w:type="dxa"/>
            <w:tcBorders>
              <w:top w:val="single" w:color="D9E0E5" w:sz="6" w:space="0"/>
              <w:left w:val="single" w:color="D9E0E5" w:sz="6" w:space="0"/>
              <w:bottom w:val="single" w:color="D9E0E5" w:sz="6" w:space="0"/>
              <w:right w:val="single" w:color="D9E0E5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E83627">
            <w:pPr>
              <w:jc w:val="left"/>
            </w:pPr>
            <w:r>
              <w:rPr>
                <w:rFonts w:ascii="Aptos" w:hAnsi="Aptos" w:eastAsia="STHeiti"/>
                <w:b w:val="0"/>
                <w:i w:val="0"/>
                <w:color w:val="17202A"/>
                <w:sz w:val="17"/>
              </w:rPr>
              <w:t>技能清晰度</w:t>
            </w:r>
          </w:p>
        </w:tc>
        <w:tc>
          <w:tcPr>
            <w:tcW w:w="1224" w:type="dxa"/>
            <w:tcBorders>
              <w:top w:val="single" w:color="D9E0E5" w:sz="6" w:space="0"/>
              <w:left w:val="single" w:color="D9E0E5" w:sz="6" w:space="0"/>
              <w:bottom w:val="single" w:color="D9E0E5" w:sz="6" w:space="0"/>
              <w:right w:val="single" w:color="D9E0E5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84154B">
            <w:pPr>
              <w:jc w:val="center"/>
            </w:pPr>
            <w:r>
              <w:rPr>
                <w:rFonts w:ascii="Aptos" w:hAnsi="Aptos" w:eastAsia="STHeiti"/>
                <w:b w:val="0"/>
                <w:i w:val="0"/>
                <w:color w:val="17202A"/>
                <w:sz w:val="17"/>
              </w:rPr>
              <w:t>20</w:t>
            </w:r>
          </w:p>
        </w:tc>
        <w:tc>
          <w:tcPr>
            <w:tcW w:w="6048" w:type="dxa"/>
            <w:tcBorders>
              <w:top w:val="single" w:color="D9E0E5" w:sz="6" w:space="0"/>
              <w:left w:val="single" w:color="D9E0E5" w:sz="6" w:space="0"/>
              <w:bottom w:val="single" w:color="D9E0E5" w:sz="6" w:space="0"/>
              <w:right w:val="single" w:color="D9E0E5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79AC9D">
            <w:pPr>
              <w:jc w:val="center"/>
            </w:pPr>
            <w:r>
              <w:rPr>
                <w:rFonts w:ascii="Aptos" w:hAnsi="Aptos" w:eastAsia="STHeiti"/>
                <w:b w:val="0"/>
                <w:i w:val="0"/>
                <w:color w:val="17202A"/>
                <w:sz w:val="17"/>
              </w:rPr>
              <w:t>技能标签数量和规范化程度</w:t>
            </w:r>
          </w:p>
        </w:tc>
      </w:tr>
      <w:tr w14:paraId="7D26DE36">
        <w:trPr>
          <w:jc w:val="center"/>
        </w:trPr>
        <w:tc>
          <w:tcPr>
            <w:tcW w:w="2520" w:type="dxa"/>
            <w:tcBorders>
              <w:top w:val="single" w:color="D9E0E5" w:sz="6" w:space="0"/>
              <w:left w:val="single" w:color="D9E0E5" w:sz="6" w:space="0"/>
              <w:bottom w:val="single" w:color="D9E0E5" w:sz="6" w:space="0"/>
              <w:right w:val="single" w:color="D9E0E5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6D392A">
            <w:pPr>
              <w:jc w:val="left"/>
            </w:pPr>
            <w:r>
              <w:rPr>
                <w:rFonts w:ascii="Aptos" w:hAnsi="Aptos" w:eastAsia="STHeiti"/>
                <w:b w:val="0"/>
                <w:i w:val="0"/>
                <w:color w:val="17202A"/>
                <w:sz w:val="17"/>
              </w:rPr>
              <w:t>职级、时效、类别</w:t>
            </w:r>
          </w:p>
        </w:tc>
        <w:tc>
          <w:tcPr>
            <w:tcW w:w="1224" w:type="dxa"/>
            <w:tcBorders>
              <w:top w:val="single" w:color="D9E0E5" w:sz="6" w:space="0"/>
              <w:left w:val="single" w:color="D9E0E5" w:sz="6" w:space="0"/>
              <w:bottom w:val="single" w:color="D9E0E5" w:sz="6" w:space="0"/>
              <w:right w:val="single" w:color="D9E0E5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30EE7F">
            <w:pPr>
              <w:jc w:val="center"/>
            </w:pPr>
            <w:r>
              <w:rPr>
                <w:rFonts w:ascii="Aptos" w:hAnsi="Aptos" w:eastAsia="STHeiti"/>
                <w:b w:val="0"/>
                <w:i w:val="0"/>
                <w:color w:val="17202A"/>
                <w:sz w:val="17"/>
              </w:rPr>
              <w:t>10、5、5</w:t>
            </w:r>
          </w:p>
        </w:tc>
        <w:tc>
          <w:tcPr>
            <w:tcW w:w="6048" w:type="dxa"/>
            <w:tcBorders>
              <w:top w:val="single" w:color="D9E0E5" w:sz="6" w:space="0"/>
              <w:left w:val="single" w:color="D9E0E5" w:sz="6" w:space="0"/>
              <w:bottom w:val="single" w:color="D9E0E5" w:sz="6" w:space="0"/>
              <w:right w:val="single" w:color="D9E0E5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7D1836">
            <w:pPr>
              <w:jc w:val="center"/>
            </w:pPr>
            <w:r>
              <w:rPr>
                <w:rFonts w:ascii="Aptos" w:hAnsi="Aptos" w:eastAsia="STHeiti"/>
                <w:b w:val="0"/>
                <w:i w:val="0"/>
                <w:color w:val="17202A"/>
                <w:sz w:val="17"/>
              </w:rPr>
              <w:t>岗位层级、新鲜度和岗位归类</w:t>
            </w:r>
          </w:p>
        </w:tc>
      </w:tr>
    </w:tbl>
    <w:p w14:paraId="2F50A597">
      <w:pPr>
        <w:spacing w:after="20"/>
      </w:pPr>
    </w:p>
    <w:p w14:paraId="15F3ECE7">
      <w:r>
        <w:rPr>
          <w:rFonts w:ascii="Aptos" w:hAnsi="Aptos" w:eastAsia="STHeiti"/>
          <w:b w:val="0"/>
          <w:i w:val="0"/>
          <w:color w:val="17202A"/>
          <w:sz w:val="21"/>
        </w:rPr>
        <w:t>建模输入包含岗位文本 TF-IDF、描述长度与结构、技能数量、地点限制、发布时间、经验代理和宽类岗位；为避免确定性泄漏，排除 quality_score、规则分项、薪资披露标记、币种、周期和标签本身。固定随机种子 42，按标签分层划分训练集 9,600 条、测试集 2,400 条。</w:t>
      </w:r>
    </w:p>
    <w:p w14:paraId="6B84EEC3">
      <w:r>
        <w:br w:type="page"/>
      </w:r>
    </w:p>
    <w:p w14:paraId="070BDD9B">
      <w:pPr>
        <w:pStyle w:val="3"/>
      </w:pPr>
      <w:r>
        <w:t>五 四模型训练与评估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6"/>
        <w:gridCol w:w="1666"/>
        <w:gridCol w:w="1666"/>
        <w:gridCol w:w="1666"/>
        <w:gridCol w:w="1666"/>
        <w:gridCol w:w="1666"/>
      </w:tblGrid>
      <w:tr w14:paraId="257B9AF7">
        <w:trPr>
          <w:tblHeader/>
          <w:jc w:val="center"/>
        </w:trPr>
        <w:tc>
          <w:tcPr>
            <w:tcW w:w="2664" w:type="dxa"/>
            <w:tcBorders>
              <w:top w:val="single" w:color="D9E0E5" w:sz="6" w:space="0"/>
              <w:left w:val="single" w:color="D9E0E5" w:sz="6" w:space="0"/>
              <w:bottom w:val="single" w:color="D9E0E5" w:sz="6" w:space="0"/>
              <w:right w:val="single" w:color="D9E0E5" w:sz="6" w:space="0"/>
              <w:insideH w:val="single" w:sz="6" w:space="0"/>
              <w:insideV w:val="single" w:sz="6" w:space="0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81F95B">
            <w:pPr>
              <w:jc w:val="center"/>
            </w:pPr>
            <w:r>
              <w:rPr>
                <w:rFonts w:ascii="Aptos" w:hAnsi="Aptos" w:eastAsia="STHeiti"/>
                <w:b/>
                <w:i w:val="0"/>
                <w:color w:val="FFFFFF"/>
                <w:sz w:val="17"/>
              </w:rPr>
              <w:t>模型</w:t>
            </w:r>
          </w:p>
        </w:tc>
        <w:tc>
          <w:tcPr>
            <w:tcW w:w="1440" w:type="dxa"/>
            <w:tcBorders>
              <w:top w:val="single" w:color="D9E0E5" w:sz="6" w:space="0"/>
              <w:left w:val="single" w:color="D9E0E5" w:sz="6" w:space="0"/>
              <w:bottom w:val="single" w:color="D9E0E5" w:sz="6" w:space="0"/>
              <w:right w:val="single" w:color="D9E0E5" w:sz="6" w:space="0"/>
              <w:insideH w:val="single" w:sz="6" w:space="0"/>
              <w:insideV w:val="single" w:sz="6" w:space="0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8F06CF">
            <w:pPr>
              <w:jc w:val="center"/>
            </w:pPr>
            <w:r>
              <w:rPr>
                <w:rFonts w:ascii="Aptos" w:hAnsi="Aptos" w:eastAsia="STHeiti"/>
                <w:b/>
                <w:i w:val="0"/>
                <w:color w:val="FFFFFF"/>
                <w:sz w:val="17"/>
              </w:rPr>
              <w:t>Accuracy</w:t>
            </w:r>
          </w:p>
        </w:tc>
        <w:tc>
          <w:tcPr>
            <w:tcW w:w="1440" w:type="dxa"/>
            <w:tcBorders>
              <w:top w:val="single" w:color="D9E0E5" w:sz="6" w:space="0"/>
              <w:left w:val="single" w:color="D9E0E5" w:sz="6" w:space="0"/>
              <w:bottom w:val="single" w:color="D9E0E5" w:sz="6" w:space="0"/>
              <w:right w:val="single" w:color="D9E0E5" w:sz="6" w:space="0"/>
              <w:insideH w:val="single" w:sz="6" w:space="0"/>
              <w:insideV w:val="single" w:sz="6" w:space="0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62E5A4">
            <w:pPr>
              <w:jc w:val="center"/>
            </w:pPr>
            <w:r>
              <w:rPr>
                <w:rFonts w:ascii="Aptos" w:hAnsi="Aptos" w:eastAsia="STHeiti"/>
                <w:b/>
                <w:i w:val="0"/>
                <w:color w:val="FFFFFF"/>
                <w:sz w:val="17"/>
              </w:rPr>
              <w:t>Precision</w:t>
            </w:r>
          </w:p>
        </w:tc>
        <w:tc>
          <w:tcPr>
            <w:tcW w:w="1296" w:type="dxa"/>
            <w:tcBorders>
              <w:top w:val="single" w:color="D9E0E5" w:sz="6" w:space="0"/>
              <w:left w:val="single" w:color="D9E0E5" w:sz="6" w:space="0"/>
              <w:bottom w:val="single" w:color="D9E0E5" w:sz="6" w:space="0"/>
              <w:right w:val="single" w:color="D9E0E5" w:sz="6" w:space="0"/>
              <w:insideH w:val="single" w:sz="6" w:space="0"/>
              <w:insideV w:val="single" w:sz="6" w:space="0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B564E1">
            <w:pPr>
              <w:jc w:val="center"/>
            </w:pPr>
            <w:r>
              <w:rPr>
                <w:rFonts w:ascii="Aptos" w:hAnsi="Aptos" w:eastAsia="STHeiti"/>
                <w:b/>
                <w:i w:val="0"/>
                <w:color w:val="FFFFFF"/>
                <w:sz w:val="17"/>
              </w:rPr>
              <w:t>Recall</w:t>
            </w:r>
          </w:p>
        </w:tc>
        <w:tc>
          <w:tcPr>
            <w:tcW w:w="1152" w:type="dxa"/>
            <w:tcBorders>
              <w:top w:val="single" w:color="D9E0E5" w:sz="6" w:space="0"/>
              <w:left w:val="single" w:color="D9E0E5" w:sz="6" w:space="0"/>
              <w:bottom w:val="single" w:color="D9E0E5" w:sz="6" w:space="0"/>
              <w:right w:val="single" w:color="D9E0E5" w:sz="6" w:space="0"/>
              <w:insideH w:val="single" w:sz="6" w:space="0"/>
              <w:insideV w:val="single" w:sz="6" w:space="0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1443A5">
            <w:pPr>
              <w:jc w:val="center"/>
            </w:pPr>
            <w:r>
              <w:rPr>
                <w:rFonts w:ascii="Aptos" w:hAnsi="Aptos" w:eastAsia="STHeiti"/>
                <w:b/>
                <w:i w:val="0"/>
                <w:color w:val="FFFFFF"/>
                <w:sz w:val="17"/>
              </w:rPr>
              <w:t>F1</w:t>
            </w:r>
          </w:p>
        </w:tc>
        <w:tc>
          <w:tcPr>
            <w:tcW w:w="1440" w:type="dxa"/>
            <w:tcBorders>
              <w:top w:val="single" w:color="D9E0E5" w:sz="6" w:space="0"/>
              <w:left w:val="single" w:color="D9E0E5" w:sz="6" w:space="0"/>
              <w:bottom w:val="single" w:color="D9E0E5" w:sz="6" w:space="0"/>
              <w:right w:val="single" w:color="D9E0E5" w:sz="6" w:space="0"/>
              <w:insideH w:val="single" w:sz="6" w:space="0"/>
              <w:insideV w:val="single" w:sz="6" w:space="0"/>
            </w:tcBorders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3CD73A">
            <w:pPr>
              <w:jc w:val="center"/>
            </w:pPr>
            <w:r>
              <w:rPr>
                <w:rFonts w:ascii="Aptos" w:hAnsi="Aptos" w:eastAsia="STHeiti"/>
                <w:b/>
                <w:i w:val="0"/>
                <w:color w:val="FFFFFF"/>
                <w:sz w:val="17"/>
              </w:rPr>
              <w:t>ROC-AUC</w:t>
            </w:r>
          </w:p>
        </w:tc>
      </w:tr>
      <w:tr w14:paraId="220AD82D">
        <w:trPr>
          <w:jc w:val="center"/>
        </w:trPr>
        <w:tc>
          <w:tcPr>
            <w:tcW w:w="2664" w:type="dxa"/>
            <w:tcBorders>
              <w:top w:val="single" w:color="D9E0E5" w:sz="6" w:space="0"/>
              <w:left w:val="single" w:color="D9E0E5" w:sz="6" w:space="0"/>
              <w:bottom w:val="single" w:color="D9E0E5" w:sz="6" w:space="0"/>
              <w:right w:val="single" w:color="D9E0E5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D2136A">
            <w:pPr>
              <w:jc w:val="left"/>
            </w:pPr>
            <w:r>
              <w:rPr>
                <w:rFonts w:ascii="Aptos" w:hAnsi="Aptos" w:eastAsia="STHeiti"/>
                <w:b w:val="0"/>
                <w:i w:val="0"/>
                <w:color w:val="17202A"/>
                <w:sz w:val="17"/>
              </w:rPr>
              <w:t>Logistic Regression</w:t>
            </w:r>
          </w:p>
        </w:tc>
        <w:tc>
          <w:tcPr>
            <w:tcW w:w="1440" w:type="dxa"/>
            <w:tcBorders>
              <w:top w:val="single" w:color="D9E0E5" w:sz="6" w:space="0"/>
              <w:left w:val="single" w:color="D9E0E5" w:sz="6" w:space="0"/>
              <w:bottom w:val="single" w:color="D9E0E5" w:sz="6" w:space="0"/>
              <w:right w:val="single" w:color="D9E0E5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BFEF76">
            <w:pPr>
              <w:jc w:val="center"/>
            </w:pPr>
            <w:r>
              <w:rPr>
                <w:rFonts w:ascii="Aptos" w:hAnsi="Aptos" w:eastAsia="STHeiti"/>
                <w:b w:val="0"/>
                <w:i w:val="0"/>
                <w:color w:val="17202A"/>
                <w:sz w:val="17"/>
              </w:rPr>
              <w:t>0.8775</w:t>
            </w:r>
          </w:p>
        </w:tc>
        <w:tc>
          <w:tcPr>
            <w:tcW w:w="1440" w:type="dxa"/>
            <w:tcBorders>
              <w:top w:val="single" w:color="D9E0E5" w:sz="6" w:space="0"/>
              <w:left w:val="single" w:color="D9E0E5" w:sz="6" w:space="0"/>
              <w:bottom w:val="single" w:color="D9E0E5" w:sz="6" w:space="0"/>
              <w:right w:val="single" w:color="D9E0E5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9CC967">
            <w:pPr>
              <w:jc w:val="center"/>
            </w:pPr>
            <w:r>
              <w:rPr>
                <w:rFonts w:ascii="Aptos" w:hAnsi="Aptos" w:eastAsia="STHeiti"/>
                <w:b w:val="0"/>
                <w:i w:val="0"/>
                <w:color w:val="17202A"/>
                <w:sz w:val="17"/>
              </w:rPr>
              <w:t>0.8885</w:t>
            </w:r>
          </w:p>
        </w:tc>
        <w:tc>
          <w:tcPr>
            <w:tcW w:w="1296" w:type="dxa"/>
            <w:tcBorders>
              <w:top w:val="single" w:color="D9E0E5" w:sz="6" w:space="0"/>
              <w:left w:val="single" w:color="D9E0E5" w:sz="6" w:space="0"/>
              <w:bottom w:val="single" w:color="D9E0E5" w:sz="6" w:space="0"/>
              <w:right w:val="single" w:color="D9E0E5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FA66BA">
            <w:pPr>
              <w:jc w:val="center"/>
            </w:pPr>
            <w:r>
              <w:rPr>
                <w:rFonts w:ascii="Aptos" w:hAnsi="Aptos" w:eastAsia="STHeiti"/>
                <w:b w:val="0"/>
                <w:i w:val="0"/>
                <w:color w:val="17202A"/>
                <w:sz w:val="17"/>
              </w:rPr>
              <w:t>0.8666</w:t>
            </w:r>
          </w:p>
        </w:tc>
        <w:tc>
          <w:tcPr>
            <w:tcW w:w="1152" w:type="dxa"/>
            <w:tcBorders>
              <w:top w:val="single" w:color="D9E0E5" w:sz="6" w:space="0"/>
              <w:left w:val="single" w:color="D9E0E5" w:sz="6" w:space="0"/>
              <w:bottom w:val="single" w:color="D9E0E5" w:sz="6" w:space="0"/>
              <w:right w:val="single" w:color="D9E0E5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BEF20D">
            <w:pPr>
              <w:jc w:val="center"/>
            </w:pPr>
            <w:r>
              <w:rPr>
                <w:rFonts w:ascii="Aptos" w:hAnsi="Aptos" w:eastAsia="STHeiti"/>
                <w:b w:val="0"/>
                <w:i w:val="0"/>
                <w:color w:val="17202A"/>
                <w:sz w:val="17"/>
              </w:rPr>
              <w:t>0.8774</w:t>
            </w:r>
          </w:p>
        </w:tc>
        <w:tc>
          <w:tcPr>
            <w:tcW w:w="1440" w:type="dxa"/>
            <w:tcBorders>
              <w:top w:val="single" w:color="D9E0E5" w:sz="6" w:space="0"/>
              <w:left w:val="single" w:color="D9E0E5" w:sz="6" w:space="0"/>
              <w:bottom w:val="single" w:color="D9E0E5" w:sz="6" w:space="0"/>
              <w:right w:val="single" w:color="D9E0E5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5CAD6D">
            <w:pPr>
              <w:jc w:val="center"/>
            </w:pPr>
            <w:r>
              <w:rPr>
                <w:rFonts w:ascii="Aptos" w:hAnsi="Aptos" w:eastAsia="STHeiti"/>
                <w:b w:val="0"/>
                <w:i w:val="0"/>
                <w:color w:val="17202A"/>
                <w:sz w:val="17"/>
              </w:rPr>
              <w:t>0.9417</w:t>
            </w:r>
          </w:p>
        </w:tc>
      </w:tr>
      <w:tr w14:paraId="183E5DE4">
        <w:trPr>
          <w:jc w:val="center"/>
        </w:trPr>
        <w:tc>
          <w:tcPr>
            <w:tcW w:w="2664" w:type="dxa"/>
            <w:tcBorders>
              <w:top w:val="single" w:color="D9E0E5" w:sz="6" w:space="0"/>
              <w:left w:val="single" w:color="D9E0E5" w:sz="6" w:space="0"/>
              <w:bottom w:val="single" w:color="D9E0E5" w:sz="6" w:space="0"/>
              <w:right w:val="single" w:color="D9E0E5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4442A3">
            <w:pPr>
              <w:jc w:val="left"/>
            </w:pPr>
            <w:r>
              <w:rPr>
                <w:rFonts w:ascii="Aptos" w:hAnsi="Aptos" w:eastAsia="STHeiti"/>
                <w:b w:val="0"/>
                <w:i w:val="0"/>
                <w:color w:val="17202A"/>
                <w:sz w:val="17"/>
              </w:rPr>
              <w:t>SVM (LinearSVC)</w:t>
            </w:r>
          </w:p>
        </w:tc>
        <w:tc>
          <w:tcPr>
            <w:tcW w:w="1440" w:type="dxa"/>
            <w:tcBorders>
              <w:top w:val="single" w:color="D9E0E5" w:sz="6" w:space="0"/>
              <w:left w:val="single" w:color="D9E0E5" w:sz="6" w:space="0"/>
              <w:bottom w:val="single" w:color="D9E0E5" w:sz="6" w:space="0"/>
              <w:right w:val="single" w:color="D9E0E5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FCEC59">
            <w:pPr>
              <w:jc w:val="center"/>
            </w:pPr>
            <w:r>
              <w:rPr>
                <w:rFonts w:ascii="Aptos" w:hAnsi="Aptos" w:eastAsia="STHeiti"/>
                <w:b w:val="0"/>
                <w:i w:val="0"/>
                <w:color w:val="17202A"/>
                <w:sz w:val="17"/>
              </w:rPr>
              <w:t>0.8729</w:t>
            </w:r>
          </w:p>
        </w:tc>
        <w:tc>
          <w:tcPr>
            <w:tcW w:w="1440" w:type="dxa"/>
            <w:tcBorders>
              <w:top w:val="single" w:color="D9E0E5" w:sz="6" w:space="0"/>
              <w:left w:val="single" w:color="D9E0E5" w:sz="6" w:space="0"/>
              <w:bottom w:val="single" w:color="D9E0E5" w:sz="6" w:space="0"/>
              <w:right w:val="single" w:color="D9E0E5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0293F6">
            <w:pPr>
              <w:jc w:val="center"/>
            </w:pPr>
            <w:r>
              <w:rPr>
                <w:rFonts w:ascii="Aptos" w:hAnsi="Aptos" w:eastAsia="STHeiti"/>
                <w:b w:val="0"/>
                <w:i w:val="0"/>
                <w:color w:val="17202A"/>
                <w:sz w:val="17"/>
              </w:rPr>
              <w:t>0.8816</w:t>
            </w:r>
          </w:p>
        </w:tc>
        <w:tc>
          <w:tcPr>
            <w:tcW w:w="1296" w:type="dxa"/>
            <w:tcBorders>
              <w:top w:val="single" w:color="D9E0E5" w:sz="6" w:space="0"/>
              <w:left w:val="single" w:color="D9E0E5" w:sz="6" w:space="0"/>
              <w:bottom w:val="single" w:color="D9E0E5" w:sz="6" w:space="0"/>
              <w:right w:val="single" w:color="D9E0E5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64BE00">
            <w:pPr>
              <w:jc w:val="center"/>
            </w:pPr>
            <w:r>
              <w:rPr>
                <w:rFonts w:ascii="Aptos" w:hAnsi="Aptos" w:eastAsia="STHeiti"/>
                <w:b w:val="0"/>
                <w:i w:val="0"/>
                <w:color w:val="17202A"/>
                <w:sz w:val="17"/>
              </w:rPr>
              <w:t>0.8649</w:t>
            </w:r>
          </w:p>
        </w:tc>
        <w:tc>
          <w:tcPr>
            <w:tcW w:w="1152" w:type="dxa"/>
            <w:tcBorders>
              <w:top w:val="single" w:color="D9E0E5" w:sz="6" w:space="0"/>
              <w:left w:val="single" w:color="D9E0E5" w:sz="6" w:space="0"/>
              <w:bottom w:val="single" w:color="D9E0E5" w:sz="6" w:space="0"/>
              <w:right w:val="single" w:color="D9E0E5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974376">
            <w:pPr>
              <w:jc w:val="center"/>
            </w:pPr>
            <w:r>
              <w:rPr>
                <w:rFonts w:ascii="Aptos" w:hAnsi="Aptos" w:eastAsia="STHeiti"/>
                <w:b w:val="0"/>
                <w:i w:val="0"/>
                <w:color w:val="17202A"/>
                <w:sz w:val="17"/>
              </w:rPr>
              <w:t>0.8732</w:t>
            </w:r>
          </w:p>
        </w:tc>
        <w:tc>
          <w:tcPr>
            <w:tcW w:w="1440" w:type="dxa"/>
            <w:tcBorders>
              <w:top w:val="single" w:color="D9E0E5" w:sz="6" w:space="0"/>
              <w:left w:val="single" w:color="D9E0E5" w:sz="6" w:space="0"/>
              <w:bottom w:val="single" w:color="D9E0E5" w:sz="6" w:space="0"/>
              <w:right w:val="single" w:color="D9E0E5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413E44">
            <w:pPr>
              <w:jc w:val="center"/>
            </w:pPr>
            <w:r>
              <w:rPr>
                <w:rFonts w:ascii="Aptos" w:hAnsi="Aptos" w:eastAsia="STHeiti"/>
                <w:b w:val="0"/>
                <w:i w:val="0"/>
                <w:color w:val="17202A"/>
                <w:sz w:val="17"/>
              </w:rPr>
              <w:t>0.9381</w:t>
            </w:r>
          </w:p>
        </w:tc>
      </w:tr>
      <w:tr w14:paraId="04E14FFB">
        <w:trPr>
          <w:jc w:val="center"/>
        </w:trPr>
        <w:tc>
          <w:tcPr>
            <w:tcW w:w="2664" w:type="dxa"/>
            <w:tcBorders>
              <w:top w:val="single" w:color="D9E0E5" w:sz="6" w:space="0"/>
              <w:left w:val="single" w:color="D9E0E5" w:sz="6" w:space="0"/>
              <w:bottom w:val="single" w:color="D9E0E5" w:sz="6" w:space="0"/>
              <w:right w:val="single" w:color="D9E0E5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5A1758">
            <w:pPr>
              <w:jc w:val="left"/>
            </w:pPr>
            <w:r>
              <w:rPr>
                <w:rFonts w:ascii="Aptos" w:hAnsi="Aptos" w:eastAsia="STHeiti"/>
                <w:b w:val="0"/>
                <w:i w:val="0"/>
                <w:color w:val="17202A"/>
                <w:sz w:val="17"/>
              </w:rPr>
              <w:t>Random Forest</w:t>
            </w:r>
          </w:p>
        </w:tc>
        <w:tc>
          <w:tcPr>
            <w:tcW w:w="1440" w:type="dxa"/>
            <w:tcBorders>
              <w:top w:val="single" w:color="D9E0E5" w:sz="6" w:space="0"/>
              <w:left w:val="single" w:color="D9E0E5" w:sz="6" w:space="0"/>
              <w:bottom w:val="single" w:color="D9E0E5" w:sz="6" w:space="0"/>
              <w:right w:val="single" w:color="D9E0E5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EEAE60">
            <w:pPr>
              <w:jc w:val="center"/>
            </w:pPr>
            <w:r>
              <w:rPr>
                <w:rFonts w:ascii="Aptos" w:hAnsi="Aptos" w:eastAsia="STHeiti"/>
                <w:b w:val="0"/>
                <w:i w:val="0"/>
                <w:color w:val="17202A"/>
                <w:sz w:val="17"/>
              </w:rPr>
              <w:t>0.8738</w:t>
            </w:r>
          </w:p>
        </w:tc>
        <w:tc>
          <w:tcPr>
            <w:tcW w:w="1440" w:type="dxa"/>
            <w:tcBorders>
              <w:top w:val="single" w:color="D9E0E5" w:sz="6" w:space="0"/>
              <w:left w:val="single" w:color="D9E0E5" w:sz="6" w:space="0"/>
              <w:bottom w:val="single" w:color="D9E0E5" w:sz="6" w:space="0"/>
              <w:right w:val="single" w:color="D9E0E5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038E78">
            <w:pPr>
              <w:jc w:val="center"/>
            </w:pPr>
            <w:r>
              <w:rPr>
                <w:rFonts w:ascii="Aptos" w:hAnsi="Aptos" w:eastAsia="STHeiti"/>
                <w:b w:val="0"/>
                <w:i w:val="0"/>
                <w:color w:val="17202A"/>
                <w:sz w:val="17"/>
              </w:rPr>
              <w:t>0.8930</w:t>
            </w:r>
          </w:p>
        </w:tc>
        <w:tc>
          <w:tcPr>
            <w:tcW w:w="1296" w:type="dxa"/>
            <w:tcBorders>
              <w:top w:val="single" w:color="D9E0E5" w:sz="6" w:space="0"/>
              <w:left w:val="single" w:color="D9E0E5" w:sz="6" w:space="0"/>
              <w:bottom w:val="single" w:color="D9E0E5" w:sz="6" w:space="0"/>
              <w:right w:val="single" w:color="D9E0E5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96C9D6">
            <w:pPr>
              <w:jc w:val="center"/>
            </w:pPr>
            <w:r>
              <w:rPr>
                <w:rFonts w:ascii="Aptos" w:hAnsi="Aptos" w:eastAsia="STHeiti"/>
                <w:b w:val="0"/>
                <w:i w:val="0"/>
                <w:color w:val="17202A"/>
                <w:sz w:val="17"/>
              </w:rPr>
              <w:t>0.8526</w:t>
            </w:r>
          </w:p>
        </w:tc>
        <w:tc>
          <w:tcPr>
            <w:tcW w:w="1152" w:type="dxa"/>
            <w:tcBorders>
              <w:top w:val="single" w:color="D9E0E5" w:sz="6" w:space="0"/>
              <w:left w:val="single" w:color="D9E0E5" w:sz="6" w:space="0"/>
              <w:bottom w:val="single" w:color="D9E0E5" w:sz="6" w:space="0"/>
              <w:right w:val="single" w:color="D9E0E5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CE9FF8">
            <w:pPr>
              <w:jc w:val="center"/>
            </w:pPr>
            <w:r>
              <w:rPr>
                <w:rFonts w:ascii="Aptos" w:hAnsi="Aptos" w:eastAsia="STHeiti"/>
                <w:b w:val="0"/>
                <w:i w:val="0"/>
                <w:color w:val="17202A"/>
                <w:sz w:val="17"/>
              </w:rPr>
              <w:t>0.8723</w:t>
            </w:r>
          </w:p>
        </w:tc>
        <w:tc>
          <w:tcPr>
            <w:tcW w:w="1440" w:type="dxa"/>
            <w:tcBorders>
              <w:top w:val="single" w:color="D9E0E5" w:sz="6" w:space="0"/>
              <w:left w:val="single" w:color="D9E0E5" w:sz="6" w:space="0"/>
              <w:bottom w:val="single" w:color="D9E0E5" w:sz="6" w:space="0"/>
              <w:right w:val="single" w:color="D9E0E5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0FDA89">
            <w:pPr>
              <w:jc w:val="center"/>
            </w:pPr>
            <w:r>
              <w:rPr>
                <w:rFonts w:ascii="Aptos" w:hAnsi="Aptos" w:eastAsia="STHeiti"/>
                <w:b w:val="0"/>
                <w:i w:val="0"/>
                <w:color w:val="17202A"/>
                <w:sz w:val="17"/>
              </w:rPr>
              <w:t>0.9444</w:t>
            </w:r>
          </w:p>
        </w:tc>
      </w:tr>
      <w:tr w14:paraId="0EB8D48C">
        <w:trPr>
          <w:jc w:val="center"/>
        </w:trPr>
        <w:tc>
          <w:tcPr>
            <w:tcW w:w="2664" w:type="dxa"/>
            <w:tcBorders>
              <w:top w:val="single" w:color="D9E0E5" w:sz="6" w:space="0"/>
              <w:left w:val="single" w:color="D9E0E5" w:sz="6" w:space="0"/>
              <w:bottom w:val="single" w:color="D9E0E5" w:sz="6" w:space="0"/>
              <w:right w:val="single" w:color="D9E0E5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DF2785">
            <w:pPr>
              <w:jc w:val="left"/>
            </w:pPr>
            <w:r>
              <w:rPr>
                <w:rFonts w:ascii="Aptos" w:hAnsi="Aptos" w:eastAsia="STHeiti"/>
                <w:b w:val="0"/>
                <w:i w:val="0"/>
                <w:color w:val="17202A"/>
                <w:sz w:val="17"/>
              </w:rPr>
              <w:t>XGBoost</w:t>
            </w:r>
          </w:p>
        </w:tc>
        <w:tc>
          <w:tcPr>
            <w:tcW w:w="1440" w:type="dxa"/>
            <w:tcBorders>
              <w:top w:val="single" w:color="D9E0E5" w:sz="6" w:space="0"/>
              <w:left w:val="single" w:color="D9E0E5" w:sz="6" w:space="0"/>
              <w:bottom w:val="single" w:color="D9E0E5" w:sz="6" w:space="0"/>
              <w:right w:val="single" w:color="D9E0E5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3A5216">
            <w:pPr>
              <w:jc w:val="center"/>
            </w:pPr>
            <w:r>
              <w:rPr>
                <w:rFonts w:ascii="Aptos" w:hAnsi="Aptos" w:eastAsia="STHeiti"/>
                <w:b w:val="0"/>
                <w:i w:val="0"/>
                <w:color w:val="17202A"/>
                <w:sz w:val="17"/>
              </w:rPr>
              <w:t>0.9142</w:t>
            </w:r>
          </w:p>
        </w:tc>
        <w:tc>
          <w:tcPr>
            <w:tcW w:w="1440" w:type="dxa"/>
            <w:tcBorders>
              <w:top w:val="single" w:color="D9E0E5" w:sz="6" w:space="0"/>
              <w:left w:val="single" w:color="D9E0E5" w:sz="6" w:space="0"/>
              <w:bottom w:val="single" w:color="D9E0E5" w:sz="6" w:space="0"/>
              <w:right w:val="single" w:color="D9E0E5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5B5A61">
            <w:pPr>
              <w:jc w:val="center"/>
            </w:pPr>
            <w:r>
              <w:rPr>
                <w:rFonts w:ascii="Aptos" w:hAnsi="Aptos" w:eastAsia="STHeiti"/>
                <w:b w:val="0"/>
                <w:i w:val="0"/>
                <w:color w:val="17202A"/>
                <w:sz w:val="17"/>
              </w:rPr>
              <w:t>0.9271</w:t>
            </w:r>
          </w:p>
        </w:tc>
        <w:tc>
          <w:tcPr>
            <w:tcW w:w="1296" w:type="dxa"/>
            <w:tcBorders>
              <w:top w:val="single" w:color="D9E0E5" w:sz="6" w:space="0"/>
              <w:left w:val="single" w:color="D9E0E5" w:sz="6" w:space="0"/>
              <w:bottom w:val="single" w:color="D9E0E5" w:sz="6" w:space="0"/>
              <w:right w:val="single" w:color="D9E0E5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A7EA56">
            <w:pPr>
              <w:jc w:val="center"/>
            </w:pPr>
            <w:r>
              <w:rPr>
                <w:rFonts w:ascii="Aptos" w:hAnsi="Aptos" w:eastAsia="STHeiti"/>
                <w:b w:val="0"/>
                <w:i w:val="0"/>
                <w:color w:val="17202A"/>
                <w:sz w:val="17"/>
              </w:rPr>
              <w:t>0.9012</w:t>
            </w:r>
          </w:p>
        </w:tc>
        <w:tc>
          <w:tcPr>
            <w:tcW w:w="1152" w:type="dxa"/>
            <w:tcBorders>
              <w:top w:val="single" w:color="D9E0E5" w:sz="6" w:space="0"/>
              <w:left w:val="single" w:color="D9E0E5" w:sz="6" w:space="0"/>
              <w:bottom w:val="single" w:color="D9E0E5" w:sz="6" w:space="0"/>
              <w:right w:val="single" w:color="D9E0E5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A129F0">
            <w:pPr>
              <w:jc w:val="center"/>
            </w:pPr>
            <w:r>
              <w:rPr>
                <w:rFonts w:ascii="Aptos" w:hAnsi="Aptos" w:eastAsia="STHeiti"/>
                <w:b w:val="0"/>
                <w:i w:val="0"/>
                <w:color w:val="17202A"/>
                <w:sz w:val="17"/>
              </w:rPr>
              <w:t>0.9140</w:t>
            </w:r>
          </w:p>
        </w:tc>
        <w:tc>
          <w:tcPr>
            <w:tcW w:w="1440" w:type="dxa"/>
            <w:tcBorders>
              <w:top w:val="single" w:color="D9E0E5" w:sz="6" w:space="0"/>
              <w:left w:val="single" w:color="D9E0E5" w:sz="6" w:space="0"/>
              <w:bottom w:val="single" w:color="D9E0E5" w:sz="6" w:space="0"/>
              <w:right w:val="single" w:color="D9E0E5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453955">
            <w:pPr>
              <w:jc w:val="center"/>
            </w:pPr>
            <w:r>
              <w:rPr>
                <w:rFonts w:ascii="Aptos" w:hAnsi="Aptos" w:eastAsia="STHeiti"/>
                <w:b w:val="0"/>
                <w:i w:val="0"/>
                <w:color w:val="17202A"/>
                <w:sz w:val="17"/>
              </w:rPr>
              <w:t>0.9662</w:t>
            </w:r>
          </w:p>
        </w:tc>
      </w:tr>
    </w:tbl>
    <w:p w14:paraId="2DE524D1">
      <w:pPr>
        <w:spacing w:after="20"/>
      </w:pPr>
    </w:p>
    <w:p w14:paraId="007E4756">
      <w:r>
        <w:rPr>
          <w:rFonts w:ascii="Aptos" w:hAnsi="Aptos" w:eastAsia="STHeiti"/>
          <w:b w:val="0"/>
          <w:i w:val="0"/>
          <w:color w:val="17202A"/>
          <w:sz w:val="21"/>
        </w:rPr>
        <w:t>评估结果：XGBoost 的 F1=0.9140、ROC-AUC=0.9662，在当前代理标签任务上综合表现最好；Logistic Regression 的 F1=0.8774，SVM 为 0.8732，Random Forest 为 0.8723。四种模型使用同一训练/测试切分和同一特征预处理，结果具有可比性。</w:t>
      </w:r>
    </w:p>
    <w:p w14:paraId="47DF5EAD">
      <w:pPr>
        <w:spacing w:before="60" w:after="40"/>
        <w:jc w:val="center"/>
      </w:pPr>
      <w:r>
        <w:drawing>
          <wp:inline distT="0" distB="0" distL="114300" distR="114300">
            <wp:extent cx="5257800" cy="3331210"/>
            <wp:effectExtent l="0" t="0" r="0" b="215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31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5051E">
      <w:pPr>
        <w:spacing w:before="40" w:after="120"/>
        <w:jc w:val="center"/>
      </w:pPr>
      <w:r>
        <w:rPr>
          <w:rFonts w:ascii="Aptos" w:hAnsi="Aptos" w:eastAsia="STHeiti"/>
          <w:b w:val="0"/>
          <w:i/>
          <w:color w:val="52606D"/>
          <w:sz w:val="17"/>
        </w:rPr>
        <w:t>图 8 四种模型指标对比。</w:t>
      </w:r>
    </w:p>
    <w:p w14:paraId="06E6085E">
      <w:pPr>
        <w:spacing w:before="60" w:after="40"/>
        <w:jc w:val="center"/>
      </w:pPr>
      <w:r>
        <w:drawing>
          <wp:inline distT="0" distB="0" distL="114300" distR="114300">
            <wp:extent cx="4160520" cy="3539490"/>
            <wp:effectExtent l="0" t="0" r="5080" b="165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3539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B8939">
      <w:pPr>
        <w:spacing w:before="40" w:after="120"/>
        <w:jc w:val="center"/>
      </w:pPr>
      <w:r>
        <w:rPr>
          <w:rFonts w:ascii="Aptos" w:hAnsi="Aptos" w:eastAsia="STHeiti"/>
          <w:b w:val="0"/>
          <w:i/>
          <w:color w:val="52606D"/>
          <w:sz w:val="17"/>
        </w:rPr>
        <w:t>图 9 测试集 ROC 曲线。</w:t>
      </w:r>
    </w:p>
    <w:p w14:paraId="574F2084">
      <w:r>
        <w:rPr>
          <w:rFonts w:ascii="Aptos" w:hAnsi="Aptos" w:eastAsia="STHeiti"/>
          <w:b w:val="0"/>
          <w:i w:val="0"/>
          <w:color w:val="17202A"/>
          <w:sz w:val="21"/>
        </w:rPr>
        <w:t>模型可解释性：线性模型可查看 TF-IDF 系数，树模型可查看特征重要性；当前报告配套输出混淆矩阵、ROC 曲线、模型对比图、特征重要性 CSV 和 PNG。解释时应强调：高指标主要说明模型能够复现规则标签，不能证明模型预测真实录用结果。</w:t>
      </w:r>
    </w:p>
    <w:p w14:paraId="63209EC0">
      <w:pPr>
        <w:pStyle w:val="3"/>
      </w:pPr>
      <w:r>
        <w:t>六 结论与局限</w:t>
      </w:r>
    </w:p>
    <w:p w14:paraId="345F65B1">
      <w:pPr>
        <w:pStyle w:val="16"/>
        <w:spacing w:after="60"/>
      </w:pPr>
      <w:r>
        <w:rPr>
          <w:rFonts w:ascii="Aptos" w:hAnsi="Aptos" w:eastAsia="STHeiti"/>
          <w:b w:val="0"/>
          <w:i w:val="0"/>
          <w:color w:val="17202A"/>
          <w:sz w:val="20"/>
        </w:rPr>
        <w:t>样本岗位结构偏向 Engineering 与 Data Science，后续人岗匹配和聚类应分层评估。</w:t>
      </w:r>
    </w:p>
    <w:p w14:paraId="4E07AAA2">
      <w:pPr>
        <w:pStyle w:val="16"/>
        <w:spacing w:after="60"/>
      </w:pPr>
      <w:r>
        <w:rPr>
          <w:rFonts w:ascii="Aptos" w:hAnsi="Aptos" w:eastAsia="STHeiti"/>
          <w:b w:val="0"/>
          <w:i w:val="0"/>
          <w:color w:val="17202A"/>
          <w:sz w:val="20"/>
        </w:rPr>
        <w:t>USD 薪资中位数仅适用于可比较薪资子样本，跨币种和未披露薪资不做直接推断。</w:t>
      </w:r>
    </w:p>
    <w:p w14:paraId="4EB73694">
      <w:pPr>
        <w:pStyle w:val="16"/>
        <w:spacing w:after="60"/>
      </w:pPr>
      <w:r>
        <w:rPr>
          <w:rFonts w:ascii="Aptos" w:hAnsi="Aptos" w:eastAsia="STHeiti"/>
          <w:b w:val="0"/>
          <w:i w:val="0"/>
          <w:color w:val="17202A"/>
          <w:sz w:val="20"/>
        </w:rPr>
        <w:t>描述长度与质量分有中等相关，但岗位质量还依赖薪资、技能、结构化职责和时效性。</w:t>
      </w:r>
    </w:p>
    <w:p w14:paraId="3167BA84">
      <w:pPr>
        <w:pStyle w:val="16"/>
        <w:spacing w:after="60"/>
      </w:pPr>
      <w:r>
        <w:rPr>
          <w:rFonts w:ascii="Aptos" w:hAnsi="Aptos" w:eastAsia="STHeiti"/>
          <w:b w:val="0"/>
          <w:i w:val="0"/>
          <w:color w:val="17202A"/>
          <w:sz w:val="20"/>
        </w:rPr>
        <w:t>质量标签是信息透明度代理标签，未经过人工双人标注，也没有投递、面试或录用反馈。</w:t>
      </w:r>
    </w:p>
    <w:p w14:paraId="68D88BCA">
      <w:pPr>
        <w:pStyle w:val="16"/>
        <w:spacing w:after="60"/>
      </w:pPr>
      <w:r>
        <w:rPr>
          <w:rFonts w:ascii="Aptos" w:hAnsi="Aptos" w:eastAsia="STHeiti"/>
          <w:b w:val="0"/>
          <w:i w:val="0"/>
          <w:color w:val="17202A"/>
          <w:sz w:val="20"/>
        </w:rPr>
        <w:t>发布日期是一次 API 时间窗口快照，不能代替持续采集后的市场趋势。</w:t>
      </w:r>
      <w:bookmarkStart w:id="0" w:name="_GoBack"/>
      <w:bookmarkEnd w:id="0"/>
    </w:p>
    <w:p w14:paraId="5A384653">
      <w:r>
        <w:rPr>
          <w:rFonts w:ascii="Aptos" w:hAnsi="Aptos" w:eastAsia="STHeiti"/>
          <w:b w:val="0"/>
          <w:i w:val="0"/>
          <w:color w:val="17202A"/>
          <w:sz w:val="21"/>
        </w:rPr>
        <w:t>交付范围总结：本报告包含数据范围、清洗规范、7 张有业务含义的可视化图、逐图洞察、质量标签设计、训练/测试划分、Logistic、SVM、Random Forest、XGBoost 训练与评估，以及模型可解释性和局限性，满足课程《可视化分析报告》的要求。</w:t>
      </w:r>
    </w:p>
    <w:sectPr>
      <w:headerReference r:id="rId5" w:type="default"/>
      <w:footerReference r:id="rId6" w:type="default"/>
      <w:pgSz w:w="12240" w:h="15840"/>
      <w:pgMar w:top="1008" w:right="1123" w:bottom="1008" w:left="1123" w:header="461" w:footer="50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THeiti">
    <w:panose1 w:val="02010600040101010101"/>
    <w:charset w:val="86"/>
    <w:family w:val="auto"/>
    <w:pitch w:val="default"/>
    <w:sig w:usb0="00000287" w:usb1="080F0000" w:usb2="00000000" w:usb3="00000000" w:csb0="00040001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ptos Display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2546EF">
    <w:pPr>
      <w:pStyle w:val="24"/>
      <w:jc w:val="center"/>
    </w:pPr>
    <w:r>
      <w:rPr>
        <w:rFonts w:ascii="Aptos" w:hAnsi="Aptos" w:eastAsia="STHeiti"/>
        <w:b w:val="0"/>
        <w:i w:val="0"/>
        <w:color w:val="52606D"/>
        <w:sz w:val="16"/>
      </w:rPr>
      <w:t>行业大数据实践  |  课程项目交付材料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F58896">
    <w:pPr>
      <w:pStyle w:val="25"/>
      <w:jc w:val="right"/>
    </w:pPr>
    <w:r>
      <w:rPr>
        <w:rFonts w:ascii="Aptos" w:hAnsi="Aptos" w:eastAsia="STHeiti"/>
        <w:b w:val="0"/>
        <w:i w:val="0"/>
        <w:color w:val="52606D"/>
        <w:sz w:val="17"/>
      </w:rPr>
      <w:t>可视化分析与评分模型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DBAF2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Aptos" w:hAnsi="Aptos" w:eastAsia="STHeiti" w:cstheme="minorBidi"/>
      <w:color w:val="17202A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100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/>
      <w:outlineLvl w:val="1"/>
    </w:pPr>
    <w:rPr>
      <w:rFonts w:asciiTheme="majorHAnsi" w:hAnsiTheme="majorHAnsi" w:eastAsiaTheme="majorEastAsia" w:cstheme="majorBidi"/>
      <w:b/>
      <w:bCs/>
      <w:color w:val="000000"/>
      <w:sz w:val="23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52606D"/>
      <w:sz w:val="21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0" w:after="1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rir1</cp:lastModifiedBy>
  <dcterms:modified xsi:type="dcterms:W3CDTF">2026-09-09T00:22:21Z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ICV">
    <vt:lpwstr>E03352D6A316F0513D36A06AAF6777B9_42</vt:lpwstr>
  </property>
</Properties>
</file>