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 w:eastAsia="STHeiti"/>
        </w:rPr>
        <w:t>多模型对比分析报告</w:t>
      </w:r>
    </w:p>
    <w:p>
      <w:pPr>
        <w:jc w:val="center"/>
      </w:pPr>
      <w:r>
        <w:rPr>
          <w:rFonts w:ascii="Arial" w:hAnsi="Arial" w:eastAsia="STHeiti"/>
          <w:b/>
        </w:rPr>
        <w:t>基于全球远程招聘岗位大数据的岗位质量评分与人岗匹配研究</w:t>
        <w:br/>
      </w:r>
      <w:r>
        <w:rPr>
          <w:rFonts w:ascii="Arial" w:hAnsi="Arial" w:eastAsia="STHeiti"/>
        </w:rPr>
        <w:t>Week 2 / M2 · 2026-09-17</w:t>
      </w:r>
    </w:p>
    <w:p>
      <w:pPr>
        <w:pStyle w:val="Heading1"/>
      </w:pPr>
      <w:r>
        <w:rPr>
          <w:rFonts w:ascii="Arial" w:hAnsi="Arial" w:eastAsia="STHeiti"/>
        </w:rPr>
        <w:t>一、报告范围与统一数据底座</w:t>
      </w:r>
    </w:p>
    <w:p>
      <w:r>
        <w:rPr>
          <w:rFonts w:ascii="Arial" w:hAnsi="Arial" w:eastAsia="STHeiti"/>
        </w:rPr>
        <w:t>本报告围绕岗位质量评分、人岗匹配、岗位聚类、RAG 检索和 Agent 工具编排进行横向对比与调优说明。数据底座为 data/processed/jobs_cleaned.parquet 的 12,000 条全球远程岗位；每条结果均保留 job_id、source_url、crawl_time 和 data_origin。city 字段保持为 Remote。</w:t>
      </w:r>
    </w:p>
    <w:p>
      <w:r>
        <w:rPr>
          <w:rFonts w:ascii="Arial" w:hAnsi="Arial" w:eastAsia="STHeiti"/>
        </w:rPr>
        <w:t>语义边界：岗位质量分衡量岗位信息透明度与完整度；match_score 是岗位库内的排序参考分；二者均不是企业信誉或录用概率。聚类用于发现岗位群组，不产生分类准确率。RAG 负责可追溯召回；Agent 负责本地工具编排，不把工具结果改写为录用判断。</w:t>
      </w:r>
    </w:p>
    <w:p>
      <w:pPr>
        <w:pStyle w:val="Heading1"/>
      </w:pPr>
      <w:r>
        <w:rPr>
          <w:rFonts w:ascii="Arial" w:hAnsi="Arial" w:eastAsia="STHeiti"/>
        </w:rPr>
        <w:t>二、横向对比与评价口径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1F4E5F"/>
          </w:tcPr>
          <w:p>
            <w:pPr>
              <w:spacing w:after="40"/>
            </w:pPr>
            <w:r>
              <w:rPr>
                <w:rFonts w:ascii="Arial" w:hAnsi="Arial" w:eastAsia="STHeiti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248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1F4E5F"/>
          </w:tcPr>
          <w:p>
            <w:pPr>
              <w:spacing w:after="40"/>
            </w:pPr>
            <w:r>
              <w:rPr>
                <w:rFonts w:ascii="Arial" w:hAnsi="Arial" w:eastAsia="STHeiti"/>
                <w:b/>
                <w:color w:val="FFFFFF"/>
                <w:sz w:val="18"/>
              </w:rPr>
              <w:t>业务目标与输入</w:t>
            </w:r>
          </w:p>
        </w:tc>
        <w:tc>
          <w:tcPr>
            <w:tcW w:type="dxa" w:w="248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1F4E5F"/>
          </w:tcPr>
          <w:p>
            <w:pPr>
              <w:spacing w:after="40"/>
            </w:pPr>
            <w:r>
              <w:rPr>
                <w:rFonts w:ascii="Arial" w:hAnsi="Arial" w:eastAsia="STHeiti"/>
                <w:b/>
                <w:color w:val="FFFFFF"/>
                <w:sz w:val="18"/>
              </w:rPr>
              <w:t>算法与输出</w:t>
            </w:r>
          </w:p>
        </w:tc>
        <w:tc>
          <w:tcPr>
            <w:tcW w:type="dxa" w:w="248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1F4E5F"/>
          </w:tcPr>
          <w:p>
            <w:pPr>
              <w:spacing w:after="40"/>
            </w:pPr>
            <w:r>
              <w:rPr>
                <w:rFonts w:ascii="Arial" w:hAnsi="Arial" w:eastAsia="STHeiti"/>
                <w:b/>
                <w:color w:val="FFFFFF"/>
                <w:sz w:val="18"/>
              </w:rPr>
              <w:t>评价、解释与局限</w:t>
            </w:r>
          </w:p>
        </w:tc>
      </w:tr>
      <w:tr>
        <w:tc>
          <w:tcPr>
            <w:tcW w:type="dxa" w:w="248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>
              <w:rPr>
                <w:rFonts w:ascii="Arial" w:hAnsi="Arial" w:eastAsia="STHeiti"/>
                <w:sz w:val="18"/>
              </w:rPr>
              <w:t>岗位质量评分</w:t>
            </w:r>
          </w:p>
        </w:tc>
        <w:tc>
          <w:tcPr>
            <w:tcW w:type="dxa" w:w="248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>
              <w:rPr>
                <w:rFonts w:ascii="Arial" w:hAnsi="Arial" w:eastAsia="STHeiti"/>
                <w:sz w:val="18"/>
              </w:rPr>
              <w:t>用岗位字段完整度规则形成代理标签，比较四种分类器。</w:t>
            </w:r>
          </w:p>
        </w:tc>
        <w:tc>
          <w:tcPr>
            <w:tcW w:type="dxa" w:w="248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>
              <w:rPr>
                <w:rFonts w:ascii="Arial" w:hAnsi="Arial" w:eastAsia="STHeiti"/>
                <w:sz w:val="18"/>
              </w:rPr>
              <w:t>数值/类别特征 + TF-IDF；Logistic Regression、Linear SVM、Random Forest、XGBoost。</w:t>
            </w:r>
          </w:p>
        </w:tc>
        <w:tc>
          <w:tcPr>
            <w:tcW w:type="dxa" w:w="248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>
              <w:rPr>
                <w:rFonts w:ascii="Arial" w:hAnsi="Arial" w:eastAsia="STHeiti"/>
                <w:sz w:val="18"/>
              </w:rPr>
              <w:t>Accuracy、Precision、Recall、F1、ROC-AUC；可用特征重要性与规则追溯解释。</w:t>
            </w:r>
          </w:p>
        </w:tc>
      </w:tr>
      <w:tr>
        <w:tc>
          <w:tcPr>
            <w:tcW w:type="dxa" w:w="248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3F6F7"/>
          </w:tcPr>
          <w:p>
            <w:pPr>
              <w:spacing w:after="40"/>
            </w:pPr>
            <w:r>
              <w:rPr>
                <w:rFonts w:ascii="Arial" w:hAnsi="Arial" w:eastAsia="STHeiti"/>
                <w:sz w:val="18"/>
              </w:rPr>
              <w:t>人岗匹配</w:t>
            </w:r>
          </w:p>
        </w:tc>
        <w:tc>
          <w:tcPr>
            <w:tcW w:type="dxa" w:w="248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3F6F7"/>
          </w:tcPr>
          <w:p>
            <w:pPr>
              <w:spacing w:after="40"/>
            </w:pPr>
            <w:r>
              <w:rPr>
                <w:rFonts w:ascii="Arial" w:hAnsi="Arial" w:eastAsia="STHeiti"/>
                <w:sz w:val="18"/>
              </w:rPr>
              <w:t>把简历文本转为候选特征，对岗位进行 Top-k 排序。</w:t>
            </w:r>
          </w:p>
        </w:tc>
        <w:tc>
          <w:tcPr>
            <w:tcW w:type="dxa" w:w="248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3F6F7"/>
          </w:tcPr>
          <w:p>
            <w:pPr>
              <w:spacing w:after="40"/>
            </w:pPr>
            <w:r>
              <w:rPr>
                <w:rFonts w:ascii="Arial" w:hAnsi="Arial" w:eastAsia="STHeiti"/>
                <w:sz w:val="18"/>
              </w:rPr>
              <w:t>TF-IDF + 余弦相似度；技能、类别、经验、地点按 55/20/15/10 加权。</w:t>
            </w:r>
          </w:p>
        </w:tc>
        <w:tc>
          <w:tcPr>
            <w:tcW w:type="dxa" w:w="248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3F6F7"/>
          </w:tcPr>
          <w:p>
            <w:pPr>
              <w:spacing w:after="40"/>
            </w:pPr>
            <w:r>
              <w:rPr>
                <w:rFonts w:ascii="Arial" w:hAnsi="Arial" w:eastAsia="STHeiti"/>
                <w:sz w:val="18"/>
              </w:rPr>
              <w:t>输出 match_score、分项、命中/缺失技能和 source_url；无人工招聘结果标签，不虚构准确率。</w:t>
            </w:r>
          </w:p>
        </w:tc>
      </w:tr>
      <w:tr>
        <w:tc>
          <w:tcPr>
            <w:tcW w:type="dxa" w:w="248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>
              <w:rPr>
                <w:rFonts w:ascii="Arial" w:hAnsi="Arial" w:eastAsia="STHeiti"/>
                <w:sz w:val="18"/>
              </w:rPr>
              <w:t>岗位聚类</w:t>
            </w:r>
          </w:p>
        </w:tc>
        <w:tc>
          <w:tcPr>
            <w:tcW w:type="dxa" w:w="248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>
              <w:rPr>
                <w:rFonts w:ascii="Arial" w:hAnsi="Arial" w:eastAsia="STHeiti"/>
                <w:sz w:val="18"/>
              </w:rPr>
              <w:t>从标题、技能、类别、描述中发现可解释岗位群组。</w:t>
            </w:r>
          </w:p>
        </w:tc>
        <w:tc>
          <w:tcPr>
            <w:tcW w:type="dxa" w:w="248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>
              <w:rPr>
                <w:rFonts w:ascii="Arial" w:hAnsi="Arial" w:eastAsia="STHeiti"/>
                <w:sz w:val="18"/>
              </w:rPr>
              <w:t>加权 TF-IDF -&gt; TruncatedSVD(50) -&gt; K-Means；在原始 TF-IDF 中提取中心词。</w:t>
            </w:r>
          </w:p>
        </w:tc>
        <w:tc>
          <w:tcPr>
            <w:tcW w:type="dxa" w:w="248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>
              <w:rPr>
                <w:rFonts w:ascii="Arial" w:hAnsi="Arial" w:eastAsia="STHeiti"/>
                <w:sz w:val="18"/>
              </w:rPr>
              <w:t>Inertia、轮廓系数、PCA 二维分布、样本数量与业务命名；无监督任务不报告 F1。</w:t>
            </w:r>
          </w:p>
        </w:tc>
      </w:tr>
      <w:tr>
        <w:tc>
          <w:tcPr>
            <w:tcW w:type="dxa" w:w="248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3F6F7"/>
          </w:tcPr>
          <w:p>
            <w:pPr>
              <w:spacing w:after="40"/>
            </w:pPr>
            <w:r>
              <w:rPr>
                <w:rFonts w:ascii="Arial" w:hAnsi="Arial" w:eastAsia="STHeiti"/>
                <w:sz w:val="18"/>
              </w:rPr>
              <w:t>RAG 检索</w:t>
            </w:r>
          </w:p>
        </w:tc>
        <w:tc>
          <w:tcPr>
            <w:tcW w:type="dxa" w:w="248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3F6F7"/>
          </w:tcPr>
          <w:p>
            <w:pPr>
              <w:spacing w:after="40"/>
            </w:pPr>
            <w:r>
              <w:rPr>
                <w:rFonts w:ascii="Arial" w:hAnsi="Arial" w:eastAsia="STHeiti"/>
                <w:sz w:val="18"/>
              </w:rPr>
              <w:t>对自然语言问题召回可追溯岗位。</w:t>
            </w:r>
          </w:p>
        </w:tc>
        <w:tc>
          <w:tcPr>
            <w:tcW w:type="dxa" w:w="248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3F6F7"/>
          </w:tcPr>
          <w:p>
            <w:pPr>
              <w:spacing w:after="40"/>
            </w:pPr>
            <w:r>
              <w:rPr>
                <w:rFonts w:ascii="Arial" w:hAnsi="Arial" w:eastAsia="STHeiti"/>
                <w:sz w:val="18"/>
              </w:rPr>
              <w:t>正式方案：FAISS IndexFlatIP + BAAI/bge-small-zh-v1.5；TF-IDF 仅作历史基线。</w:t>
            </w:r>
          </w:p>
        </w:tc>
        <w:tc>
          <w:tcPr>
            <w:tcW w:type="dxa" w:w="248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3F6F7"/>
          </w:tcPr>
          <w:p>
            <w:pPr>
              <w:spacing w:after="40"/>
            </w:pPr>
            <w:r>
              <w:rPr>
                <w:rFonts w:ascii="Arial" w:hAnsi="Arial" w:eastAsia="STHeiti"/>
                <w:sz w:val="18"/>
              </w:rPr>
              <w:t>12 题；Query Hit@3=50.00%；来源覆盖 100.00%；金标准为结构化规则。</w:t>
            </w:r>
          </w:p>
        </w:tc>
      </w:tr>
      <w:tr>
        <w:tc>
          <w:tcPr>
            <w:tcW w:type="dxa" w:w="248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>
              <w:rPr>
                <w:rFonts w:ascii="Arial" w:hAnsi="Arial" w:eastAsia="STHeiti"/>
                <w:sz w:val="18"/>
              </w:rPr>
              <w:t>Agent 工作流</w:t>
            </w:r>
          </w:p>
        </w:tc>
        <w:tc>
          <w:tcPr>
            <w:tcW w:type="dxa" w:w="248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>
              <w:rPr>
                <w:rFonts w:ascii="Arial" w:hAnsi="Arial" w:eastAsia="STHeiti"/>
                <w:sz w:val="18"/>
              </w:rPr>
              <w:t>把检索、评分、匹配、聚类组合成可交互工具链。</w:t>
            </w:r>
          </w:p>
        </w:tc>
        <w:tc>
          <w:tcPr>
            <w:tcW w:type="dxa" w:w="248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>
              <w:rPr>
                <w:rFonts w:ascii="Arial" w:hAnsi="Arial" w:eastAsia="STHeiti"/>
                <w:sz w:val="18"/>
              </w:rPr>
              <w:t>OpenAI-compatible Function Calling；工具本地执行；无凭据时回退规则路由。</w:t>
            </w:r>
          </w:p>
        </w:tc>
        <w:tc>
          <w:tcPr>
            <w:tcW w:type="dxa" w:w="248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>
              <w:rPr>
                <w:rFonts w:ascii="Arial" w:hAnsi="Arial" w:eastAsia="STHeiti"/>
                <w:sz w:val="18"/>
              </w:rPr>
              <w:t>真实演示 model_call=True；fallback model_call=False；不虚构未发生的模型调用。</w:t>
            </w:r>
          </w:p>
        </w:tc>
      </w:tr>
    </w:tbl>
    <w:p/>
    <w:p>
      <w:r>
        <w:rPr>
          <w:rFonts w:ascii="Arial" w:hAnsi="Arial" w:eastAsia="STHeiti"/>
        </w:rPr>
        <w:t>结论：五个模块服务的业务问题不同，不能把分类 F1、匹配排序分、聚类轮廓系数和 RAG Hit@k 混为同一指标。评分看监督学习指标；匹配看解释与来源；聚类看可分性与业务可读性；RAG 看可复现召回；Agent 看真实工具编排与 fallback 边界。</w:t>
      </w:r>
    </w:p>
    <w:p>
      <w:r>
        <w:rPr>
          <w:rFonts w:ascii="Arial" w:hAnsi="Arial" w:eastAsia="STHeiti"/>
        </w:rPr>
        <w:br w:type="page"/>
      </w:r>
    </w:p>
    <w:p>
      <w:pPr>
        <w:pStyle w:val="Heading1"/>
      </w:pPr>
      <w:r>
        <w:rPr>
          <w:rFonts w:ascii="Arial" w:hAnsi="Arial" w:eastAsia="STHeiti"/>
        </w:rPr>
        <w:t>三、岗位质量评分：四模型对比与调优结果</w:t>
      </w:r>
    </w:p>
    <w:p>
      <w:r>
        <w:rPr>
          <w:rFonts w:ascii="Arial" w:hAnsi="Arial" w:eastAsia="STHeiti"/>
        </w:rPr>
        <w:t>标签来自岗位信息完整度规则，模型学习的是代理标签而非雇主质量。所有结果均来自当前测试集；XGBoost 在现有四个模型中表现最佳，F1=0.9140，ROC-AUC=0.9662。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1F4E5F"/>
          </w:tcPr>
          <w:p>
            <w:pPr>
              <w:spacing w:after="40"/>
            </w:pPr>
            <w:r>
              <w:rPr>
                <w:rFonts w:ascii="Arial" w:hAnsi="Arial" w:eastAsia="STHeiti"/>
                <w:b/>
                <w:color w:val="FFFFFF"/>
                <w:sz w:val="18"/>
              </w:rPr>
              <w:t>分类模型</w:t>
            </w:r>
          </w:p>
        </w:tc>
        <w:tc>
          <w:tcPr>
            <w:tcW w:type="dxa" w:w="165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1F4E5F"/>
          </w:tcPr>
          <w:p>
            <w:pPr>
              <w:spacing w:after="40"/>
            </w:pPr>
            <w:r>
              <w:rPr>
                <w:rFonts w:ascii="Arial" w:hAnsi="Arial" w:eastAsia="STHeiti"/>
                <w:b/>
                <w:color w:val="FFFFFF"/>
                <w:sz w:val="18"/>
              </w:rPr>
              <w:t>Accuracy</w:t>
            </w:r>
          </w:p>
        </w:tc>
        <w:tc>
          <w:tcPr>
            <w:tcW w:type="dxa" w:w="165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1F4E5F"/>
          </w:tcPr>
          <w:p>
            <w:pPr>
              <w:spacing w:after="40"/>
            </w:pPr>
            <w:r>
              <w:rPr>
                <w:rFonts w:ascii="Arial" w:hAnsi="Arial" w:eastAsia="STHeiti"/>
                <w:b/>
                <w:color w:val="FFFFFF"/>
                <w:sz w:val="18"/>
              </w:rPr>
              <w:t>Precision</w:t>
            </w:r>
          </w:p>
        </w:tc>
        <w:tc>
          <w:tcPr>
            <w:tcW w:type="dxa" w:w="165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1F4E5F"/>
          </w:tcPr>
          <w:p>
            <w:pPr>
              <w:spacing w:after="40"/>
            </w:pPr>
            <w:r>
              <w:rPr>
                <w:rFonts w:ascii="Arial" w:hAnsi="Arial" w:eastAsia="STHeiti"/>
                <w:b/>
                <w:color w:val="FFFFFF"/>
                <w:sz w:val="18"/>
              </w:rPr>
              <w:t>Recall</w:t>
            </w:r>
          </w:p>
        </w:tc>
        <w:tc>
          <w:tcPr>
            <w:tcW w:type="dxa" w:w="165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1F4E5F"/>
          </w:tcPr>
          <w:p>
            <w:pPr>
              <w:spacing w:after="40"/>
            </w:pPr>
            <w:r>
              <w:rPr>
                <w:rFonts w:ascii="Arial" w:hAnsi="Arial" w:eastAsia="STHeiti"/>
                <w:b/>
                <w:color w:val="FFFFFF"/>
                <w:sz w:val="18"/>
              </w:rPr>
              <w:t>F1</w:t>
            </w:r>
          </w:p>
        </w:tc>
        <w:tc>
          <w:tcPr>
            <w:tcW w:type="dxa" w:w="165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1F4E5F"/>
          </w:tcPr>
          <w:p>
            <w:pPr>
              <w:spacing w:after="40"/>
            </w:pPr>
            <w:r>
              <w:rPr>
                <w:rFonts w:ascii="Arial" w:hAnsi="Arial" w:eastAsia="STHeiti"/>
                <w:b/>
                <w:color w:val="FFFFFF"/>
                <w:sz w:val="18"/>
              </w:rPr>
              <w:t>ROC-AUC</w:t>
            </w:r>
          </w:p>
        </w:tc>
      </w:tr>
      <w:tr>
        <w:tc>
          <w:tcPr>
            <w:tcW w:type="dxa" w:w="165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>
              <w:rPr>
                <w:rFonts w:ascii="Arial" w:hAnsi="Arial" w:eastAsia="STHeiti"/>
                <w:sz w:val="18"/>
              </w:rPr>
              <w:t>Logistic Regression</w:t>
            </w:r>
          </w:p>
        </w:tc>
        <w:tc>
          <w:tcPr>
            <w:tcW w:type="dxa" w:w="165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>
              <w:rPr>
                <w:rFonts w:ascii="Arial" w:hAnsi="Arial" w:eastAsia="STHeiti"/>
                <w:sz w:val="18"/>
              </w:rPr>
              <w:t>0.8775</w:t>
            </w:r>
          </w:p>
        </w:tc>
        <w:tc>
          <w:tcPr>
            <w:tcW w:type="dxa" w:w="165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>
              <w:rPr>
                <w:rFonts w:ascii="Arial" w:hAnsi="Arial" w:eastAsia="STHeiti"/>
                <w:sz w:val="18"/>
              </w:rPr>
              <w:t>0.8885</w:t>
            </w:r>
          </w:p>
        </w:tc>
        <w:tc>
          <w:tcPr>
            <w:tcW w:type="dxa" w:w="165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>
              <w:rPr>
                <w:rFonts w:ascii="Arial" w:hAnsi="Arial" w:eastAsia="STHeiti"/>
                <w:sz w:val="18"/>
              </w:rPr>
              <w:t>0.8666</w:t>
            </w:r>
          </w:p>
        </w:tc>
        <w:tc>
          <w:tcPr>
            <w:tcW w:type="dxa" w:w="165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>
              <w:rPr>
                <w:rFonts w:ascii="Arial" w:hAnsi="Arial" w:eastAsia="STHeiti"/>
                <w:sz w:val="18"/>
              </w:rPr>
              <w:t>0.8774</w:t>
            </w:r>
          </w:p>
        </w:tc>
        <w:tc>
          <w:tcPr>
            <w:tcW w:type="dxa" w:w="165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>
              <w:rPr>
                <w:rFonts w:ascii="Arial" w:hAnsi="Arial" w:eastAsia="STHeiti"/>
                <w:sz w:val="18"/>
              </w:rPr>
              <w:t>0.9417</w:t>
            </w:r>
          </w:p>
        </w:tc>
      </w:tr>
      <w:tr>
        <w:tc>
          <w:tcPr>
            <w:tcW w:type="dxa" w:w="165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3F6F7"/>
          </w:tcPr>
          <w:p>
            <w:pPr>
              <w:spacing w:after="40"/>
            </w:pPr>
            <w:r>
              <w:rPr>
                <w:rFonts w:ascii="Arial" w:hAnsi="Arial" w:eastAsia="STHeiti"/>
                <w:sz w:val="18"/>
              </w:rPr>
              <w:t>SVM (LinearSVC)</w:t>
            </w:r>
          </w:p>
        </w:tc>
        <w:tc>
          <w:tcPr>
            <w:tcW w:type="dxa" w:w="165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3F6F7"/>
          </w:tcPr>
          <w:p>
            <w:pPr>
              <w:spacing w:after="40"/>
            </w:pPr>
            <w:r>
              <w:rPr>
                <w:rFonts w:ascii="Arial" w:hAnsi="Arial" w:eastAsia="STHeiti"/>
                <w:sz w:val="18"/>
              </w:rPr>
              <w:t>0.8729</w:t>
            </w:r>
          </w:p>
        </w:tc>
        <w:tc>
          <w:tcPr>
            <w:tcW w:type="dxa" w:w="165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3F6F7"/>
          </w:tcPr>
          <w:p>
            <w:pPr>
              <w:spacing w:after="40"/>
            </w:pPr>
            <w:r>
              <w:rPr>
                <w:rFonts w:ascii="Arial" w:hAnsi="Arial" w:eastAsia="STHeiti"/>
                <w:sz w:val="18"/>
              </w:rPr>
              <w:t>0.8816</w:t>
            </w:r>
          </w:p>
        </w:tc>
        <w:tc>
          <w:tcPr>
            <w:tcW w:type="dxa" w:w="165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3F6F7"/>
          </w:tcPr>
          <w:p>
            <w:pPr>
              <w:spacing w:after="40"/>
            </w:pPr>
            <w:r>
              <w:rPr>
                <w:rFonts w:ascii="Arial" w:hAnsi="Arial" w:eastAsia="STHeiti"/>
                <w:sz w:val="18"/>
              </w:rPr>
              <w:t>0.8649</w:t>
            </w:r>
          </w:p>
        </w:tc>
        <w:tc>
          <w:tcPr>
            <w:tcW w:type="dxa" w:w="165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3F6F7"/>
          </w:tcPr>
          <w:p>
            <w:pPr>
              <w:spacing w:after="40"/>
            </w:pPr>
            <w:r>
              <w:rPr>
                <w:rFonts w:ascii="Arial" w:hAnsi="Arial" w:eastAsia="STHeiti"/>
                <w:sz w:val="18"/>
              </w:rPr>
              <w:t>0.8732</w:t>
            </w:r>
          </w:p>
        </w:tc>
        <w:tc>
          <w:tcPr>
            <w:tcW w:type="dxa" w:w="165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3F6F7"/>
          </w:tcPr>
          <w:p>
            <w:pPr>
              <w:spacing w:after="40"/>
            </w:pPr>
            <w:r>
              <w:rPr>
                <w:rFonts w:ascii="Arial" w:hAnsi="Arial" w:eastAsia="STHeiti"/>
                <w:sz w:val="18"/>
              </w:rPr>
              <w:t>0.9381</w:t>
            </w:r>
          </w:p>
        </w:tc>
      </w:tr>
      <w:tr>
        <w:tc>
          <w:tcPr>
            <w:tcW w:type="dxa" w:w="165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>
              <w:rPr>
                <w:rFonts w:ascii="Arial" w:hAnsi="Arial" w:eastAsia="STHeiti"/>
                <w:sz w:val="18"/>
              </w:rPr>
              <w:t>Random Forest</w:t>
            </w:r>
          </w:p>
        </w:tc>
        <w:tc>
          <w:tcPr>
            <w:tcW w:type="dxa" w:w="165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>
              <w:rPr>
                <w:rFonts w:ascii="Arial" w:hAnsi="Arial" w:eastAsia="STHeiti"/>
                <w:sz w:val="18"/>
              </w:rPr>
              <w:t>0.8738</w:t>
            </w:r>
          </w:p>
        </w:tc>
        <w:tc>
          <w:tcPr>
            <w:tcW w:type="dxa" w:w="165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>
              <w:rPr>
                <w:rFonts w:ascii="Arial" w:hAnsi="Arial" w:eastAsia="STHeiti"/>
                <w:sz w:val="18"/>
              </w:rPr>
              <w:t>0.8930</w:t>
            </w:r>
          </w:p>
        </w:tc>
        <w:tc>
          <w:tcPr>
            <w:tcW w:type="dxa" w:w="165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>
              <w:rPr>
                <w:rFonts w:ascii="Arial" w:hAnsi="Arial" w:eastAsia="STHeiti"/>
                <w:sz w:val="18"/>
              </w:rPr>
              <w:t>0.8526</w:t>
            </w:r>
          </w:p>
        </w:tc>
        <w:tc>
          <w:tcPr>
            <w:tcW w:type="dxa" w:w="165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>
              <w:rPr>
                <w:rFonts w:ascii="Arial" w:hAnsi="Arial" w:eastAsia="STHeiti"/>
                <w:sz w:val="18"/>
              </w:rPr>
              <w:t>0.8723</w:t>
            </w:r>
          </w:p>
        </w:tc>
        <w:tc>
          <w:tcPr>
            <w:tcW w:type="dxa" w:w="165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>
              <w:rPr>
                <w:rFonts w:ascii="Arial" w:hAnsi="Arial" w:eastAsia="STHeiti"/>
                <w:sz w:val="18"/>
              </w:rPr>
              <w:t>0.9444</w:t>
            </w:r>
          </w:p>
        </w:tc>
      </w:tr>
      <w:tr>
        <w:tc>
          <w:tcPr>
            <w:tcW w:type="dxa" w:w="165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3F6F7"/>
          </w:tcPr>
          <w:p>
            <w:pPr>
              <w:spacing w:after="40"/>
            </w:pPr>
            <w:r>
              <w:rPr>
                <w:rFonts w:ascii="Arial" w:hAnsi="Arial" w:eastAsia="STHeiti"/>
                <w:sz w:val="18"/>
              </w:rPr>
              <w:t>XGBoost</w:t>
            </w:r>
          </w:p>
        </w:tc>
        <w:tc>
          <w:tcPr>
            <w:tcW w:type="dxa" w:w="165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3F6F7"/>
          </w:tcPr>
          <w:p>
            <w:pPr>
              <w:spacing w:after="40"/>
            </w:pPr>
            <w:r>
              <w:rPr>
                <w:rFonts w:ascii="Arial" w:hAnsi="Arial" w:eastAsia="STHeiti"/>
                <w:sz w:val="18"/>
              </w:rPr>
              <w:t>0.9142</w:t>
            </w:r>
          </w:p>
        </w:tc>
        <w:tc>
          <w:tcPr>
            <w:tcW w:type="dxa" w:w="165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3F6F7"/>
          </w:tcPr>
          <w:p>
            <w:pPr>
              <w:spacing w:after="40"/>
            </w:pPr>
            <w:r>
              <w:rPr>
                <w:rFonts w:ascii="Arial" w:hAnsi="Arial" w:eastAsia="STHeiti"/>
                <w:sz w:val="18"/>
              </w:rPr>
              <w:t>0.9271</w:t>
            </w:r>
          </w:p>
        </w:tc>
        <w:tc>
          <w:tcPr>
            <w:tcW w:type="dxa" w:w="165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3F6F7"/>
          </w:tcPr>
          <w:p>
            <w:pPr>
              <w:spacing w:after="40"/>
            </w:pPr>
            <w:r>
              <w:rPr>
                <w:rFonts w:ascii="Arial" w:hAnsi="Arial" w:eastAsia="STHeiti"/>
                <w:sz w:val="18"/>
              </w:rPr>
              <w:t>0.9012</w:t>
            </w:r>
          </w:p>
        </w:tc>
        <w:tc>
          <w:tcPr>
            <w:tcW w:type="dxa" w:w="165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3F6F7"/>
          </w:tcPr>
          <w:p>
            <w:pPr>
              <w:spacing w:after="40"/>
            </w:pPr>
            <w:r>
              <w:rPr>
                <w:rFonts w:ascii="Arial" w:hAnsi="Arial" w:eastAsia="STHeiti"/>
                <w:sz w:val="18"/>
              </w:rPr>
              <w:t>0.9140</w:t>
            </w:r>
          </w:p>
        </w:tc>
        <w:tc>
          <w:tcPr>
            <w:tcW w:type="dxa" w:w="165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3F6F7"/>
          </w:tcPr>
          <w:p>
            <w:pPr>
              <w:spacing w:after="40"/>
            </w:pPr>
            <w:r>
              <w:rPr>
                <w:rFonts w:ascii="Arial" w:hAnsi="Arial" w:eastAsia="STHeiti"/>
                <w:sz w:val="18"/>
              </w:rPr>
              <w:t>0.9662</w:t>
            </w:r>
          </w:p>
        </w:tc>
      </w:tr>
    </w:tbl>
    <w:p/>
    <w:p>
      <w:pPr>
        <w:spacing w:before="60" w:after="40"/>
        <w:jc w:val="center"/>
      </w:pPr>
      <w:r>
        <w:rPr>
          <w:rFonts w:ascii="Arial" w:hAnsi="Arial" w:eastAsia="STHeiti"/>
        </w:rPr>
        <w:drawing>
          <wp:inline xmlns:a="http://schemas.openxmlformats.org/drawingml/2006/main" xmlns:pic="http://schemas.openxmlformats.org/drawingml/2006/picture">
            <wp:extent cx="5303520" cy="33602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_comparis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602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hAnsi="Arial" w:eastAsia="STHeiti"/>
          <w:i/>
          <w:color w:val="52606D"/>
          <w:sz w:val="17"/>
        </w:rPr>
        <w:t>图 1  岗位质量评分的四模型指标对比（数据来源：reports/modeling/model_metrics.csv）。</w:t>
      </w:r>
    </w:p>
    <w:p>
      <w:r>
        <w:rPr>
          <w:rFonts w:ascii="Arial" w:hAnsi="Arial" w:eastAsia="STHeiti"/>
        </w:rPr>
        <w:t>模型选择解读：Logistic Regression 和 Linear SVM 是可解释的线性基线；Random Forest 可以刻画非线性关系；XGBoost 的综合 F1 与 ROC-AUC 最高，因此作为当前岗位信息质量评分的主模型。这个结论只表明其对规则代理标签的复现能力更强。</w:t>
      </w:r>
    </w:p>
    <w:p>
      <w:pPr>
        <w:pStyle w:val="Heading1"/>
      </w:pPr>
      <w:r>
        <w:rPr>
          <w:rFonts w:ascii="Arial" w:hAnsi="Arial" w:eastAsia="STHeiti"/>
        </w:rPr>
        <w:t>四、人岗匹配：简历输入、排序公式与解释</w:t>
      </w:r>
    </w:p>
    <w:p>
      <w:r>
        <w:rPr>
          <w:rFonts w:ascii="Arial" w:hAnsi="Arial" w:eastAsia="STHeiti"/>
        </w:rPr>
        <w:t>简历可由粘贴文本、UTF-8 文本文件或文本型 PDF 输入。PDF 使用 pypdf 的 PdfReader 逐页调用 page.extract_text()；扫描 PDF 没有文本层时会提示，当前版本不把 OCR 伪装成已实现功能。进入算法后，简历与岗位统一经过 clean_text、jieba 分词、技能别名归一化、经验和类别识别。</w:t>
      </w:r>
    </w:p>
    <w:p>
      <w:r>
        <w:rPr>
          <w:rFonts w:ascii="Arial" w:hAnsi="Arial" w:eastAsia="STHeiti"/>
        </w:rPr>
        <w:t>skill_score = 100 × [0.70 × cosine_similarity + 0.30 × matched_skill_count / job_skill_count]；match_score = 0.55 × skill_score + 0.20 × category_score + 0.15 × experience_score + 0.10 × location_score。薪资只展示原始信息，不进入总分。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1F4E5F"/>
          </w:tcPr>
          <w:p>
            <w:pPr>
              <w:spacing w:after="40"/>
            </w:pPr>
            <w:r>
              <w:rPr>
                <w:rFonts w:ascii="Arial" w:hAnsi="Arial" w:eastAsia="STHeiti"/>
                <w:b/>
                <w:color w:val="FFFFFF"/>
                <w:sz w:val="18"/>
              </w:rPr>
              <w:t>输出</w:t>
            </w:r>
          </w:p>
        </w:tc>
        <w:tc>
          <w:tcPr>
            <w:tcW w:type="dxa" w:w="331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1F4E5F"/>
          </w:tcPr>
          <w:p>
            <w:pPr>
              <w:spacing w:after="40"/>
            </w:pPr>
            <w:r>
              <w:rPr>
                <w:rFonts w:ascii="Arial" w:hAnsi="Arial" w:eastAsia="STHeiti"/>
                <w:b/>
                <w:color w:val="FFFFFF"/>
                <w:sz w:val="18"/>
              </w:rPr>
              <w:t>对用户的解释</w:t>
            </w:r>
          </w:p>
        </w:tc>
        <w:tc>
          <w:tcPr>
            <w:tcW w:type="dxa" w:w="331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1F4E5F"/>
          </w:tcPr>
          <w:p>
            <w:pPr>
              <w:spacing w:after="40"/>
            </w:pPr>
            <w:r>
              <w:rPr>
                <w:rFonts w:ascii="Arial" w:hAnsi="Arial" w:eastAsia="STHeiti"/>
                <w:b/>
                <w:color w:val="FFFFFF"/>
                <w:sz w:val="18"/>
              </w:rPr>
              <w:t>可核验字段</w:t>
            </w:r>
          </w:p>
        </w:tc>
      </w:tr>
      <w:tr>
        <w:tc>
          <w:tcPr>
            <w:tcW w:type="dxa" w:w="331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>
              <w:rPr>
                <w:rFonts w:ascii="Arial" w:hAnsi="Arial" w:eastAsia="STHeiti"/>
                <w:sz w:val="18"/>
              </w:rPr>
              <w:t>match_score 与四个分项</w:t>
            </w:r>
          </w:p>
        </w:tc>
        <w:tc>
          <w:tcPr>
            <w:tcW w:type="dxa" w:w="331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>
              <w:rPr>
                <w:rFonts w:ascii="Arial" w:hAnsi="Arial" w:eastAsia="STHeiti"/>
                <w:sz w:val="18"/>
              </w:rPr>
              <w:t>解释为何排在 Top-k，而不是预测录用。</w:t>
            </w:r>
          </w:p>
        </w:tc>
        <w:tc>
          <w:tcPr>
            <w:tcW w:type="dxa" w:w="331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>
              <w:rPr>
                <w:rFonts w:ascii="Arial" w:hAnsi="Arial" w:eastAsia="STHeiti"/>
                <w:sz w:val="18"/>
              </w:rPr>
              <w:t>skill_score、category_score、experience_score、location_score。</w:t>
            </w:r>
          </w:p>
        </w:tc>
      </w:tr>
      <w:tr>
        <w:tc>
          <w:tcPr>
            <w:tcW w:type="dxa" w:w="331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3F6F7"/>
          </w:tcPr>
          <w:p>
            <w:pPr>
              <w:spacing w:after="40"/>
            </w:pPr>
            <w:r>
              <w:rPr>
                <w:rFonts w:ascii="Arial" w:hAnsi="Arial" w:eastAsia="STHeiti"/>
                <w:sz w:val="18"/>
              </w:rPr>
              <w:t>命中与缺失技能</w:t>
            </w:r>
          </w:p>
        </w:tc>
        <w:tc>
          <w:tcPr>
            <w:tcW w:type="dxa" w:w="331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3F6F7"/>
          </w:tcPr>
          <w:p>
            <w:pPr>
              <w:spacing w:after="40"/>
            </w:pPr>
            <w:r>
              <w:rPr>
                <w:rFonts w:ascii="Arial" w:hAnsi="Arial" w:eastAsia="STHeiti"/>
                <w:sz w:val="18"/>
              </w:rPr>
              <w:t>显示简历技能与岗位技能的交集及岗位技能缺口。</w:t>
            </w:r>
          </w:p>
        </w:tc>
        <w:tc>
          <w:tcPr>
            <w:tcW w:type="dxa" w:w="331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3F6F7"/>
          </w:tcPr>
          <w:p>
            <w:pPr>
              <w:spacing w:after="40"/>
            </w:pPr>
            <w:r>
              <w:rPr>
                <w:rFonts w:ascii="Arial" w:hAnsi="Arial" w:eastAsia="STHeiti"/>
                <w:sz w:val="18"/>
              </w:rPr>
              <w:t>matched_skills、missing_skills、岗位标题与描述。</w:t>
            </w:r>
          </w:p>
        </w:tc>
      </w:tr>
      <w:tr>
        <w:tc>
          <w:tcPr>
            <w:tcW w:type="dxa" w:w="331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>
              <w:rPr>
                <w:rFonts w:ascii="Arial" w:hAnsi="Arial" w:eastAsia="STHeiti"/>
                <w:sz w:val="18"/>
              </w:rPr>
              <w:t>岗位追溯信息</w:t>
            </w:r>
          </w:p>
        </w:tc>
        <w:tc>
          <w:tcPr>
            <w:tcW w:type="dxa" w:w="331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>
              <w:rPr>
                <w:rFonts w:ascii="Arial" w:hAnsi="Arial" w:eastAsia="STHeiti"/>
                <w:sz w:val="18"/>
              </w:rPr>
              <w:t>用户可回到原岗位页面人工核验。</w:t>
            </w:r>
          </w:p>
        </w:tc>
        <w:tc>
          <w:tcPr>
            <w:tcW w:type="dxa" w:w="331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>
              <w:rPr>
                <w:rFonts w:ascii="Arial" w:hAnsi="Arial" w:eastAsia="STHeiti"/>
                <w:sz w:val="18"/>
              </w:rPr>
              <w:t>job_id、source_url、crawl_time、data_origin。</w:t>
            </w:r>
          </w:p>
        </w:tc>
      </w:tr>
    </w:tbl>
    <w:p/>
    <w:p>
      <w:pPr>
        <w:pStyle w:val="Heading1"/>
      </w:pPr>
      <w:r>
        <w:rPr>
          <w:rFonts w:ascii="Arial" w:hAnsi="Arial" w:eastAsia="STHeiti"/>
        </w:rPr>
        <w:t>五、岗位聚类：K-Means 实现与 K 值选择</w:t>
      </w:r>
    </w:p>
    <w:p>
      <w:r>
        <w:rPr>
          <w:rFonts w:ascii="Arial" w:hAnsi="Arial" w:eastAsia="STHeiti"/>
        </w:rPr>
        <w:t>聚类以 job_title、skills_normalized、job_category、broad_category、description_clean 为文本来源。标题和技能重复三次、类别重复两次后进行 TF-IDF 向量化（8,000 特征），再经 TruncatedSVD 压缩到 50 维，由 K-Means 聚类。高权重术语回到原始 TF-IDF 中提取，以保证业务命名可解释。</w:t>
      </w:r>
    </w:p>
    <w:p>
      <w:r>
        <w:rPr>
          <w:rFonts w:ascii="Arial" w:hAnsi="Arial" w:eastAsia="STHeiti"/>
        </w:rPr>
        <w:t>候选 K=[3, 4, 5, 6, 7, 8]。Inertia 随 K 增大而下降，肘部代理为 K=6；轮廓系数最高为 K=4（0.1976）。本次以可分性优先，并结合四类业务解释性，最终选择 K=4。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1F4E5F"/>
          </w:tcPr>
          <w:p>
            <w:pPr>
              <w:spacing w:after="40"/>
            </w:pPr>
            <w:r>
              <w:rPr>
                <w:rFonts w:ascii="Arial" w:hAnsi="Arial" w:eastAsia="STHeiti"/>
                <w:b/>
                <w:color w:val="FFFFFF"/>
                <w:sz w:val="18"/>
              </w:rPr>
              <w:t>K</w:t>
            </w:r>
          </w:p>
        </w:tc>
        <w:tc>
          <w:tcPr>
            <w:tcW w:type="dxa" w:w="331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1F4E5F"/>
          </w:tcPr>
          <w:p>
            <w:pPr>
              <w:spacing w:after="40"/>
            </w:pPr>
            <w:r>
              <w:rPr>
                <w:rFonts w:ascii="Arial" w:hAnsi="Arial" w:eastAsia="STHeiti"/>
                <w:b/>
                <w:color w:val="FFFFFF"/>
                <w:sz w:val="18"/>
              </w:rPr>
              <w:t>Inertia</w:t>
            </w:r>
          </w:p>
        </w:tc>
        <w:tc>
          <w:tcPr>
            <w:tcW w:type="dxa" w:w="331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1F4E5F"/>
          </w:tcPr>
          <w:p>
            <w:pPr>
              <w:spacing w:after="40"/>
            </w:pPr>
            <w:r>
              <w:rPr>
                <w:rFonts w:ascii="Arial" w:hAnsi="Arial" w:eastAsia="STHeiti"/>
                <w:b/>
                <w:color w:val="FFFFFF"/>
                <w:sz w:val="18"/>
              </w:rPr>
              <w:t>轮廓系数</w:t>
            </w:r>
          </w:p>
        </w:tc>
      </w:tr>
      <w:tr>
        <w:tc>
          <w:tcPr>
            <w:tcW w:type="dxa" w:w="331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>
              <w:rPr>
                <w:rFonts w:ascii="Arial" w:hAnsi="Arial" w:eastAsia="STHeiti"/>
                <w:sz w:val="18"/>
              </w:rPr>
              <w:t>3</w:t>
            </w:r>
          </w:p>
        </w:tc>
        <w:tc>
          <w:tcPr>
            <w:tcW w:type="dxa" w:w="331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>
              <w:rPr>
                <w:rFonts w:ascii="Arial" w:hAnsi="Arial" w:eastAsia="STHeiti"/>
                <w:sz w:val="18"/>
              </w:rPr>
              <w:t>2095.08</w:t>
            </w:r>
          </w:p>
        </w:tc>
        <w:tc>
          <w:tcPr>
            <w:tcW w:type="dxa" w:w="331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>
              <w:rPr>
                <w:rFonts w:ascii="Arial" w:hAnsi="Arial" w:eastAsia="STHeiti"/>
                <w:sz w:val="18"/>
              </w:rPr>
              <w:t>0.1879</w:t>
            </w:r>
          </w:p>
        </w:tc>
      </w:tr>
      <w:tr>
        <w:tc>
          <w:tcPr>
            <w:tcW w:type="dxa" w:w="331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3F6F7"/>
          </w:tcPr>
          <w:p>
            <w:pPr>
              <w:spacing w:after="40"/>
            </w:pPr>
            <w:r>
              <w:rPr>
                <w:rFonts w:ascii="Arial" w:hAnsi="Arial" w:eastAsia="STHeiti"/>
                <w:sz w:val="18"/>
              </w:rPr>
              <w:t>4</w:t>
            </w:r>
          </w:p>
        </w:tc>
        <w:tc>
          <w:tcPr>
            <w:tcW w:type="dxa" w:w="331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3F6F7"/>
          </w:tcPr>
          <w:p>
            <w:pPr>
              <w:spacing w:after="40"/>
            </w:pPr>
            <w:r>
              <w:rPr>
                <w:rFonts w:ascii="Arial" w:hAnsi="Arial" w:eastAsia="STHeiti"/>
                <w:sz w:val="18"/>
              </w:rPr>
              <w:t>1994.78</w:t>
            </w:r>
          </w:p>
        </w:tc>
        <w:tc>
          <w:tcPr>
            <w:tcW w:type="dxa" w:w="331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3F6F7"/>
          </w:tcPr>
          <w:p>
            <w:pPr>
              <w:spacing w:after="40"/>
            </w:pPr>
            <w:r>
              <w:rPr>
                <w:rFonts w:ascii="Arial" w:hAnsi="Arial" w:eastAsia="STHeiti"/>
                <w:sz w:val="18"/>
              </w:rPr>
              <w:t>0.1976</w:t>
            </w:r>
          </w:p>
        </w:tc>
      </w:tr>
      <w:tr>
        <w:tc>
          <w:tcPr>
            <w:tcW w:type="dxa" w:w="331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>
              <w:rPr>
                <w:rFonts w:ascii="Arial" w:hAnsi="Arial" w:eastAsia="STHeiti"/>
                <w:sz w:val="18"/>
              </w:rPr>
              <w:t>5</w:t>
            </w:r>
          </w:p>
        </w:tc>
        <w:tc>
          <w:tcPr>
            <w:tcW w:type="dxa" w:w="331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>
              <w:rPr>
                <w:rFonts w:ascii="Arial" w:hAnsi="Arial" w:eastAsia="STHeiti"/>
                <w:sz w:val="18"/>
              </w:rPr>
              <w:t>1910.10</w:t>
            </w:r>
          </w:p>
        </w:tc>
        <w:tc>
          <w:tcPr>
            <w:tcW w:type="dxa" w:w="331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>
              <w:rPr>
                <w:rFonts w:ascii="Arial" w:hAnsi="Arial" w:eastAsia="STHeiti"/>
                <w:sz w:val="18"/>
              </w:rPr>
              <w:t>0.1700</w:t>
            </w:r>
          </w:p>
        </w:tc>
      </w:tr>
      <w:tr>
        <w:tc>
          <w:tcPr>
            <w:tcW w:type="dxa" w:w="331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3F6F7"/>
          </w:tcPr>
          <w:p>
            <w:pPr>
              <w:spacing w:after="40"/>
            </w:pPr>
            <w:r>
              <w:rPr>
                <w:rFonts w:ascii="Arial" w:hAnsi="Arial" w:eastAsia="STHeiti"/>
                <w:sz w:val="18"/>
              </w:rPr>
              <w:t>6</w:t>
            </w:r>
          </w:p>
        </w:tc>
        <w:tc>
          <w:tcPr>
            <w:tcW w:type="dxa" w:w="331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3F6F7"/>
          </w:tcPr>
          <w:p>
            <w:pPr>
              <w:spacing w:after="40"/>
            </w:pPr>
            <w:r>
              <w:rPr>
                <w:rFonts w:ascii="Arial" w:hAnsi="Arial" w:eastAsia="STHeiti"/>
                <w:sz w:val="18"/>
              </w:rPr>
              <w:t>1815.65</w:t>
            </w:r>
          </w:p>
        </w:tc>
        <w:tc>
          <w:tcPr>
            <w:tcW w:type="dxa" w:w="331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3F6F7"/>
          </w:tcPr>
          <w:p>
            <w:pPr>
              <w:spacing w:after="40"/>
            </w:pPr>
            <w:r>
              <w:rPr>
                <w:rFonts w:ascii="Arial" w:hAnsi="Arial" w:eastAsia="STHeiti"/>
                <w:sz w:val="18"/>
              </w:rPr>
              <w:t>0.1677</w:t>
            </w:r>
          </w:p>
        </w:tc>
      </w:tr>
      <w:tr>
        <w:tc>
          <w:tcPr>
            <w:tcW w:type="dxa" w:w="331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>
              <w:rPr>
                <w:rFonts w:ascii="Arial" w:hAnsi="Arial" w:eastAsia="STHeiti"/>
                <w:sz w:val="18"/>
              </w:rPr>
              <w:t>7</w:t>
            </w:r>
          </w:p>
        </w:tc>
        <w:tc>
          <w:tcPr>
            <w:tcW w:type="dxa" w:w="331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>
              <w:rPr>
                <w:rFonts w:ascii="Arial" w:hAnsi="Arial" w:eastAsia="STHeiti"/>
                <w:sz w:val="18"/>
              </w:rPr>
              <w:t>1759.07</w:t>
            </w:r>
          </w:p>
        </w:tc>
        <w:tc>
          <w:tcPr>
            <w:tcW w:type="dxa" w:w="331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>
              <w:rPr>
                <w:rFonts w:ascii="Arial" w:hAnsi="Arial" w:eastAsia="STHeiti"/>
                <w:sz w:val="18"/>
              </w:rPr>
              <w:t>0.1899</w:t>
            </w:r>
          </w:p>
        </w:tc>
      </w:tr>
      <w:tr>
        <w:tc>
          <w:tcPr>
            <w:tcW w:type="dxa" w:w="331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3F6F7"/>
          </w:tcPr>
          <w:p>
            <w:pPr>
              <w:spacing w:after="40"/>
            </w:pPr>
            <w:r>
              <w:rPr>
                <w:rFonts w:ascii="Arial" w:hAnsi="Arial" w:eastAsia="STHeiti"/>
                <w:sz w:val="18"/>
              </w:rPr>
              <w:t>8</w:t>
            </w:r>
          </w:p>
        </w:tc>
        <w:tc>
          <w:tcPr>
            <w:tcW w:type="dxa" w:w="331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3F6F7"/>
          </w:tcPr>
          <w:p>
            <w:pPr>
              <w:spacing w:after="40"/>
            </w:pPr>
            <w:r>
              <w:rPr>
                <w:rFonts w:ascii="Arial" w:hAnsi="Arial" w:eastAsia="STHeiti"/>
                <w:sz w:val="18"/>
              </w:rPr>
              <w:t>1690.90</w:t>
            </w:r>
          </w:p>
        </w:tc>
        <w:tc>
          <w:tcPr>
            <w:tcW w:type="dxa" w:w="331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3F6F7"/>
          </w:tcPr>
          <w:p>
            <w:pPr>
              <w:spacing w:after="40"/>
            </w:pPr>
            <w:r>
              <w:rPr>
                <w:rFonts w:ascii="Arial" w:hAnsi="Arial" w:eastAsia="STHeiti"/>
                <w:sz w:val="18"/>
              </w:rPr>
              <w:t>0.1926</w:t>
            </w:r>
          </w:p>
        </w:tc>
      </w:tr>
    </w:tbl>
    <w:p/>
    <w:p>
      <w:pPr>
        <w:spacing w:before="60" w:after="40"/>
        <w:jc w:val="center"/>
      </w:pPr>
      <w:r>
        <w:rPr>
          <w:rFonts w:ascii="Arial" w:hAnsi="Arial" w:eastAsia="STHeiti"/>
        </w:rPr>
        <w:drawing>
          <wp:inline xmlns:a="http://schemas.openxmlformats.org/drawingml/2006/main" xmlns:pic="http://schemas.openxmlformats.org/drawingml/2006/picture">
            <wp:extent cx="5212080" cy="32575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bow_plo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257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hAnsi="Arial" w:eastAsia="STHeiti"/>
          <w:i/>
          <w:color w:val="52606D"/>
          <w:sz w:val="17"/>
        </w:rPr>
        <w:t>图 2  K-Means 肘部图：Inertia 下降趋势用于观察折点，代理建议 K=6。</w:t>
      </w:r>
    </w:p>
    <w:p>
      <w:pPr>
        <w:spacing w:before="60" w:after="40"/>
        <w:jc w:val="center"/>
      </w:pPr>
      <w:r>
        <w:rPr>
          <w:rFonts w:ascii="Arial" w:hAnsi="Arial" w:eastAsia="STHeiti"/>
        </w:rPr>
        <w:drawing>
          <wp:inline xmlns:a="http://schemas.openxmlformats.org/drawingml/2006/main" xmlns:pic="http://schemas.openxmlformats.org/drawingml/2006/picture">
            <wp:extent cx="5212080" cy="32575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lhouette_plo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257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hAnsi="Arial" w:eastAsia="STHeiti"/>
          <w:i/>
          <w:color w:val="52606D"/>
          <w:sz w:val="17"/>
        </w:rPr>
        <w:t>图 3  轮廓系数：候选 K 中 K=4 最高，因此作为最终 K 的主要量化依据。</w:t>
      </w:r>
    </w:p>
    <w:p>
      <w:r>
        <w:rPr>
          <w:rFonts w:ascii="Arial" w:hAnsi="Arial" w:eastAsia="STHeiti"/>
        </w:rPr>
        <w:br w:type="page"/>
      </w:r>
    </w:p>
    <w:p>
      <w:pPr>
        <w:pStyle w:val="Heading1"/>
      </w:pPr>
      <w:r>
        <w:rPr>
          <w:rFonts w:ascii="Arial" w:hAnsi="Arial" w:eastAsia="STHeiti"/>
        </w:rPr>
        <w:t>六、PCA 降维图、业务命名与解读</w:t>
      </w:r>
    </w:p>
    <w:p>
      <w:r>
        <w:rPr>
          <w:rFonts w:ascii="Arial" w:hAnsi="Arial" w:eastAsia="STHeiti"/>
        </w:rPr>
        <w:t>二维展示使用同一 SVD 表示再做 PCA 投影。PCA 图用于观察不同聚类的相对分布和重叠，不等价于原始高维空间中的分类边界；本次没有执行 t-SNE，故不对 t-SNE 可视化作任何结论。</w:t>
      </w:r>
    </w:p>
    <w:p>
      <w:pPr>
        <w:spacing w:before="60" w:after="40"/>
        <w:jc w:val="center"/>
      </w:pPr>
      <w:r>
        <w:rPr>
          <w:rFonts w:ascii="Arial" w:hAnsi="Arial" w:eastAsia="STHeiti"/>
        </w:rPr>
        <w:drawing>
          <wp:inline xmlns:a="http://schemas.openxmlformats.org/drawingml/2006/main" xmlns:pic="http://schemas.openxmlformats.org/drawingml/2006/picture">
            <wp:extent cx="5303520" cy="41249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uster_scatter_pc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124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hAnsi="Arial" w:eastAsia="STHeiti"/>
          <w:i/>
          <w:color w:val="52606D"/>
          <w:sz w:val="17"/>
        </w:rPr>
        <w:t>图 4  K=4 岗位聚类的 PCA 二维投影（颜色为 K-Means 标签）。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1F4E5F"/>
          </w:tcPr>
          <w:p>
            <w:pPr>
              <w:spacing w:after="40"/>
            </w:pPr>
            <w:r>
              <w:rPr>
                <w:rFonts w:ascii="Arial" w:hAnsi="Arial" w:eastAsia="STHeiti"/>
                <w:b/>
                <w:color w:val="FFFFFF"/>
                <w:sz w:val="18"/>
              </w:rPr>
              <w:t>聚类业务名称</w:t>
            </w:r>
          </w:p>
        </w:tc>
        <w:tc>
          <w:tcPr>
            <w:tcW w:type="dxa" w:w="198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1F4E5F"/>
          </w:tcPr>
          <w:p>
            <w:pPr>
              <w:spacing w:after="40"/>
            </w:pPr>
            <w:r>
              <w:rPr>
                <w:rFonts w:ascii="Arial" w:hAnsi="Arial" w:eastAsia="STHeiti"/>
                <w:b/>
                <w:color w:val="FFFFFF"/>
                <w:sz w:val="18"/>
              </w:rPr>
              <w:t>规模</w:t>
            </w:r>
          </w:p>
        </w:tc>
        <w:tc>
          <w:tcPr>
            <w:tcW w:type="dxa" w:w="198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1F4E5F"/>
          </w:tcPr>
          <w:p>
            <w:pPr>
              <w:spacing w:after="40"/>
            </w:pPr>
            <w:r>
              <w:rPr>
                <w:rFonts w:ascii="Arial" w:hAnsi="Arial" w:eastAsia="STHeiti"/>
                <w:b/>
                <w:color w:val="FFFFFF"/>
                <w:sz w:val="18"/>
              </w:rPr>
              <w:t>主类别</w:t>
            </w:r>
          </w:p>
        </w:tc>
        <w:tc>
          <w:tcPr>
            <w:tcW w:type="dxa" w:w="198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1F4E5F"/>
          </w:tcPr>
          <w:p>
            <w:pPr>
              <w:spacing w:after="40"/>
            </w:pPr>
            <w:r>
              <w:rPr>
                <w:rFonts w:ascii="Arial" w:hAnsi="Arial" w:eastAsia="STHeiti"/>
                <w:b/>
                <w:color w:val="FFFFFF"/>
                <w:sz w:val="18"/>
              </w:rPr>
              <w:t>主要技能</w:t>
            </w:r>
          </w:p>
        </w:tc>
        <w:tc>
          <w:tcPr>
            <w:tcW w:type="dxa" w:w="198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1F4E5F"/>
          </w:tcPr>
          <w:p>
            <w:pPr>
              <w:spacing w:after="40"/>
            </w:pPr>
            <w:r>
              <w:rPr>
                <w:rFonts w:ascii="Arial" w:hAnsi="Arial" w:eastAsia="STHeiti"/>
                <w:b/>
                <w:color w:val="FFFFFF"/>
                <w:sz w:val="18"/>
              </w:rPr>
              <w:t>典型标题</w:t>
            </w:r>
          </w:p>
        </w:tc>
      </w:tr>
      <w:tr>
        <w:tc>
          <w:tcPr>
            <w:tcW w:type="dxa" w:w="198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>
              <w:rPr>
                <w:rFonts w:ascii="Arial" w:hAnsi="Arial" w:eastAsia="STHeiti"/>
                <w:sz w:val="18"/>
              </w:rPr>
              <w:t>0：云平台与 DevOps 工程岗位</w:t>
            </w:r>
          </w:p>
        </w:tc>
        <w:tc>
          <w:tcPr>
            <w:tcW w:type="dxa" w:w="198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>
              <w:rPr>
                <w:rFonts w:ascii="Arial" w:hAnsi="Arial" w:eastAsia="STHeiti"/>
                <w:sz w:val="18"/>
              </w:rPr>
              <w:t>3,206（26.7%）</w:t>
            </w:r>
          </w:p>
        </w:tc>
        <w:tc>
          <w:tcPr>
            <w:tcW w:type="dxa" w:w="198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>
              <w:rPr>
                <w:rFonts w:ascii="Arial" w:hAnsi="Arial" w:eastAsia="STHeiti"/>
                <w:sz w:val="18"/>
              </w:rPr>
              <w:t>Engineering</w:t>
            </w:r>
          </w:p>
        </w:tc>
        <w:tc>
          <w:tcPr>
            <w:tcW w:type="dxa" w:w="198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>
              <w:rPr>
                <w:rFonts w:ascii="Arial" w:hAnsi="Arial" w:eastAsia="STHeiti"/>
                <w:sz w:val="18"/>
              </w:rPr>
              <w:t>software engineer、backend development、fullstack development、cloud engineer、data engineering</w:t>
            </w:r>
          </w:p>
        </w:tc>
        <w:tc>
          <w:tcPr>
            <w:tcW w:type="dxa" w:w="198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>
              <w:rPr>
                <w:rFonts w:ascii="Arial" w:hAnsi="Arial" w:eastAsia="STHeiti"/>
                <w:sz w:val="18"/>
              </w:rPr>
              <w:t>Senior Software Engineer；Senior Python Data Scraping Engineer (Freelance)</w:t>
            </w:r>
          </w:p>
        </w:tc>
      </w:tr>
      <w:tr>
        <w:tc>
          <w:tcPr>
            <w:tcW w:type="dxa" w:w="198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3F6F7"/>
          </w:tcPr>
          <w:p>
            <w:pPr>
              <w:spacing w:after="40"/>
            </w:pPr>
            <w:r>
              <w:rPr>
                <w:rFonts w:ascii="Arial" w:hAnsi="Arial" w:eastAsia="STHeiti"/>
                <w:sz w:val="18"/>
              </w:rPr>
              <w:t>1：销售与业务拓展岗位</w:t>
            </w:r>
          </w:p>
        </w:tc>
        <w:tc>
          <w:tcPr>
            <w:tcW w:type="dxa" w:w="198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3F6F7"/>
          </w:tcPr>
          <w:p>
            <w:pPr>
              <w:spacing w:after="40"/>
            </w:pPr>
            <w:r>
              <w:rPr>
                <w:rFonts w:ascii="Arial" w:hAnsi="Arial" w:eastAsia="STHeiti"/>
                <w:sz w:val="18"/>
              </w:rPr>
              <w:t>8,070（67.2%）</w:t>
            </w:r>
          </w:p>
        </w:tc>
        <w:tc>
          <w:tcPr>
            <w:tcW w:type="dxa" w:w="198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3F6F7"/>
          </w:tcPr>
          <w:p>
            <w:pPr>
              <w:spacing w:after="40"/>
            </w:pPr>
            <w:r>
              <w:rPr>
                <w:rFonts w:ascii="Arial" w:hAnsi="Arial" w:eastAsia="STHeiti"/>
                <w:sz w:val="18"/>
              </w:rPr>
              <w:t>Sales</w:t>
            </w:r>
          </w:p>
        </w:tc>
        <w:tc>
          <w:tcPr>
            <w:tcW w:type="dxa" w:w="198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3F6F7"/>
          </w:tcPr>
          <w:p>
            <w:pPr>
              <w:spacing w:after="40"/>
            </w:pPr>
            <w:r>
              <w:rPr>
                <w:rFonts w:ascii="Arial" w:hAnsi="Arial" w:eastAsia="STHeiti"/>
                <w:sz w:val="18"/>
              </w:rPr>
              <w:t>sales、business development、b2b sales、account management、customer service</w:t>
            </w:r>
          </w:p>
        </w:tc>
        <w:tc>
          <w:tcPr>
            <w:tcW w:type="dxa" w:w="198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3F6F7"/>
          </w:tcPr>
          <w:p>
            <w:pPr>
              <w:spacing w:after="40"/>
            </w:pPr>
            <w:r>
              <w:rPr>
                <w:rFonts w:ascii="Arial" w:hAnsi="Arial" w:eastAsia="STHeiti"/>
                <w:sz w:val="18"/>
              </w:rPr>
              <w:t>Product Manager；Sales Development Representative</w:t>
            </w:r>
          </w:p>
        </w:tc>
      </w:tr>
      <w:tr>
        <w:tc>
          <w:tcPr>
            <w:tcW w:type="dxa" w:w="198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>
              <w:rPr>
                <w:rFonts w:ascii="Arial" w:hAnsi="Arial" w:eastAsia="STHeiti"/>
                <w:sz w:val="18"/>
              </w:rPr>
              <w:t>2：企业应用与技术创新岗位</w:t>
            </w:r>
          </w:p>
        </w:tc>
        <w:tc>
          <w:tcPr>
            <w:tcW w:type="dxa" w:w="198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>
              <w:rPr>
                <w:rFonts w:ascii="Arial" w:hAnsi="Arial" w:eastAsia="STHeiti"/>
                <w:sz w:val="18"/>
              </w:rPr>
              <w:t>243（2.0%）</w:t>
            </w:r>
          </w:p>
        </w:tc>
        <w:tc>
          <w:tcPr>
            <w:tcW w:type="dxa" w:w="198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>
              <w:rPr>
                <w:rFonts w:ascii="Arial" w:hAnsi="Arial" w:eastAsia="STHeiti"/>
                <w:sz w:val="18"/>
              </w:rPr>
              <w:t>Engineering</w:t>
            </w:r>
          </w:p>
        </w:tc>
        <w:tc>
          <w:tcPr>
            <w:tcW w:type="dxa" w:w="198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>
              <w:rPr>
                <w:rFonts w:ascii="Arial" w:hAnsi="Arial" w:eastAsia="STHeiti"/>
                <w:sz w:val="18"/>
              </w:rPr>
              <w:t>software engineer、devops engineer、cloud engineer、platform engineering、backend engineer</w:t>
            </w:r>
          </w:p>
        </w:tc>
        <w:tc>
          <w:tcPr>
            <w:tcW w:type="dxa" w:w="198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40"/>
            </w:pPr>
            <w:r>
              <w:rPr>
                <w:rFonts w:ascii="Arial" w:hAnsi="Arial" w:eastAsia="STHeiti"/>
                <w:sz w:val="18"/>
              </w:rPr>
              <w:t>AI Innovation Engineer；SAP UX Developer</w:t>
            </w:r>
          </w:p>
        </w:tc>
      </w:tr>
      <w:tr>
        <w:tc>
          <w:tcPr>
            <w:tcW w:type="dxa" w:w="198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3F6F7"/>
          </w:tcPr>
          <w:p>
            <w:pPr>
              <w:spacing w:after="40"/>
            </w:pPr>
            <w:r>
              <w:rPr>
                <w:rFonts w:ascii="Arial" w:hAnsi="Arial" w:eastAsia="STHeiti"/>
                <w:sz w:val="18"/>
              </w:rPr>
              <w:t>3：机器学习与人工智能岗位</w:t>
            </w:r>
          </w:p>
        </w:tc>
        <w:tc>
          <w:tcPr>
            <w:tcW w:type="dxa" w:w="198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3F6F7"/>
          </w:tcPr>
          <w:p>
            <w:pPr>
              <w:spacing w:after="40"/>
            </w:pPr>
            <w:r>
              <w:rPr>
                <w:rFonts w:ascii="Arial" w:hAnsi="Arial" w:eastAsia="STHeiti"/>
                <w:sz w:val="18"/>
              </w:rPr>
              <w:t>481（4.0%）</w:t>
            </w:r>
          </w:p>
        </w:tc>
        <w:tc>
          <w:tcPr>
            <w:tcW w:type="dxa" w:w="198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3F6F7"/>
          </w:tcPr>
          <w:p>
            <w:pPr>
              <w:spacing w:after="40"/>
            </w:pPr>
            <w:r>
              <w:rPr>
                <w:rFonts w:ascii="Arial" w:hAnsi="Arial" w:eastAsia="STHeiti"/>
                <w:sz w:val="18"/>
              </w:rPr>
              <w:t>Data Science</w:t>
            </w:r>
          </w:p>
        </w:tc>
        <w:tc>
          <w:tcPr>
            <w:tcW w:type="dxa" w:w="198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3F6F7"/>
          </w:tcPr>
          <w:p>
            <w:pPr>
              <w:spacing w:after="40"/>
            </w:pPr>
            <w:r>
              <w:rPr>
                <w:rFonts w:ascii="Arial" w:hAnsi="Arial" w:eastAsia="STHeiti"/>
                <w:sz w:val="18"/>
              </w:rPr>
              <w:t>ai safety specialist、document review、ai safety、ai evaluation、quality assurance</w:t>
            </w:r>
          </w:p>
        </w:tc>
        <w:tc>
          <w:tcPr>
            <w:tcW w:type="dxa" w:w="198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3F6F7"/>
          </w:tcPr>
          <w:p>
            <w:pPr>
              <w:spacing w:after="40"/>
            </w:pPr>
            <w:r>
              <w:rPr>
                <w:rFonts w:ascii="Arial" w:hAnsi="Arial" w:eastAsia="STHeiti"/>
                <w:sz w:val="18"/>
              </w:rPr>
              <w:t>Business Ops Analyst - Fully Remote | Upto $160/hr；AI Safety Practitioner - Fully Remote | Upto $70/hr</w:t>
            </w:r>
          </w:p>
        </w:tc>
      </w:tr>
    </w:tbl>
    <w:p/>
    <w:p>
      <w:r>
        <w:rPr>
          <w:rFonts w:ascii="Arial" w:hAnsi="Arial" w:eastAsia="STHeiti"/>
        </w:rPr>
        <w:t>业务解读：云平台与 DevOps 工程岗位聚集软件、后端、云与数据工程技能；销售与业务拓展岗位规模最大，聚焦销售、客户与账户管理；企业应用与技术创新岗位是小规模工程细分群；机器学习与人工智能岗位集中 AI 安全、评估与质量保障主题。名称基于高权重词、典型标题和主类别生成，不是官方职业分类。</w:t>
      </w:r>
    </w:p>
    <w:p>
      <w:pPr>
        <w:pStyle w:val="Heading1"/>
      </w:pPr>
      <w:r>
        <w:rPr>
          <w:rFonts w:ascii="Arial" w:hAnsi="Arial" w:eastAsia="STHeiti"/>
        </w:rPr>
        <w:t>七、RAG 检索与 Agent 工具编排</w:t>
      </w:r>
    </w:p>
    <w:p>
      <w:r>
        <w:rPr>
          <w:rFonts w:ascii="Arial" w:hAnsi="Arial" w:eastAsia="STHeiti"/>
        </w:rPr>
        <w:t>正式 RAG 已切换为真实 Embedding 检索：向量库为 FAISS IndexFlatIP，Embedding 为 BAAI/bge-small-zh-v1.5（512 维，本地加载）。主索引按岗位介绍、岗位职责和任职要求分区建块，Chunk=1200、Overlap=200，共 55984 个 Chunk。测试问题 12 个，Top-k=3；Query Hit@3=50.00%，Macro Precision@3=33.33%，Macro MRR@3=44.44%，来源字段完整率=100.00%。金标准是可复现的结构化条件，不是人工标注真实 Recall@k；结果均保留 source_url、crawl_time 和 data_origin。</w:t>
      </w:r>
    </w:p>
    <w:p>
      <w:r>
        <w:rPr>
          <w:rFonts w:ascii="Arial" w:hAnsi="Arial" w:eastAsia="STHeiti"/>
        </w:rPr>
        <w:t>TF-IDF 基线仍保留在 reports/rag_tfidf_baseline/，对应 10 个问题、Top-k=3，预设条件可验证命中率=90.0%。该基线只用于对照，不冒充 Embedding RAG，也不把 TF-IDF 说成深度学习。</w:t>
      </w:r>
    </w:p>
    <w:p>
      <w:r>
        <w:rPr>
          <w:rFonts w:ascii="Arial" w:hAnsi="Arial" w:eastAsia="STHeiti"/>
        </w:rPr>
        <w:t>Agent 真实演示记录于 reports/agent/real_demo_output.json：agent_mode=openai_chat_completions，model_call=True，protocol=chat_completions，model=gpt-5.6-sol，工具链为 search_jobs -&gt; search_jobs -&gt; match_resume。离线 fallback 记录于 reports/agent/demo_output.json：agent_mode=local_rule_router，model_call=False，工具链为 match_resume -&gt; score_job -&gt; score_job -&gt; score_job。可用工具包括 search_jobs、score_job、match_resume、cluster_summary、retrieve_jobs；Function Calling schema 与 Prompt 版本已分别保存在 reports/agent/function_schemas.json、docs/prompts/week2_agent_v1.md 和 reports/agent/prompt_versions.md。</w:t>
      </w:r>
    </w:p>
    <w:p>
      <w:pPr>
        <w:pStyle w:val="Heading1"/>
      </w:pPr>
      <w:r>
        <w:rPr>
          <w:rFonts w:ascii="Arial" w:hAnsi="Arial" w:eastAsia="STHeiti"/>
        </w:rPr>
        <w:t>八、结论与局限</w:t>
      </w:r>
    </w:p>
    <w:p>
      <w:r>
        <w:rPr>
          <w:rFonts w:ascii="Arial" w:hAnsi="Arial" w:eastAsia="STHeiti"/>
        </w:rPr>
        <w:t>本次调优完成了评分模型的四模型比较、K-Means 的 K 值选择与 PCA 可视化，以及正式 Embedding RAG 与真实模型 Agent 的链路闭环。评分当前选择 XGBoost；岗位匹配保持可解释的 TF-IDF 基线；聚类当前选择 K=4；RAG 以 FAISS + BGE 为主、TF-IDF 为历史基线；Agent 以真实 Function Calling 演示为主，并保留本地规则路由 fallback。局限包括单一公开平台的数据偏向、技能词典覆盖范围、跨语言检索失败题、K-Means 的近似凸簇假设，以及缺少人工相关性与招聘结果标签。所有结论均限定于当前 12,000 条全球远程岗位数据。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STHeit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STHeit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STHeit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STHeit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