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 Display" w:hAnsi="Aptos Display" w:eastAsia="Arial Unicode MS"/>
          <w:b/>
          <w:i w:val="0"/>
          <w:color w:val="000000"/>
          <w:sz w:val="48"/>
        </w:rPr>
        <w:t>数据预处理文档</w:t>
      </w:r>
    </w:p>
    <w:p>
      <w:pPr>
        <w:spacing w:after="200"/>
      </w:pPr>
      <w:r>
        <w:rPr>
          <w:rFonts w:ascii="Aptos" w:hAnsi="Aptos" w:eastAsia="Arial Unicode MS"/>
          <w:b/>
          <w:i w:val="0"/>
          <w:color w:val="0F766E"/>
          <w:sz w:val="24"/>
        </w:rPr>
        <w:t>全球远程招聘岗位数据清洗与特征工程说明</w:t>
      </w:r>
    </w:p>
    <w:p>
      <w:pPr>
        <w:spacing w:after="260"/>
      </w:pPr>
      <w:r>
        <w:rPr>
          <w:rFonts w:ascii="Aptos" w:hAnsi="Aptos" w:eastAsia="Arial Unicode MS"/>
          <w:b w:val="0"/>
          <w:i w:val="0"/>
          <w:color w:val="52606D"/>
          <w:sz w:val="18"/>
        </w:rPr>
        <w:t>课程项目：基于全球远程招聘岗位大数据的岗位质量评分与人岗匹配研究  |  版本：2026-09-09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本文说明全球远程招聘岗位数据从原始 JSONL 到分析数据集的处理过程。处理对象为 Himalayas 公开 Jobs API 在本次快照中采集的 12,000 条岗位记录，覆盖去重、缺失值处理、薪资与经验标准化、异常值标记、文本清洗、jieba 分词和特征工程。原始数据保持不变，所有派生数据单独写入 data/processed/。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处理结论：600 个分页文件共包含 12,000 条记录，按既定规则去重后仍为 12,000 条；薪资字段可解析 5,185 条，缺失 6,815 条，异常标记 31 条；所有结果保留 source_url、crawl_time 与 data_origin，且 city 始终保留为 Remote。</w:t>
      </w:r>
    </w:p>
    <w:p>
      <w:pPr>
        <w:pStyle w:val="Heading1"/>
      </w:pPr>
      <w:r>
        <w:t>一 处理目标与数据边界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6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处理口径</w:t>
            </w:r>
          </w:p>
        </w:tc>
        <w:tc>
          <w:tcPr>
            <w:tcW w:type="dxa" w:w="396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数据来源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Himalayas 公开 Jobs API</w:t>
            </w:r>
          </w:p>
        </w:tc>
        <w:tc>
          <w:tcPr>
            <w:tcW w:type="dxa" w:w="396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全球远程招聘岗位数据快照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唯一输入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600 个 remote_all_*.jsonl 分页文件</w:t>
            </w:r>
          </w:p>
        </w:tc>
        <w:tc>
          <w:tcPr>
            <w:tcW w:type="dxa" w:w="396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位于 data/raw/himalayas_api/2026-09-08/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原始数据保护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不修改、不覆盖、不删除</w:t>
            </w:r>
          </w:p>
        </w:tc>
        <w:tc>
          <w:tcPr>
            <w:tcW w:type="dxa" w:w="396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原始 JSONL 与原始 API 响应保持可核验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历史聚合文件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明确排除 jobs_all.jsonl</w:t>
            </w:r>
          </w:p>
        </w:tc>
        <w:tc>
          <w:tcPr>
            <w:tcW w:type="dxa" w:w="396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避免将历史聚合内容重复并入本次样本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研究对象</w:t>
            </w:r>
          </w:p>
        </w:tc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全球远程岗位</w:t>
            </w:r>
          </w:p>
        </w:tc>
        <w:tc>
          <w:tcPr>
            <w:tcW w:type="dxa" w:w="396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city=Remote 保持来源语义，district 表示地区限制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派生输出</w:t>
            </w:r>
          </w:p>
        </w:tc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JSONL、Parquet、CSV、质量报告</w:t>
            </w:r>
          </w:p>
        </w:tc>
        <w:tc>
          <w:tcPr>
            <w:tcW w:type="dxa" w:w="396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只写入 data/processed/、export/、reports/ 与 docs/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可追溯性要求：每条清洗记录保留 source_url、crawl_time、data_origin，并新增 raw_page_file 与 raw_line_number，用于定位原始分页文件与行号。</w:t>
      </w:r>
    </w:p>
    <w:p>
      <w:r>
        <w:br w:type="page"/>
      </w:r>
    </w:p>
    <w:p>
      <w:pPr>
        <w:pStyle w:val="Heading1"/>
      </w:pPr>
      <w:r>
        <w:t>二 处理流程与验收结果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处理流程如下：原始分页 JSONL → 合并与来源定位 → 去重 → 缺失值审计 → 字段类型标准化 → 薪资与经验解析 → 异常值标记 → 文本清洗与 jieba 分词 → 技能归一化 → 数值特征构造 → 输出 JSONL、Parquet 与质量报告。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237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11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验收含义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输入分页文件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600 个</w:t>
            </w:r>
          </w:p>
        </w:tc>
        <w:tc>
          <w:tcPr>
            <w:tcW w:type="dxa" w:w="51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只读取授权日期目录下的分页文件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原始记录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12,000 条</w:t>
            </w:r>
          </w:p>
        </w:tc>
        <w:tc>
          <w:tcPr>
            <w:tcW w:type="dxa" w:w="51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满足课程不少于 1 万条的要求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去重后记录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12,000 条</w:t>
            </w:r>
          </w:p>
        </w:tc>
        <w:tc>
          <w:tcPr>
            <w:tcW w:type="dxa" w:w="51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未因清洗丢失有效岗位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重复记录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0 条，0.00%</w:t>
            </w:r>
          </w:p>
        </w:tc>
        <w:tc>
          <w:tcPr>
            <w:tcW w:type="dxa" w:w="51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本次分页文件不存在重复岗位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city 语义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全部为 Remote</w:t>
            </w:r>
          </w:p>
        </w:tc>
        <w:tc>
          <w:tcPr>
            <w:tcW w:type="dxa" w:w="511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未将全球远程岗位改写为具体城市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追溯字段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全部完整</w:t>
            </w:r>
          </w:p>
        </w:tc>
        <w:tc>
          <w:tcPr>
            <w:tcW w:type="dxa" w:w="511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source_url、crawl_time、data_origin 均可用于回溯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 合并与去重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去重以稳定且可解释的键为优先级：首先使用 source + job_id；若该键不可用，则使用 source_url；若仍不可用，才使用岗位名、公司、城市、原始薪资和发布日期的业务字段组合。每一种去重键均保留首次出现记录，重复明细单独写入 data/processed/duplicate_records.jsonl，不修改任何原始文件。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381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去重键</w:t>
            </w:r>
          </w:p>
        </w:tc>
        <w:tc>
          <w:tcPr>
            <w:tcW w:type="dxa" w:w="460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使用原因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1</w:t>
            </w:r>
          </w:p>
        </w:tc>
        <w:tc>
          <w:tcPr>
            <w:tcW w:type="dxa" w:w="381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source + job_id</w:t>
            </w:r>
          </w:p>
        </w:tc>
        <w:tc>
          <w:tcPr>
            <w:tcW w:type="dxa" w:w="46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同一来源中的岗位唯一标识，稳定性最高</w:t>
            </w:r>
          </w:p>
        </w:tc>
      </w:tr>
      <w:tr>
        <w:tc>
          <w:tcPr>
            <w:tcW w:type="dxa" w:w="100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2</w:t>
            </w:r>
          </w:p>
        </w:tc>
        <w:tc>
          <w:tcPr>
            <w:tcW w:type="dxa" w:w="381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source_url</w:t>
            </w:r>
          </w:p>
        </w:tc>
        <w:tc>
          <w:tcPr>
            <w:tcW w:type="dxa" w:w="460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可回到平台原始岗位页面核验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3</w:t>
            </w:r>
          </w:p>
        </w:tc>
        <w:tc>
          <w:tcPr>
            <w:tcW w:type="dxa" w:w="381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岗位名 + 公司 + city + salary_raw + publish_date</w:t>
            </w:r>
          </w:p>
        </w:tc>
        <w:tc>
          <w:tcPr>
            <w:tcW w:type="dxa" w:w="460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缺少唯一标识时的保守业务组合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本次结果为 12,000 条输入、12,000 条去重后记录、0 条重复。去重率为 0.00% 并不表示规则无效，而是说明本次 600 个原始分页文件没有命中相同岗位。</w:t>
      </w:r>
    </w:p>
    <w:p>
      <w:r>
        <w:br w:type="page"/>
      </w:r>
    </w:p>
    <w:p>
      <w:pPr>
        <w:pStyle w:val="Heading1"/>
      </w:pPr>
      <w:r>
        <w:t>四 缺失值审计与处理策略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缺失处理遵循“不把未提供伪造成业务值”的原则。原始文本字段缺失时保留空字符串，解析后数值字段保留空值；同时增加解析状态字段，让后续分析能够区分“缺失”“可解析”“不可解析”。薪资缺失不以 0 填充，避免在统计或模型中被错误理解为零薪资。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type="dxa" w:w="1181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缺失数</w:t>
            </w:r>
          </w:p>
        </w:tc>
        <w:tc>
          <w:tcPr>
            <w:tcW w:type="dxa" w:w="1181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缺失率</w:t>
            </w:r>
          </w:p>
        </w:tc>
        <w:tc>
          <w:tcPr>
            <w:tcW w:type="dxa" w:w="482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处理方式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district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226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1.9%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保留空值；后续表示为地区限制未知，不等同于不可申请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salary_raw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6,815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56.8%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保留缺失；salary_parse_status=missing；不填 0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job_id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0.0%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作为首选去重依据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job_title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0.0%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作为岗位分析与文本特征输入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company_name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0.0%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作为岗位描述和可追溯展示字段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job_description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0.0%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进行文本清洗、分词和长度特征构造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skills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</w:t>
            </w:r>
          </w:p>
        </w:tc>
        <w:tc>
          <w:tcPr>
            <w:tcW w:type="dxa" w:w="1181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0.0%</w:t>
            </w:r>
          </w:p>
        </w:tc>
        <w:tc>
          <w:tcPr>
            <w:tcW w:type="dxa" w:w="48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规范化并计算技能数量</w:t>
            </w:r>
          </w:p>
        </w:tc>
      </w:tr>
      <w:tr>
        <w:tc>
          <w:tcPr>
            <w:tcW w:type="dxa" w:w="22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source_url / crawl_time / data_origin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</w:t>
            </w:r>
          </w:p>
        </w:tc>
        <w:tc>
          <w:tcPr>
            <w:tcW w:type="dxa" w:w="1181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0.0%</w:t>
            </w:r>
          </w:p>
        </w:tc>
        <w:tc>
          <w:tcPr>
            <w:tcW w:type="dxa" w:w="48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强制保留，用于数据追溯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来源 API 中 education、industry、company_type、company_size、longitude、latitude 在本次 12,000 条记录中均未提供。这些字段不进入本次分析、图表或模型输入，也不在教师查看版导出中展示；完整缺失统计保留在 reports/data_quality_summary.json 供审计使用。</w:t>
      </w:r>
    </w:p>
    <w:p>
      <w:pPr>
        <w:pStyle w:val="Heading1"/>
      </w:pPr>
      <w:r>
        <w:t>五 字段类型标准化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原始岗位字段以字符串为主。清洗阶段对字段进行统一空白处理，并把薪资、经验、发布时间和技能拆解为可计算的标准字段。标准化不覆盖原始字段，而是新增解析字段，以同时保留来源文本与计算依据。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原始字段</w:t>
            </w:r>
          </w:p>
        </w:tc>
        <w:tc>
          <w:tcPr>
            <w:tcW w:type="dxa" w:w="338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标准化结果</w:t>
            </w:r>
          </w:p>
        </w:tc>
        <w:tc>
          <w:tcPr>
            <w:tcW w:type="dxa" w:w="396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处理说明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salary_raw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salary_currency、salary_period、salary_min、salary_max、salary_avg</w:t>
            </w:r>
          </w:p>
        </w:tc>
        <w:tc>
          <w:tcPr>
            <w:tcW w:type="dxa" w:w="396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解析币种、周期和金额上下限；同时保留原文</w:t>
            </w:r>
          </w:p>
        </w:tc>
      </w:tr>
      <w:tr>
        <w:tc>
          <w:tcPr>
            <w:tcW w:type="dxa" w:w="20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salary_raw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salary_*_annual</w:t>
            </w:r>
          </w:p>
        </w:tc>
        <w:tc>
          <w:tcPr>
            <w:tcW w:type="dxa" w:w="396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按周期转换为同币种年薪化数值，仅用于统计比较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experience_raw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experience_level_primary、experience_year_min/max</w:t>
            </w:r>
          </w:p>
        </w:tc>
        <w:tc>
          <w:tcPr>
            <w:tcW w:type="dxa" w:w="396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将来源职级映射为经验区间代理</w:t>
            </w:r>
          </w:p>
        </w:tc>
      </w:tr>
      <w:tr>
        <w:tc>
          <w:tcPr>
            <w:tcW w:type="dxa" w:w="20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publish_date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publish_age_days</w:t>
            </w:r>
          </w:p>
        </w:tc>
        <w:tc>
          <w:tcPr>
            <w:tcW w:type="dxa" w:w="396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转换为距离 2026-09-08 的岗位发布天数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skills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skills_normalized、skill_count</w:t>
            </w:r>
          </w:p>
        </w:tc>
        <w:tc>
          <w:tcPr>
            <w:tcW w:type="dxa" w:w="396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拆分、去重、小写统一并计算技能数</w:t>
            </w:r>
          </w:p>
        </w:tc>
      </w:tr>
      <w:tr>
        <w:tc>
          <w:tcPr>
            <w:tcW w:type="dxa" w:w="20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job_title / job_category / skills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broad_category、is_it_data_role</w:t>
            </w:r>
          </w:p>
        </w:tc>
        <w:tc>
          <w:tcPr>
            <w:tcW w:type="dxa" w:w="396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按固定关键词映射岗位宽类及技术数据岗位标记</w:t>
            </w:r>
          </w:p>
        </w:tc>
      </w:tr>
    </w:tbl>
    <w:p>
      <w:pPr>
        <w:spacing w:after="20"/>
      </w:pPr>
    </w:p>
    <w:p>
      <w:pPr>
        <w:pStyle w:val="Heading1"/>
      </w:pPr>
      <w:r>
        <w:t>六 薪资与经验解析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薪资解析识别如 USD 100-150 hourly、USD 120000 annually、up to 或 from 等表达，并输出币种、周期、最小值、最大值和均值。共 5,185 条岗位薪资可解析，6,815 条为缺失；不同币种不使用外部汇率换算，不直接进行跨币种金额比较。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薪资周期</w:t>
            </w:r>
          </w:p>
        </w:tc>
        <w:tc>
          <w:tcPr>
            <w:tcW w:type="dxa" w:w="230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年薪化系数</w:t>
            </w:r>
          </w:p>
        </w:tc>
        <w:tc>
          <w:tcPr>
            <w:tcW w:type="dxa" w:w="504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annual</w:t>
            </w:r>
          </w:p>
        </w:tc>
        <w:tc>
          <w:tcPr>
            <w:tcW w:type="dxa" w:w="230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×1</w:t>
            </w:r>
          </w:p>
        </w:tc>
        <w:tc>
          <w:tcPr>
            <w:tcW w:type="dxa" w:w="50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保留年薪值</w:t>
            </w:r>
          </w:p>
        </w:tc>
      </w:tr>
      <w:tr>
        <w:tc>
          <w:tcPr>
            <w:tcW w:type="dxa" w:w="20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monthly</w:t>
            </w:r>
          </w:p>
        </w:tc>
        <w:tc>
          <w:tcPr>
            <w:tcW w:type="dxa" w:w="230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×12</w:t>
            </w:r>
          </w:p>
        </w:tc>
        <w:tc>
          <w:tcPr>
            <w:tcW w:type="dxa" w:w="50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用于同币种年度统计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weekly</w:t>
            </w:r>
          </w:p>
        </w:tc>
        <w:tc>
          <w:tcPr>
            <w:tcW w:type="dxa" w:w="230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×52</w:t>
            </w:r>
          </w:p>
        </w:tc>
        <w:tc>
          <w:tcPr>
            <w:tcW w:type="dxa" w:w="50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用于同币种年度统计</w:t>
            </w:r>
          </w:p>
        </w:tc>
      </w:tr>
      <w:tr>
        <w:tc>
          <w:tcPr>
            <w:tcW w:type="dxa" w:w="20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daily</w:t>
            </w:r>
          </w:p>
        </w:tc>
        <w:tc>
          <w:tcPr>
            <w:tcW w:type="dxa" w:w="230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×260</w:t>
            </w:r>
          </w:p>
        </w:tc>
        <w:tc>
          <w:tcPr>
            <w:tcW w:type="dxa" w:w="50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按固定工作日假设年薪化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hourly</w:t>
            </w:r>
          </w:p>
        </w:tc>
        <w:tc>
          <w:tcPr>
            <w:tcW w:type="dxa" w:w="230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×2080</w:t>
            </w:r>
          </w:p>
        </w:tc>
        <w:tc>
          <w:tcPr>
            <w:tcW w:type="dxa" w:w="50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按固定工时假设年薪化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经验字段不把来源职级误说成雇主给出的精确年限。当前使用可复现的分析代理：Entry-level 映射为 0-2 年，Mid-level 为 2-5 年，Senior 为 5-10 年，Manager 为 5-12 年，Director 为 8-15 年，Executive 为 10-20 年。所有 12,000 条来源职级均可完成映射。</w:t>
      </w:r>
    </w:p>
    <w:p>
      <w:pPr>
        <w:pStyle w:val="Heading1"/>
      </w:pPr>
      <w:r>
        <w:t>七 异常值处理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异常值采取“标记优先、保留原值”的策略，而不是直接删除记录。年薪化薪资低于 5,000、高于 1,000,000，或金额上下限倒置时，salary_outlier 标记为真。这样既避免极端值影响汇总统计，也保留原始岗位以便复核。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异常规则</w:t>
            </w:r>
          </w:p>
        </w:tc>
        <w:tc>
          <w:tcPr>
            <w:tcW w:type="dxa" w:w="2376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处理结果</w:t>
            </w:r>
          </w:p>
        </w:tc>
        <w:tc>
          <w:tcPr>
            <w:tcW w:type="dxa" w:w="403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后续使用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年薪化 &lt; 5,000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标记为异常</w:t>
            </w:r>
          </w:p>
        </w:tc>
        <w:tc>
          <w:tcPr>
            <w:tcW w:type="dxa" w:w="40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不参与稳健 USD 薪资统计</w:t>
            </w:r>
          </w:p>
        </w:tc>
      </w:tr>
      <w:tr>
        <w:tc>
          <w:tcPr>
            <w:tcW w:type="dxa" w:w="30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年薪化 &gt; 1,000,000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标记为异常</w:t>
            </w:r>
          </w:p>
        </w:tc>
        <w:tc>
          <w:tcPr>
            <w:tcW w:type="dxa" w:w="40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不参与稳健 USD 薪资统计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薪资上下限倒置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标记为异常</w:t>
            </w:r>
          </w:p>
        </w:tc>
        <w:tc>
          <w:tcPr>
            <w:tcW w:type="dxa" w:w="40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保留原始薪资文本以便核验</w:t>
            </w:r>
          </w:p>
        </w:tc>
      </w:tr>
      <w:tr>
        <w:tc>
          <w:tcPr>
            <w:tcW w:type="dxa" w:w="302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异常薪资总数</w:t>
            </w:r>
          </w:p>
        </w:tc>
        <w:tc>
          <w:tcPr>
            <w:tcW w:type="dxa" w:w="2376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31 条</w:t>
            </w:r>
          </w:p>
        </w:tc>
        <w:tc>
          <w:tcPr>
            <w:tcW w:type="dxa" w:w="403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未删除，仅通过 salary_outlier 追踪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USD 稳健分析</w:t>
            </w:r>
          </w:p>
        </w:tc>
        <w:tc>
          <w:tcPr>
            <w:tcW w:type="dxa" w:w="2376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P1/P99 缩尾</w:t>
            </w:r>
          </w:p>
        </w:tc>
        <w:tc>
          <w:tcPr>
            <w:tcW w:type="dxa" w:w="403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边界为 12,480.00 / 314,850.00 USD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八 文本清洗、jieba 分词与技能归一化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岗位描述用于可视化、质量特征和后续 TF-IDF 建模。为避免 HTML、链接和排版符号干扰统计，清洗过程首先统一大小写与空白、移除 URL 和大部分无业务意义标点，同时保留 Python、C++、.NET 等技能符号。之后调用 jieba 对中英文混合文本进行分词，英文词、数字和技能符号仍可检索，并过滤基础停用词。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504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实现</w:t>
            </w:r>
          </w:p>
        </w:tc>
        <w:tc>
          <w:tcPr>
            <w:tcW w:type="dxa" w:w="244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8"/>
              </w:rPr>
              <w:t>输出字段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文本规范化</w:t>
            </w:r>
          </w:p>
        </w:tc>
        <w:tc>
          <w:tcPr>
            <w:tcW w:type="dxa" w:w="50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统一空白和大小写</w:t>
            </w:r>
          </w:p>
        </w:tc>
        <w:tc>
          <w:tcPr>
            <w:tcW w:type="dxa" w:w="24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description_clean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URL 与标点清理</w:t>
            </w:r>
          </w:p>
        </w:tc>
        <w:tc>
          <w:tcPr>
            <w:tcW w:type="dxa" w:w="50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移除链接和无业务意义符号，保留技能符号</w:t>
            </w:r>
          </w:p>
        </w:tc>
        <w:tc>
          <w:tcPr>
            <w:tcW w:type="dxa" w:w="24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description_clean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jieba 分词</w:t>
            </w:r>
          </w:p>
        </w:tc>
        <w:tc>
          <w:tcPr>
            <w:tcW w:type="dxa" w:w="50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对混合语言文本执行精确模式切分</w:t>
            </w:r>
          </w:p>
        </w:tc>
        <w:tc>
          <w:tcPr>
            <w:tcW w:type="dxa" w:w="24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description_tokens</w:t>
            </w:r>
          </w:p>
        </w:tc>
      </w:tr>
      <w:tr>
        <w:tc>
          <w:tcPr>
            <w:tcW w:type="dxa" w:w="194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停用词过滤</w:t>
            </w:r>
          </w:p>
        </w:tc>
        <w:tc>
          <w:tcPr>
            <w:tcW w:type="dxa" w:w="504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过滤 the、and、with 等基础词</w:t>
            </w:r>
          </w:p>
        </w:tc>
        <w:tc>
          <w:tcPr>
            <w:tcW w:type="dxa" w:w="24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description_tokens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技能归一化</w:t>
            </w:r>
          </w:p>
        </w:tc>
        <w:tc>
          <w:tcPr>
            <w:tcW w:type="dxa" w:w="504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拆分、去重、统一小写与连字符表达</w:t>
            </w:r>
          </w:p>
        </w:tc>
        <w:tc>
          <w:tcPr>
            <w:tcW w:type="dxa" w:w="24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8"/>
              </w:rPr>
              <w:t>skills_normalized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技能归一化的目标是减少同一技能因大小写、连字符或格式不同被拆分。例如岗位标签会被统一为可比较的规范形式，并以 skills_normalized 保存；skill_count 记录规范化后的唯一技能数量。平台技能标签可能包含角色词和职能词，因此后续人岗匹配会将技能标签与岗位描述联合使用，而不会把所有标签机械视为候选人技能。</w:t>
      </w:r>
    </w:p>
    <w:p>
      <w:pPr>
        <w:pStyle w:val="Heading1"/>
      </w:pPr>
      <w:r>
        <w:t>九 特征工程与输出数据集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特征类别</w:t>
            </w:r>
          </w:p>
        </w:tc>
        <w:tc>
          <w:tcPr>
            <w:tcW w:type="dxa" w:w="424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派生字段</w:t>
            </w:r>
          </w:p>
        </w:tc>
        <w:tc>
          <w:tcPr>
            <w:tcW w:type="dxa" w:w="3384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7"/>
              </w:rPr>
              <w:t>业务用途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薪资特征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salary_*、salary_outlier、salary_avg_usd_annual_winsorized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薪资透明度、异常识别与同币种统计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经验特征</w:t>
            </w:r>
          </w:p>
        </w:tc>
        <w:tc>
          <w:tcPr>
            <w:tcW w:type="dxa" w:w="42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experience_level_primary、experience_year_min/max、is_fresh_graduate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职级结构分析和匹配代理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文本特征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description_length、description_word_count、description_structure_count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岗位描述完整性和模型输入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技能特征</w:t>
            </w:r>
          </w:p>
        </w:tc>
        <w:tc>
          <w:tcPr>
            <w:tcW w:type="dxa" w:w="42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skills_normalized、skill_count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技能频次、匹配和聚类基础特征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地点与时间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location_restriction_count、publish_age_days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地区可申请性和岗位时效分析</w:t>
            </w:r>
          </w:p>
        </w:tc>
      </w:tr>
      <w:tr>
        <w:tc>
          <w:tcPr>
            <w:tcW w:type="dxa" w:w="1800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类别特征</w:t>
            </w:r>
          </w:p>
        </w:tc>
        <w:tc>
          <w:tcPr>
            <w:tcW w:type="dxa" w:w="424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broad_category、is_it_data_role</w:t>
            </w:r>
          </w:p>
        </w:tc>
        <w:tc>
          <w:tcPr>
            <w:tcW w:type="dxa" w:w="3384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分层分析和岗位类别建模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信息质量特征</w:t>
            </w:r>
          </w:p>
        </w:tc>
        <w:tc>
          <w:tcPr>
            <w:tcW w:type="dxa" w:w="424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quality_score、quality_label、quality_level</w:t>
            </w:r>
          </w:p>
        </w:tc>
        <w:tc>
          <w:tcPr>
            <w:tcW w:type="dxa" w:w="3384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7"/>
              </w:rPr>
              <w:t>作为可复现的信息透明度代理标签</w:t>
            </w:r>
          </w:p>
        </w:tc>
      </w:tr>
    </w:tbl>
    <w:p>
      <w:pPr>
        <w:spacing w:after="20"/>
      </w:pP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信息质量相关字段是特征工程的一部分：quality_score 满分 100，综合追溯字段、核心字段、地点限制、描述完整性、薪资透明度、技能清晰度、职级、时效性和类别等信息。quality_score &gt;= 80 时标记为高信息质量。该标签仅衡量招聘信息透明度与完整度，不代表企业信誉、真实工作体验、薪酬竞争力或录用概率。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6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输出位置</w:t>
            </w:r>
          </w:p>
        </w:tc>
        <w:tc>
          <w:tcPr>
            <w:tcW w:type="dxa" w:w="3888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1872"/>
            <w:shd w:fill="17324D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data/processed/jobs_merged_deduplicated.jsonl</w:t>
            </w:r>
          </w:p>
        </w:tc>
        <w:tc>
          <w:tcPr>
            <w:tcW w:type="dxa" w:w="38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合并去重后的岗位记录</w:t>
            </w:r>
          </w:p>
        </w:tc>
        <w:tc>
          <w:tcPr>
            <w:tcW w:type="dxa" w:w="18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保留原始字段与来源定位字段</w:t>
            </w:r>
          </w:p>
        </w:tc>
      </w:tr>
      <w:tr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data/processed/jobs_cleaned.jsonl</w:t>
            </w:r>
          </w:p>
        </w:tc>
        <w:tc>
          <w:tcPr>
            <w:tcW w:type="dxa" w:w="38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清洗和特征工程后的全量数据</w:t>
            </w:r>
          </w:p>
        </w:tc>
        <w:tc>
          <w:tcPr>
            <w:tcW w:type="dxa" w:w="18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文本与结构化分析</w:t>
            </w:r>
          </w:p>
        </w:tc>
      </w:tr>
      <w:tr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data/processed/jobs_cleaned.parquet</w:t>
            </w:r>
          </w:p>
        </w:tc>
        <w:tc>
          <w:tcPr>
            <w:tcW w:type="dxa" w:w="38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同一清洗结果的列式存储</w:t>
            </w:r>
          </w:p>
        </w:tc>
        <w:tc>
          <w:tcPr>
            <w:tcW w:type="dxa" w:w="18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建模与高效读取</w:t>
            </w:r>
          </w:p>
        </w:tc>
      </w:tr>
      <w:tr>
        <w:tc>
          <w:tcPr>
            <w:tcW w:type="dxa" w:w="36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data/processed/duplicate_records.jsonl</w:t>
            </w:r>
          </w:p>
        </w:tc>
        <w:tc>
          <w:tcPr>
            <w:tcW w:type="dxa" w:w="3888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重复记录明细</w:t>
            </w:r>
          </w:p>
        </w:tc>
        <w:tc>
          <w:tcPr>
            <w:tcW w:type="dxa" w:w="1872"/>
            <w:shd w:fill="EEF3F6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审计与复核</w:t>
            </w:r>
          </w:p>
        </w:tc>
      </w:tr>
      <w:tr>
        <w:tc>
          <w:tcPr>
            <w:tcW w:type="dxa" w:w="36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reports/data_quality_report.md / .json</w:t>
            </w:r>
          </w:p>
        </w:tc>
        <w:tc>
          <w:tcPr>
            <w:tcW w:type="dxa" w:w="3888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处理统计与质量审计</w:t>
            </w:r>
          </w:p>
        </w:tc>
        <w:tc>
          <w:tcPr>
            <w:tcW w:type="dxa" w:w="1872"/>
            <w:shd w:fill="FFFFFF"/>
            <w:tcBorders>
              <w:top w:val="single" w:sz="6" w:space="0" w:color="D9E0E5"/>
              <w:left w:val="single" w:sz="6" w:space="0" w:color="D9E0E5"/>
              <w:bottom w:val="single" w:sz="6" w:space="0" w:color="D9E0E5"/>
              <w:right w:val="single" w:sz="6" w:space="0" w:color="D9E0E5"/>
              <w:insideH w:val="single" w:sz="6" w:space="0" w:color="D9E0E5"/>
              <w:insideV w:val="single" w:sz="6" w:space="0" w:color="D9E0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 w:eastAsia="Arial Unicode MS"/>
                <w:b w:val="0"/>
                <w:i w:val="0"/>
                <w:color w:val="17202A"/>
                <w:sz w:val="16"/>
              </w:rPr>
              <w:t>课程检查与可追溯说明</w:t>
            </w:r>
          </w:p>
        </w:tc>
      </w:tr>
    </w:tbl>
    <w:p>
      <w:pPr>
        <w:spacing w:after="20"/>
      </w:pPr>
    </w:p>
    <w:p>
      <w:pPr>
        <w:pStyle w:val="Heading1"/>
      </w:pPr>
      <w:r>
        <w:t>十 质量验收、局限与复现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验收通过：所有清洗记录 city=Remote，保持全球远程岗位的来源语义。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验收通过：source_url、crawl_time、data_origin 三个追溯字段全部完整。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验收通过：有效记录数为 12,000 条，满足课程数据量不少于 10,000 条的要求。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局限：薪资年薪化使用固定工时假设，未包含奖金、股权、税制和实际工时差异；因此仅用于同币种的统计比较。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局限：经验年限来自平台职级映射，是分析代理，不等同于岗位发布者明确写出的年限要求。</w:t>
      </w:r>
    </w:p>
    <w:p>
      <w:pPr>
        <w:pStyle w:val="ListBullet"/>
        <w:spacing w:after="60"/>
      </w:pPr>
      <w:r>
        <w:rPr>
          <w:rFonts w:ascii="Aptos" w:hAnsi="Aptos" w:eastAsia="Arial Unicode MS"/>
          <w:b w:val="0"/>
          <w:i w:val="0"/>
          <w:color w:val="17202A"/>
          <w:sz w:val="20"/>
        </w:rPr>
        <w:t>局限：来源未提供的学历、行业、公司规模等字段不做虚构填充，后续如需相关分析应补充合法的数据来源。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复现命令：</w:t>
      </w:r>
    </w:p>
    <w:p>
      <w:r>
        <w:rPr>
          <w:rFonts w:ascii="Consolas" w:hAnsi="Consolas" w:eastAsia="Arial Unicode MS"/>
          <w:b w:val="0"/>
          <w:i w:val="0"/>
          <w:color w:val="17324D"/>
          <w:sz w:val="18"/>
        </w:rPr>
        <w:t>PYTHONPATH=src .venv/bin/python -m job_analysis.cleaning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该命令从授权的日期分页文件读取数据，生成正式清洗数据和质量报告；样本验证命令使用 --sample-size 200，仅输出到 data/processed/sample_validation/，不覆盖正式处理结果。</w:t>
      </w:r>
    </w:p>
    <w:p>
      <w:r>
        <w:rPr>
          <w:rFonts w:ascii="Aptos" w:hAnsi="Aptos" w:eastAsia="Arial Unicode MS"/>
          <w:b w:val="0"/>
          <w:i w:val="0"/>
          <w:color w:val="17202A"/>
          <w:sz w:val="21"/>
        </w:rPr>
        <w:t>交付总结：本文件完整说明了数据清洗与特征工程的处理范围、缺失值策略、去重规则、薪资与经验解析、异常值处理、文本清洗、jieba 分词、数值特征构造、输出数据集和质量验收，满足课程《数据预处理文档》的要求。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rial Unicode MS"/>
        <w:b w:val="0"/>
        <w:i w:val="0"/>
        <w:color w:val="52606D"/>
        <w:sz w:val="16"/>
      </w:rPr>
      <w:t>行业大数据实践  |  课程项目交付材料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rial Unicode MS"/>
        <w:b w:val="0"/>
        <w:i w:val="0"/>
        <w:color w:val="52606D"/>
        <w:sz w:val="17"/>
      </w:rPr>
      <w:t>数据预处理文档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rial Unicode M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rial Unicode MS"/>
      <w:b/>
      <w:bCs/>
      <w:color w:val="5260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