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48F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</w:rPr>
      </w:pPr>
      <w:r w:rsidRPr="4F7662C7">
        <w:rPr>
          <w:rFonts w:asciiTheme="majorBidi" w:hAnsiTheme="majorBidi" w:cstheme="majorBidi"/>
          <w:b/>
          <w:bCs/>
          <w:color w:val="00B0F0"/>
        </w:rPr>
        <w:t xml:space="preserve">SUBJECT TERMS: FINAL COMMITTEE DRAFT </w:t>
      </w:r>
    </w:p>
    <w:p w14:paraId="6C5CF216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44C02556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Agriculture and Food</w:t>
      </w:r>
    </w:p>
    <w:p w14:paraId="1A652B16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3632B27A" w14:textId="29793F5E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308A30A0">
        <w:rPr>
          <w:rFonts w:asciiTheme="majorBidi" w:hAnsiTheme="majorBidi" w:cstheme="majorBidi"/>
          <w:color w:val="00B0F0"/>
        </w:rPr>
        <w:t>Agricultural marketing</w:t>
      </w:r>
      <w:r w:rsidR="003115E0">
        <w:br/>
      </w:r>
      <w:r w:rsidRPr="308A30A0">
        <w:rPr>
          <w:rFonts w:asciiTheme="majorBidi" w:hAnsiTheme="majorBidi" w:cstheme="majorBidi"/>
          <w:color w:val="00B0F0"/>
        </w:rPr>
        <w:t>Agricul</w:t>
      </w:r>
      <w:r w:rsidR="15B6303F" w:rsidRPr="308A30A0">
        <w:rPr>
          <w:rFonts w:asciiTheme="majorBidi" w:hAnsiTheme="majorBidi" w:cstheme="majorBidi"/>
          <w:color w:val="00B0F0"/>
        </w:rPr>
        <w:t>t</w:t>
      </w:r>
      <w:r w:rsidRPr="308A30A0">
        <w:rPr>
          <w:rFonts w:asciiTheme="majorBidi" w:hAnsiTheme="majorBidi" w:cstheme="majorBidi"/>
          <w:color w:val="00B0F0"/>
        </w:rPr>
        <w:t xml:space="preserve">ural practices </w:t>
      </w:r>
      <w:r w:rsidR="003115E0">
        <w:br/>
      </w:r>
      <w:r w:rsidRPr="308A30A0">
        <w:rPr>
          <w:rFonts w:asciiTheme="majorBidi" w:hAnsiTheme="majorBidi" w:cstheme="majorBidi"/>
          <w:color w:val="00B0F0"/>
        </w:rPr>
        <w:t>Agricultural research</w:t>
      </w:r>
    </w:p>
    <w:p w14:paraId="51F5B0BC" w14:textId="228C98B3" w:rsidR="003115E0" w:rsidRPr="002E1B6B" w:rsidRDefault="032BA971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308A30A0">
        <w:rPr>
          <w:rFonts w:asciiTheme="majorBidi" w:hAnsiTheme="majorBidi" w:cstheme="majorBidi"/>
          <w:color w:val="00B0F0"/>
        </w:rPr>
        <w:t>Agricultural subsidies</w:t>
      </w:r>
      <w:r w:rsidR="003115E0">
        <w:br/>
      </w:r>
      <w:r w:rsidRPr="308A30A0">
        <w:rPr>
          <w:rFonts w:asciiTheme="majorBidi" w:hAnsiTheme="majorBidi" w:cstheme="majorBidi"/>
          <w:color w:val="00B0F0"/>
        </w:rPr>
        <w:t>Alcoholic beverages</w:t>
      </w:r>
      <w:r w:rsidR="003115E0">
        <w:br/>
      </w:r>
      <w:r w:rsidRPr="308A30A0">
        <w:rPr>
          <w:rFonts w:asciiTheme="majorBidi" w:hAnsiTheme="majorBidi" w:cstheme="majorBidi"/>
          <w:color w:val="00B0F0"/>
        </w:rPr>
        <w:t>Aquaculture</w:t>
      </w:r>
      <w:r w:rsidR="003115E0">
        <w:br/>
      </w:r>
      <w:r w:rsidRPr="308A30A0">
        <w:rPr>
          <w:rFonts w:asciiTheme="majorBidi" w:hAnsiTheme="majorBidi" w:cstheme="majorBidi"/>
          <w:color w:val="00B0F0"/>
        </w:rPr>
        <w:t>Farmland</w:t>
      </w:r>
      <w:r w:rsidR="003115E0">
        <w:br/>
      </w:r>
      <w:r w:rsidRPr="308A30A0">
        <w:rPr>
          <w:rFonts w:asciiTheme="majorBidi" w:hAnsiTheme="majorBidi" w:cstheme="majorBidi"/>
          <w:color w:val="00B0F0"/>
        </w:rPr>
        <w:t xml:space="preserve">Food assistance </w:t>
      </w:r>
      <w:r w:rsidR="003115E0">
        <w:br/>
      </w:r>
      <w:r w:rsidRPr="308A30A0">
        <w:rPr>
          <w:rFonts w:asciiTheme="majorBidi" w:hAnsiTheme="majorBidi" w:cstheme="majorBidi"/>
          <w:color w:val="00B0F0"/>
        </w:rPr>
        <w:t xml:space="preserve">Food industry </w:t>
      </w:r>
    </w:p>
    <w:p w14:paraId="598A01E6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Food labeling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Food safety</w:t>
      </w:r>
    </w:p>
    <w:p w14:paraId="1E77BA16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Genetically modified organisms (G.M.O.)</w:t>
      </w:r>
    </w:p>
    <w:p w14:paraId="722A963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Livestock</w:t>
      </w:r>
    </w:p>
    <w:p w14:paraId="66D0921E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6A826B47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Animals </w:t>
      </w:r>
    </w:p>
    <w:p w14:paraId="285A6F97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3077C3CE" w14:textId="77777777" w:rsidR="003115E0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Animal diseases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Animal protection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Service animals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Veterinary medicine</w:t>
      </w:r>
    </w:p>
    <w:p w14:paraId="7D9F8867" w14:textId="77777777" w:rsidR="00C71865" w:rsidRPr="00BD162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Wildlife {scope note: includes tracking, trafficking, poaching, and refuges}</w:t>
      </w:r>
    </w:p>
    <w:p w14:paraId="6C40DE10" w14:textId="77777777" w:rsidR="003115E0" w:rsidRPr="002E1B6B" w:rsidRDefault="003115E0" w:rsidP="4F7662C7">
      <w:pPr>
        <w:rPr>
          <w:rFonts w:asciiTheme="majorBidi" w:hAnsiTheme="majorBidi" w:cstheme="majorBidi"/>
          <w:b/>
          <w:bCs/>
          <w:color w:val="00B0F0"/>
          <w:sz w:val="24"/>
          <w:szCs w:val="24"/>
          <w:u w:val="single"/>
        </w:rPr>
      </w:pPr>
    </w:p>
    <w:p w14:paraId="0F93F564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Arts and Culture </w:t>
      </w:r>
      <w:r w:rsidRPr="4F7662C7">
        <w:rPr>
          <w:rFonts w:asciiTheme="majorBidi" w:hAnsiTheme="majorBidi" w:cstheme="majorBidi"/>
          <w:i/>
          <w:iCs/>
          <w:color w:val="00B0F0"/>
        </w:rPr>
        <w:t>{scope note: See “Intellectual Property” for copyright-related matters.}</w:t>
      </w:r>
    </w:p>
    <w:p w14:paraId="3A39AE42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i/>
          <w:iCs/>
          <w:color w:val="00B0F0"/>
          <w:u w:val="single"/>
        </w:rPr>
      </w:pPr>
    </w:p>
    <w:p w14:paraId="51DEE4E7" w14:textId="77777777" w:rsidR="00F22CCF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Archives</w:t>
      </w:r>
    </w:p>
    <w:p w14:paraId="6F006455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Attire</w:t>
      </w:r>
      <w:r w:rsidR="00F22CCF">
        <w:br/>
      </w:r>
      <w:r w:rsidRPr="4F7662C7">
        <w:rPr>
          <w:rFonts w:asciiTheme="majorBidi" w:hAnsiTheme="majorBidi" w:cstheme="majorBidi"/>
          <w:color w:val="00B0F0"/>
        </w:rPr>
        <w:t>Cultural heritage</w:t>
      </w:r>
    </w:p>
    <w:p w14:paraId="7D15F8BA" w14:textId="77777777" w:rsidR="003115E0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Libraries</w:t>
      </w:r>
    </w:p>
    <w:p w14:paraId="4EF3EE7B" w14:textId="77777777" w:rsidR="00474E10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Museums</w:t>
      </w:r>
    </w:p>
    <w:p w14:paraId="7F10C8B6" w14:textId="77777777" w:rsidR="006173DC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Religious buildings</w:t>
      </w:r>
    </w:p>
    <w:p w14:paraId="41F0DAC3" w14:textId="77777777" w:rsidR="00016B66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Statues and monuments</w:t>
      </w:r>
    </w:p>
    <w:p w14:paraId="5005535D" w14:textId="77777777" w:rsidR="007F4422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Television and film</w:t>
      </w:r>
    </w:p>
    <w:p w14:paraId="775BFF88" w14:textId="77777777" w:rsidR="00553CED" w:rsidRPr="002E1B6B" w:rsidRDefault="00553CED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1F670210" w14:textId="77777777" w:rsidR="0042633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Commerce</w:t>
      </w:r>
      <w:r w:rsidRPr="4F7662C7">
        <w:rPr>
          <w:rFonts w:asciiTheme="majorBidi" w:hAnsiTheme="majorBidi" w:cstheme="majorBidi"/>
          <w:i/>
          <w:iCs/>
          <w:color w:val="00B0F0"/>
        </w:rPr>
        <w:t xml:space="preserve"> {scope note: Includes e-commerce; See also “Foreign Trade and International Finance.”}</w:t>
      </w:r>
    </w:p>
    <w:p w14:paraId="4DC6EAD1" w14:textId="77777777" w:rsidR="0042633B" w:rsidRDefault="0042633B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</w:p>
    <w:p w14:paraId="632B26F2" w14:textId="77777777" w:rsidR="003115E0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Building construction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Business ethics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Business investment and capital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lastRenderedPageBreak/>
        <w:t>Competition, antitrust, and monopolies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Consumer protection</w:t>
      </w:r>
    </w:p>
    <w:p w14:paraId="0981F5A6" w14:textId="77777777" w:rsidR="00FC715C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Cryptocurrency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all forms of cybercurrency such as Bitcoin}</w:t>
      </w:r>
    </w:p>
    <w:p w14:paraId="59B98BB6" w14:textId="77777777" w:rsidR="004C4F52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Industrial facilities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Manufacturing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Marketing and advertising</w:t>
      </w:r>
    </w:p>
    <w:p w14:paraId="3E31BDF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Minority and disadvantaged businesses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Product development and innovation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Real estate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Small business</w:t>
      </w:r>
    </w:p>
    <w:p w14:paraId="1551F923" w14:textId="77777777" w:rsidR="003115E0" w:rsidRPr="002E1B6B" w:rsidRDefault="4F7662C7" w:rsidP="4F7662C7">
      <w:pPr>
        <w:pStyle w:val="NormalWeb"/>
        <w:spacing w:before="0" w:beforeAutospacing="0" w:after="0" w:afterAutospacing="0"/>
        <w:ind w:left="720" w:hanging="72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oxim</w:t>
      </w:r>
      <w:r w:rsidR="009C6E05">
        <w:br/>
      </w:r>
      <w:r w:rsidRPr="4F7662C7">
        <w:rPr>
          <w:rFonts w:asciiTheme="majorBidi" w:hAnsiTheme="majorBidi" w:cstheme="majorBidi"/>
          <w:color w:val="00B0F0"/>
        </w:rPr>
        <w:t xml:space="preserve">Women in business  </w:t>
      </w:r>
    </w:p>
    <w:p w14:paraId="04CF7AFA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  <w:highlight w:val="yellow"/>
        </w:rPr>
      </w:pPr>
    </w:p>
    <w:p w14:paraId="26AD7255" w14:textId="77777777" w:rsidR="003115E0" w:rsidRPr="00245EB7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Communications</w:t>
      </w:r>
      <w:r w:rsidRPr="4F7662C7">
        <w:rPr>
          <w:rFonts w:asciiTheme="majorBidi" w:hAnsiTheme="majorBidi" w:cstheme="majorBidi"/>
          <w:color w:val="00B0F0"/>
        </w:rPr>
        <w:t xml:space="preserve"> {</w:t>
      </w:r>
      <w:r w:rsidRPr="4F7662C7">
        <w:rPr>
          <w:rFonts w:asciiTheme="majorBidi" w:hAnsiTheme="majorBidi" w:cstheme="majorBidi"/>
          <w:i/>
          <w:iCs/>
          <w:color w:val="00B0F0"/>
        </w:rPr>
        <w:t>scope note: includes telecommunications}</w:t>
      </w:r>
    </w:p>
    <w:p w14:paraId="6707F27B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  <w:u w:val="single"/>
        </w:rPr>
      </w:pPr>
    </w:p>
    <w:p w14:paraId="36EE3D17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Broadcasting</w:t>
      </w:r>
    </w:p>
    <w:p w14:paraId="6CAA5E1D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  <w:u w:val="single"/>
        </w:rPr>
      </w:pPr>
      <w:r w:rsidRPr="4F7662C7">
        <w:rPr>
          <w:rFonts w:asciiTheme="majorBidi" w:hAnsiTheme="majorBidi" w:cstheme="majorBidi"/>
          <w:color w:val="00B0F0"/>
        </w:rPr>
        <w:t>Cell phones</w:t>
      </w:r>
    </w:p>
    <w:p w14:paraId="5EE978AB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Internet</w:t>
      </w:r>
    </w:p>
    <w:p w14:paraId="3DC714F5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News media and reporting</w:t>
      </w:r>
    </w:p>
    <w:p w14:paraId="197BD6DE" w14:textId="77777777" w:rsidR="003115E0" w:rsidRPr="002E1B6B" w:rsidRDefault="4F7662C7" w:rsidP="4F7662C7">
      <w:pPr>
        <w:pStyle w:val="subheaderblack"/>
        <w:tabs>
          <w:tab w:val="left" w:pos="1665"/>
        </w:tabs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Social media</w:t>
      </w:r>
    </w:p>
    <w:p w14:paraId="3EEED0A6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  <w:u w:val="single"/>
        </w:rPr>
      </w:pPr>
      <w:r w:rsidRPr="4F7662C7">
        <w:rPr>
          <w:rFonts w:asciiTheme="majorBidi" w:hAnsiTheme="majorBidi" w:cstheme="majorBidi"/>
          <w:color w:val="00B0F0"/>
        </w:rPr>
        <w:t>Television and Film</w:t>
      </w:r>
    </w:p>
    <w:p w14:paraId="6AC74D83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7AF5994A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Corporations and Associations</w:t>
      </w:r>
    </w:p>
    <w:p w14:paraId="3B06B214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0AEA8F65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Limited liability companies (L.L.C.)</w:t>
      </w:r>
    </w:p>
    <w:p w14:paraId="638BDF45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Nongovernmental organizations (N.G.O.)</w:t>
      </w:r>
    </w:p>
    <w:p w14:paraId="08014225" w14:textId="77777777" w:rsidR="003115E0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Nonprofit corporations</w:t>
      </w:r>
    </w:p>
    <w:p w14:paraId="33534462" w14:textId="77777777" w:rsidR="00FB4527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Partnerships</w:t>
      </w:r>
    </w:p>
    <w:p w14:paraId="1C732D42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099C05A9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Crime and Law Enforcement</w:t>
      </w:r>
      <w:r w:rsidRPr="4F7662C7">
        <w:rPr>
          <w:rFonts w:asciiTheme="majorBidi" w:hAnsiTheme="majorBidi" w:cstheme="majorBidi"/>
          <w:b/>
          <w:bCs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{scope note: Refers to domestic laws; use “International Affairs” for international crime terms.}</w:t>
      </w:r>
    </w:p>
    <w:p w14:paraId="4191DF37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142D0B03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Assault and battery</w:t>
      </w:r>
    </w:p>
    <w:p w14:paraId="1F0C374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Blasphemy</w:t>
      </w:r>
    </w:p>
    <w:p w14:paraId="32B05ED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Bribery</w:t>
      </w:r>
    </w:p>
    <w:p w14:paraId="3332B6EB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Capital punishment</w:t>
      </w:r>
    </w:p>
    <w:p w14:paraId="3BA02F4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Conspiracy</w:t>
      </w:r>
    </w:p>
    <w:p w14:paraId="0B42DC2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Controlled substances</w:t>
      </w:r>
    </w:p>
    <w:p w14:paraId="1F04E62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Correctional facilities and imprisonment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Corruption</w:t>
      </w:r>
    </w:p>
    <w:p w14:paraId="19FEA7DC" w14:textId="77777777" w:rsidR="00FB4527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Crime prevention</w:t>
      </w:r>
      <w:r w:rsidR="00FB4527">
        <w:br/>
      </w:r>
      <w:r w:rsidRPr="4F7662C7">
        <w:rPr>
          <w:rFonts w:asciiTheme="majorBidi" w:hAnsiTheme="majorBidi" w:cstheme="majorBidi"/>
          <w:color w:val="00B0F0"/>
        </w:rPr>
        <w:t xml:space="preserve">Crime victims </w:t>
      </w:r>
    </w:p>
    <w:p w14:paraId="597A6B2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Crimes against children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Crimes against property</w:t>
      </w:r>
    </w:p>
    <w:p w14:paraId="486D94E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lastRenderedPageBreak/>
        <w:t>Crimes against the state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Crimes against women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Criminal procedure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Cybercrime</w:t>
      </w:r>
    </w:p>
    <w:p w14:paraId="2EF644A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Domestic violence</w:t>
      </w:r>
    </w:p>
    <w:p w14:paraId="38B563C2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Driving while intoxicated</w:t>
      </w:r>
    </w:p>
    <w:p w14:paraId="21C0EB2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Drug trafficking</w:t>
      </w:r>
    </w:p>
    <w:p w14:paraId="010B3E86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Electronic surveillance</w:t>
      </w:r>
    </w:p>
    <w:p w14:paraId="276A42FE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Espionage</w:t>
      </w:r>
    </w:p>
    <w:p w14:paraId="3298D97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Extradition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Foreign judgments</w:t>
      </w:r>
    </w:p>
    <w:p w14:paraId="2CDBDC13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Forfeiture</w:t>
      </w:r>
      <w:r w:rsidR="003115E0">
        <w:br/>
      </w:r>
      <w:bookmarkStart w:id="0" w:name="_Hlk128991685"/>
      <w:r w:rsidRPr="4F7662C7">
        <w:rPr>
          <w:rFonts w:asciiTheme="majorBidi" w:hAnsiTheme="majorBidi" w:cstheme="majorBidi"/>
          <w:color w:val="00B0F0"/>
        </w:rPr>
        <w:t>Fraud and financial crimes</w:t>
      </w:r>
      <w:bookmarkEnd w:id="0"/>
      <w:r w:rsidR="003115E0">
        <w:br/>
      </w:r>
      <w:r w:rsidRPr="4F7662C7">
        <w:rPr>
          <w:rFonts w:asciiTheme="majorBidi" w:hAnsiTheme="majorBidi" w:cstheme="majorBidi"/>
          <w:color w:val="00B0F0"/>
        </w:rPr>
        <w:t>Harassment</w:t>
      </w:r>
    </w:p>
    <w:p w14:paraId="09969052" w14:textId="77777777" w:rsidR="00666F7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Hate crimes</w:t>
      </w:r>
    </w:p>
    <w:p w14:paraId="702B599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Homicide</w:t>
      </w:r>
      <w:r w:rsidR="00666F7B">
        <w:br/>
      </w:r>
      <w:r w:rsidRPr="4F7662C7">
        <w:rPr>
          <w:rFonts w:asciiTheme="majorBidi" w:hAnsiTheme="majorBidi" w:cstheme="majorBidi"/>
          <w:color w:val="00B0F0"/>
        </w:rPr>
        <w:t>Human trafficking</w:t>
      </w:r>
    </w:p>
    <w:p w14:paraId="4A18D61A" w14:textId="77777777" w:rsidR="00FB4527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Juries </w:t>
      </w:r>
    </w:p>
    <w:p w14:paraId="35DA766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Juvenile crime </w:t>
      </w:r>
    </w:p>
    <w:p w14:paraId="18FCB718" w14:textId="77777777" w:rsidR="00A00F0F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Law enforcement officers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Maintenance of public order </w:t>
      </w:r>
    </w:p>
    <w:p w14:paraId="3208C24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Money laundering</w:t>
      </w:r>
    </w:p>
    <w:p w14:paraId="1510E36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Organized crime and gangs</w:t>
      </w:r>
    </w:p>
    <w:p w14:paraId="43EF9059" w14:textId="77777777" w:rsidR="00563AE1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Perjury</w:t>
      </w:r>
    </w:p>
    <w:p w14:paraId="58818231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Piracy</w:t>
      </w:r>
    </w:p>
    <w:p w14:paraId="7B6C862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Probation and parole</w:t>
      </w:r>
    </w:p>
    <w:p w14:paraId="0D63D679" w14:textId="77777777" w:rsidR="002C71D6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Sentencing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Sex offenses</w:t>
      </w:r>
    </w:p>
    <w:p w14:paraId="4A2791E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Slavery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indentured servitude}</w:t>
      </w:r>
      <w:r w:rsidR="002C71D6">
        <w:br/>
      </w:r>
      <w:r w:rsidRPr="4F7662C7">
        <w:rPr>
          <w:rFonts w:asciiTheme="majorBidi" w:hAnsiTheme="majorBidi" w:cstheme="majorBidi"/>
          <w:color w:val="00B0F0"/>
        </w:rPr>
        <w:t>Smuggling</w:t>
      </w:r>
    </w:p>
    <w:p w14:paraId="6B165D95" w14:textId="77777777" w:rsidR="003517F4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Statute of limitations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Terrorism</w:t>
      </w:r>
    </w:p>
    <w:p w14:paraId="5410FC36" w14:textId="77777777" w:rsidR="004C4F52" w:rsidRPr="00BD162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Torture</w:t>
      </w:r>
    </w:p>
    <w:p w14:paraId="2AA890C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Weapons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weapons development, chemical and biological weapons, nuclear weapons, ammunitions, firearms and explosives}</w:t>
      </w:r>
      <w:r w:rsidR="003517F4">
        <w:br/>
      </w:r>
      <w:r w:rsidRPr="4F7662C7">
        <w:rPr>
          <w:rFonts w:asciiTheme="majorBidi" w:hAnsiTheme="majorBidi" w:cstheme="majorBidi"/>
          <w:color w:val="00B0F0"/>
        </w:rPr>
        <w:t>White-collar crime</w:t>
      </w:r>
    </w:p>
    <w:p w14:paraId="1FC761D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Witness protection</w:t>
      </w:r>
    </w:p>
    <w:p w14:paraId="3F002687" w14:textId="77777777" w:rsidR="00FB4527" w:rsidRDefault="00FB452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03D2EB34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Economics and Public Finance</w:t>
      </w:r>
    </w:p>
    <w:p w14:paraId="4D95DB6B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090F743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Appropriations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Budget </w:t>
      </w:r>
    </w:p>
    <w:p w14:paraId="30E90086" w14:textId="77777777" w:rsidR="000C5228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Economic development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Government lending and loan guarantees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lastRenderedPageBreak/>
        <w:t>Government trust funds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Inflation and prices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Monetary policy</w:t>
      </w:r>
    </w:p>
    <w:p w14:paraId="75C5D929" w14:textId="77777777" w:rsidR="00DD2FF4" w:rsidRPr="00C137D2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State and local finance</w:t>
      </w:r>
      <w:r w:rsidR="003115E0">
        <w:br/>
      </w:r>
    </w:p>
    <w:p w14:paraId="4228FAD9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Education </w:t>
      </w:r>
    </w:p>
    <w:p w14:paraId="392C2189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  <w:highlight w:val="yellow"/>
        </w:rPr>
      </w:pPr>
    </w:p>
    <w:p w14:paraId="6D0F624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Adult education and literacy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Charter schools</w:t>
      </w:r>
    </w:p>
    <w:p w14:paraId="023A3203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Compulsory education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Education funding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Elementary and secondary education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Foreign language and bilingual programs</w:t>
      </w:r>
    </w:p>
    <w:p w14:paraId="0D9D461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Gifted and talented programs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Higher education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Preschool education </w:t>
      </w:r>
    </w:p>
    <w:p w14:paraId="65962E7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Private schools</w:t>
      </w:r>
    </w:p>
    <w:p w14:paraId="4D810A0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School administration</w:t>
      </w:r>
    </w:p>
    <w:p w14:paraId="6A6AB25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Special education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Vocational education</w:t>
      </w:r>
    </w:p>
    <w:p w14:paraId="1A48A0DB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Vouchers</w:t>
      </w:r>
    </w:p>
    <w:p w14:paraId="6F4F9E97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5C83E710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Elections and Politics</w:t>
      </w:r>
    </w:p>
    <w:p w14:paraId="4B443358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12728B57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Campaign finance</w:t>
      </w:r>
    </w:p>
    <w:p w14:paraId="4F585050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Political advertising</w:t>
      </w:r>
    </w:p>
    <w:p w14:paraId="0A0DE063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Political parties and affiliations</w:t>
      </w:r>
    </w:p>
    <w:p w14:paraId="5165E8D7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Public participation and lobbying</w:t>
      </w:r>
    </w:p>
    <w:p w14:paraId="4DA266C2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6A4CF478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Emergency Management</w:t>
      </w:r>
    </w:p>
    <w:p w14:paraId="254B9130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5F0DA00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Civil disturbances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Disaster relief </w:t>
      </w:r>
    </w:p>
    <w:p w14:paraId="28BFF75E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Disasters {</w:t>
      </w:r>
      <w:r w:rsidRPr="4F7662C7">
        <w:rPr>
          <w:rFonts w:asciiTheme="majorBidi" w:hAnsiTheme="majorBidi" w:cstheme="majorBidi"/>
          <w:i/>
          <w:iCs/>
          <w:color w:val="00B0F0"/>
        </w:rPr>
        <w:t>scope note:</w:t>
      </w:r>
      <w:r w:rsidRPr="4F7662C7">
        <w:rPr>
          <w:rFonts w:asciiTheme="majorBidi" w:hAnsiTheme="majorBidi" w:cstheme="majorBidi"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Encompasses both man-made and natural disasters.}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Emergency communications systems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First responders and emergency personnel</w:t>
      </w:r>
      <w:r w:rsidR="003115E0">
        <w:br/>
      </w:r>
    </w:p>
    <w:p w14:paraId="6781A30B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Energy</w:t>
      </w:r>
    </w:p>
    <w:p w14:paraId="7358CB4A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307BBE1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Alternative and renewable resources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Coal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Energy assistance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Energy efficiency and conservation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Energy prices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Energy research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Energy revenues and royalties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Nuclear power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Oil and gas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Power generation and transmission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Public utilities and utility rates</w:t>
      </w:r>
    </w:p>
    <w:p w14:paraId="16390520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24866502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Environment</w:t>
      </w:r>
    </w:p>
    <w:p w14:paraId="52DDC309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20900AC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Air quality</w:t>
      </w:r>
    </w:p>
    <w:p w14:paraId="50FA84AE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Biodiversity</w:t>
      </w:r>
    </w:p>
    <w:p w14:paraId="35C0E1E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Climate change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Desertification</w:t>
      </w:r>
    </w:p>
    <w:p w14:paraId="43A61FF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Ecology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Endangered species</w:t>
      </w:r>
    </w:p>
    <w:p w14:paraId="572565E1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Environmental mitigation</w:t>
      </w:r>
    </w:p>
    <w:p w14:paraId="50C23B15" w14:textId="77777777" w:rsidR="0073680E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Environmental technology</w:t>
      </w:r>
    </w:p>
    <w:p w14:paraId="4661865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Erosion</w:t>
      </w:r>
      <w:r w:rsidR="0073680E">
        <w:br/>
      </w:r>
      <w:r w:rsidRPr="4F7662C7">
        <w:rPr>
          <w:rFonts w:asciiTheme="majorBidi" w:hAnsiTheme="majorBidi" w:cstheme="majorBidi"/>
          <w:color w:val="00B0F0"/>
        </w:rPr>
        <w:t>Hazardous waste</w:t>
      </w:r>
      <w:r w:rsidR="0073680E">
        <w:br/>
      </w:r>
      <w:r w:rsidRPr="4F7662C7">
        <w:rPr>
          <w:rFonts w:asciiTheme="majorBidi" w:hAnsiTheme="majorBidi" w:cstheme="majorBidi"/>
          <w:color w:val="00B0F0"/>
        </w:rPr>
        <w:t xml:space="preserve">Marine pollution </w:t>
      </w:r>
      <w:r w:rsidR="0073680E">
        <w:br/>
      </w:r>
      <w:r w:rsidRPr="4F7662C7">
        <w:rPr>
          <w:rFonts w:asciiTheme="majorBidi" w:hAnsiTheme="majorBidi" w:cstheme="majorBidi"/>
          <w:color w:val="00B0F0"/>
        </w:rPr>
        <w:t>Noise pollution</w:t>
      </w:r>
      <w:r w:rsidR="0073680E">
        <w:br/>
      </w:r>
      <w:r w:rsidRPr="4F7662C7">
        <w:rPr>
          <w:rFonts w:asciiTheme="majorBidi" w:hAnsiTheme="majorBidi" w:cstheme="majorBidi"/>
          <w:color w:val="00B0F0"/>
        </w:rPr>
        <w:t xml:space="preserve">Pollution liability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emissions trading; carbon offsets}</w:t>
      </w:r>
      <w:r w:rsidR="0073680E">
        <w:br/>
      </w:r>
      <w:r w:rsidRPr="4F7662C7">
        <w:rPr>
          <w:rFonts w:asciiTheme="majorBidi" w:hAnsiTheme="majorBidi" w:cstheme="majorBidi"/>
          <w:color w:val="00B0F0"/>
        </w:rPr>
        <w:t>Radioactive waste</w:t>
      </w:r>
      <w:r w:rsidR="0073680E">
        <w:br/>
      </w:r>
      <w:r w:rsidRPr="4F7662C7">
        <w:rPr>
          <w:rFonts w:asciiTheme="majorBidi" w:hAnsiTheme="majorBidi" w:cstheme="majorBidi"/>
          <w:color w:val="00B0F0"/>
        </w:rPr>
        <w:t>Recycling</w:t>
      </w:r>
    </w:p>
    <w:p w14:paraId="266CBA03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Soil pollution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Toxic substances</w:t>
      </w:r>
    </w:p>
    <w:p w14:paraId="3428D437" w14:textId="77777777" w:rsidR="003115E0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Water quality</w:t>
      </w:r>
    </w:p>
    <w:p w14:paraId="1D6214A1" w14:textId="77777777" w:rsidR="00D32D12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Weather</w:t>
      </w:r>
    </w:p>
    <w:p w14:paraId="56BE2560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57ACB94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Families</w:t>
      </w:r>
    </w:p>
    <w:p w14:paraId="184BC33D" w14:textId="77777777" w:rsidR="00C242B5" w:rsidRDefault="00C242B5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2D8DBFB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Adoption and foster care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Alimony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Birth certificates and registration</w:t>
      </w:r>
    </w:p>
    <w:p w14:paraId="3200D76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Cemeteries and funerals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Child abuse</w:t>
      </w:r>
    </w:p>
    <w:p w14:paraId="655450E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Child custody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Child support</w:t>
      </w:r>
    </w:p>
    <w:p w14:paraId="6EB16B03" w14:textId="77777777" w:rsidR="00E938E8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Child welfare</w:t>
      </w:r>
    </w:p>
    <w:p w14:paraId="276346E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Death and dying</w:t>
      </w:r>
      <w:r w:rsidR="00E938E8">
        <w:br/>
      </w:r>
      <w:r w:rsidRPr="4F7662C7">
        <w:rPr>
          <w:rFonts w:asciiTheme="majorBidi" w:hAnsiTheme="majorBidi" w:cstheme="majorBidi"/>
          <w:color w:val="00B0F0"/>
        </w:rPr>
        <w:t>Divorce</w:t>
      </w:r>
    </w:p>
    <w:p w14:paraId="26A3ECA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Domestic violence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Family services</w:t>
      </w:r>
    </w:p>
    <w:p w14:paraId="79BA893F" w14:textId="77777777" w:rsidR="00666F7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Genealogy</w:t>
      </w:r>
    </w:p>
    <w:p w14:paraId="04303A2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Legitimation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Marriage and family status</w:t>
      </w:r>
    </w:p>
    <w:p w14:paraId="49331B1E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Marriage certificates and registration</w:t>
      </w:r>
    </w:p>
    <w:p w14:paraId="48A435E6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Paternity</w:t>
      </w:r>
    </w:p>
    <w:p w14:paraId="5EB496E3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Polygamy</w:t>
      </w:r>
    </w:p>
    <w:p w14:paraId="510D769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Pregnancy</w:t>
      </w:r>
    </w:p>
    <w:p w14:paraId="0C8BE09E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Same-sex marriage</w:t>
      </w:r>
    </w:p>
    <w:p w14:paraId="6D34CBB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color w:val="00B0F0"/>
        </w:rPr>
        <w:t>Separation</w:t>
      </w:r>
      <w:r w:rsidR="003115E0">
        <w:br/>
      </w:r>
    </w:p>
    <w:p w14:paraId="1D78F04C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Finance and Financial Sector</w:t>
      </w:r>
      <w:r w:rsidRPr="4F7662C7">
        <w:rPr>
          <w:rFonts w:asciiTheme="majorBidi" w:hAnsiTheme="majorBidi" w:cstheme="majorBidi"/>
          <w:b/>
          <w:bCs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{scope note:  Applies to domestic matters only; use “Foreign Trade and International Finance” for international matters.}</w:t>
      </w:r>
    </w:p>
    <w:p w14:paraId="43A756F8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05C04D4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Accounting and auditing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Bankruptcy</w:t>
      </w:r>
    </w:p>
    <w:p w14:paraId="3D604BF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bookmarkStart w:id="1" w:name="_Hlk128991654"/>
      <w:r w:rsidRPr="4F7662C7">
        <w:rPr>
          <w:rFonts w:asciiTheme="majorBidi" w:hAnsiTheme="majorBidi" w:cstheme="majorBidi"/>
          <w:color w:val="00B0F0"/>
        </w:rPr>
        <w:t xml:space="preserve">Banks and financial institutions </w:t>
      </w:r>
      <w:bookmarkEnd w:id="1"/>
    </w:p>
    <w:p w14:paraId="324F3A04" w14:textId="77777777" w:rsidR="00FC715C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Capital gains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Commodities markets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Consumer credit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Credit markets</w:t>
      </w:r>
    </w:p>
    <w:p w14:paraId="24718BE3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Cryptocurrency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all forms of cybercurrency such as Bitcoin}</w:t>
      </w:r>
      <w:r w:rsidR="00FC715C">
        <w:br/>
      </w:r>
      <w:r w:rsidRPr="4F7662C7">
        <w:rPr>
          <w:rFonts w:asciiTheme="majorBidi" w:hAnsiTheme="majorBidi" w:cstheme="majorBidi"/>
          <w:color w:val="00B0F0"/>
        </w:rPr>
        <w:t xml:space="preserve">Currency </w:t>
      </w:r>
      <w:r w:rsidR="00FC715C">
        <w:br/>
      </w:r>
      <w:r w:rsidRPr="4F7662C7">
        <w:rPr>
          <w:rFonts w:asciiTheme="majorBidi" w:hAnsiTheme="majorBidi" w:cstheme="majorBidi"/>
          <w:color w:val="00B0F0"/>
        </w:rPr>
        <w:t>Dividends</w:t>
      </w:r>
    </w:p>
    <w:p w14:paraId="3310548A" w14:textId="064E70B2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bookmarkStart w:id="2" w:name="_Hlk128991641"/>
      <w:r w:rsidRPr="4F7662C7">
        <w:rPr>
          <w:rFonts w:asciiTheme="majorBidi" w:hAnsiTheme="majorBidi" w:cstheme="majorBidi"/>
          <w:color w:val="00B0F0"/>
        </w:rPr>
        <w:t>Financial crises and stabilization</w:t>
      </w:r>
      <w:r w:rsidR="003115E0">
        <w:br/>
      </w:r>
      <w:bookmarkEnd w:id="2"/>
      <w:r w:rsidRPr="4F7662C7">
        <w:rPr>
          <w:rFonts w:asciiTheme="majorBidi" w:hAnsiTheme="majorBidi" w:cstheme="majorBidi"/>
          <w:color w:val="00B0F0"/>
        </w:rPr>
        <w:t>Interest</w:t>
      </w:r>
    </w:p>
    <w:p w14:paraId="1487FA24" w14:textId="77777777" w:rsidR="004001C3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Investment</w:t>
      </w:r>
    </w:p>
    <w:p w14:paraId="3F93FFE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Securities</w:t>
      </w:r>
    </w:p>
    <w:p w14:paraId="2BCD5667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7F786F34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Foreign Trade and International Finance</w:t>
      </w:r>
    </w:p>
    <w:p w14:paraId="4A4F0A29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5545B2D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Bilateral investment</w:t>
      </w:r>
    </w:p>
    <w:p w14:paraId="6DEBBEAB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  <w:highlight w:val="yellow"/>
        </w:rPr>
      </w:pPr>
      <w:r w:rsidRPr="4F7662C7">
        <w:rPr>
          <w:rFonts w:asciiTheme="majorBidi" w:hAnsiTheme="majorBidi" w:cstheme="majorBidi"/>
          <w:color w:val="00B0F0"/>
        </w:rPr>
        <w:t>Customs enforcement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Foreign and international banking</w:t>
      </w:r>
    </w:p>
    <w:p w14:paraId="07FEA60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Foreign exchange</w:t>
      </w:r>
    </w:p>
    <w:p w14:paraId="4F34106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  <w:highlight w:val="yellow"/>
        </w:rPr>
      </w:pPr>
      <w:r w:rsidRPr="4F7662C7">
        <w:rPr>
          <w:rFonts w:asciiTheme="majorBidi" w:hAnsiTheme="majorBidi" w:cstheme="majorBidi"/>
          <w:color w:val="00B0F0"/>
        </w:rPr>
        <w:t>Foreign investments</w:t>
      </w:r>
    </w:p>
    <w:p w14:paraId="1B66A35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Foreign loans and debt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Free trade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Import and export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International monetary system</w:t>
      </w:r>
    </w:p>
    <w:p w14:paraId="4B957C4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Tariffs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Trade agreements and negotiations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Trade deficits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Trade restrictions</w:t>
      </w:r>
    </w:p>
    <w:p w14:paraId="40CE7030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4AB2AF96" w14:textId="77777777" w:rsidR="003115E0" w:rsidRPr="00245EB7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Government</w:t>
      </w:r>
      <w:r w:rsidRPr="4F7662C7">
        <w:rPr>
          <w:rFonts w:asciiTheme="majorBidi" w:hAnsiTheme="majorBidi" w:cstheme="majorBidi"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all forms of government}</w:t>
      </w:r>
    </w:p>
    <w:p w14:paraId="4406F8A4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5A7D7BA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Advisory bodies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Census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Church and state relations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“Church” means all forms of religious institutions.}</w:t>
      </w:r>
    </w:p>
    <w:p w14:paraId="1AFE7C5C" w14:textId="77777777" w:rsidR="00E938E8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Eminent domain</w:t>
      </w:r>
    </w:p>
    <w:p w14:paraId="2FF5871A" w14:textId="77777777" w:rsidR="00E938E8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Executive agencies </w:t>
      </w:r>
    </w:p>
    <w:p w14:paraId="794CB454" w14:textId="77777777" w:rsidR="00E938E8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</w:rPr>
        <w:t>Executive powers</w:t>
      </w:r>
      <w:r w:rsidRPr="4F7662C7">
        <w:rPr>
          <w:rFonts w:asciiTheme="majorBidi" w:hAnsiTheme="majorBidi" w:cstheme="majorBidi"/>
          <w:color w:val="00B0F0"/>
          <w:sz w:val="24"/>
          <w:szCs w:val="24"/>
        </w:rPr>
        <w:t xml:space="preserve"> </w:t>
      </w:r>
    </w:p>
    <w:p w14:paraId="0EAEEA16" w14:textId="77777777" w:rsidR="00E040D5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 xml:space="preserve">Government documents </w:t>
      </w:r>
      <w:r w:rsidRPr="4F7662C7">
        <w:rPr>
          <w:rFonts w:asciiTheme="majorBidi" w:hAnsiTheme="majorBidi" w:cstheme="majorBidi"/>
          <w:i/>
          <w:iCs/>
          <w:color w:val="00B0F0"/>
          <w:sz w:val="24"/>
          <w:szCs w:val="24"/>
        </w:rPr>
        <w:t>{scope note: Refers to such government documents as civil status registers, identity cards, and government work products, including e-docs.}</w:t>
      </w:r>
    </w:p>
    <w:p w14:paraId="6757134C" w14:textId="77777777" w:rsidR="000E3EE2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Government ethics and transparency</w:t>
      </w:r>
    </w:p>
    <w:p w14:paraId="128C4B7D" w14:textId="77777777" w:rsidR="00A32331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Government property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government-owned buildings}</w:t>
      </w:r>
    </w:p>
    <w:p w14:paraId="2B38BE12" w14:textId="77777777" w:rsidR="003115E0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Impeachment</w:t>
      </w:r>
      <w:r w:rsidR="00A32331">
        <w:br/>
      </w:r>
      <w:r w:rsidRPr="4F7662C7">
        <w:rPr>
          <w:rFonts w:asciiTheme="majorBidi" w:hAnsiTheme="majorBidi" w:cstheme="majorBidi"/>
          <w:color w:val="00B0F0"/>
        </w:rPr>
        <w:t>Licensing and registration</w:t>
      </w:r>
      <w:r w:rsidR="00A32331">
        <w:br/>
      </w:r>
      <w:r w:rsidRPr="4F7662C7">
        <w:rPr>
          <w:rFonts w:asciiTheme="majorBidi" w:hAnsiTheme="majorBidi" w:cstheme="majorBidi"/>
          <w:color w:val="00B0F0"/>
        </w:rPr>
        <w:t>National holidays</w:t>
      </w:r>
    </w:p>
    <w:p w14:paraId="3AE09334" w14:textId="77777777" w:rsidR="00016B66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National symbols</w:t>
      </w:r>
    </w:p>
    <w:p w14:paraId="547C037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Officials and employees</w:t>
      </w:r>
    </w:p>
    <w:p w14:paraId="349EA4D5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Police powers</w:t>
      </w:r>
    </w:p>
    <w:p w14:paraId="452651BA" w14:textId="77777777" w:rsidR="002631D1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Postal service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Public contracts and procurement</w:t>
      </w:r>
    </w:p>
    <w:p w14:paraId="6A1A17F2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Public lands</w:t>
      </w:r>
      <w:r w:rsidR="002631D1">
        <w:br/>
      </w:r>
      <w:r w:rsidRPr="4F7662C7">
        <w:rPr>
          <w:rFonts w:asciiTheme="majorBidi" w:hAnsiTheme="majorBidi" w:cstheme="majorBidi"/>
          <w:color w:val="00B0F0"/>
        </w:rPr>
        <w:t>Public-private cooperation</w:t>
      </w:r>
    </w:p>
    <w:p w14:paraId="061594C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Separation of powers</w:t>
      </w:r>
    </w:p>
    <w:p w14:paraId="04F9656C" w14:textId="77777777" w:rsidR="00016B66" w:rsidRDefault="4F7662C7" w:rsidP="4F7662C7">
      <w:pPr>
        <w:pStyle w:val="subheaderblack"/>
        <w:tabs>
          <w:tab w:val="center" w:pos="4680"/>
        </w:tabs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State and local government</w:t>
      </w:r>
    </w:p>
    <w:p w14:paraId="6EB48C84" w14:textId="77777777" w:rsidR="000C5228" w:rsidRPr="002E1B6B" w:rsidRDefault="4F7662C7" w:rsidP="4F7662C7">
      <w:pPr>
        <w:pStyle w:val="subheaderblack"/>
        <w:tabs>
          <w:tab w:val="center" w:pos="4680"/>
        </w:tabs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Statues and monuments</w:t>
      </w:r>
      <w:r w:rsidR="00016B66">
        <w:tab/>
      </w:r>
      <w:r w:rsidR="00016B66">
        <w:br/>
      </w:r>
      <w:r w:rsidRPr="4F7662C7">
        <w:rPr>
          <w:rFonts w:asciiTheme="majorBidi" w:hAnsiTheme="majorBidi" w:cstheme="majorBidi"/>
          <w:color w:val="00B0F0"/>
        </w:rPr>
        <w:t>Territories and protectorates</w:t>
      </w:r>
    </w:p>
    <w:p w14:paraId="1F7F8B35" w14:textId="77777777" w:rsidR="000C5228" w:rsidRPr="002E1B6B" w:rsidRDefault="000C5228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7B0C2F6A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i/>
          <w:i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Health </w:t>
      </w:r>
    </w:p>
    <w:p w14:paraId="1D83FA6F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6B2B30C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Abortion</w:t>
      </w:r>
    </w:p>
    <w:p w14:paraId="72FBA59F" w14:textId="77777777" w:rsidR="000E3EE2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Aging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Alternative medicine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Birth defects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Child health</w:t>
      </w:r>
    </w:p>
    <w:p w14:paraId="3B0DC8D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Dental care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Drug safety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Emergency medical services</w:t>
      </w:r>
    </w:p>
    <w:p w14:paraId="1ADF82C1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Epidemics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Euthanasia</w:t>
      </w:r>
    </w:p>
    <w:p w14:paraId="0BA7EFFF" w14:textId="77777777" w:rsidR="00E938E8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Family planning and birth control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Genetics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H.I.V./A.I.D.S.</w:t>
      </w:r>
    </w:p>
    <w:p w14:paraId="44AEC0D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Health care funding</w:t>
      </w:r>
    </w:p>
    <w:p w14:paraId="7F298CB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Health facilities and institutions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hospitals}</w:t>
      </w:r>
    </w:p>
    <w:p w14:paraId="7809202C" w14:textId="5B78E8DB" w:rsidR="003115E0" w:rsidRPr="002E1B6B" w:rsidRDefault="29FA4FDF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29FA4FDF">
        <w:rPr>
          <w:rFonts w:asciiTheme="majorBidi" w:hAnsiTheme="majorBidi" w:cstheme="majorBidi"/>
          <w:color w:val="00B0F0"/>
        </w:rPr>
        <w:t>Health information and medical record</w:t>
      </w:r>
      <w:r w:rsidR="003115E0">
        <w:br/>
      </w:r>
      <w:r w:rsidRPr="29FA4FDF">
        <w:rPr>
          <w:rFonts w:asciiTheme="majorBidi" w:hAnsiTheme="majorBidi" w:cstheme="majorBidi"/>
          <w:color w:val="00B0F0"/>
        </w:rPr>
        <w:t>Health insurance</w:t>
      </w:r>
    </w:p>
    <w:p w14:paraId="11243F62" w14:textId="77777777" w:rsidR="00A935AE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Health promotion and preventive care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Home and outpatient care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Infectious and parasitic diseases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Medical devices</w:t>
      </w:r>
    </w:p>
    <w:p w14:paraId="36A04EC5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Medical personnel</w:t>
      </w:r>
      <w:r w:rsidR="00A935AE">
        <w:br/>
      </w:r>
      <w:r w:rsidRPr="4F7662C7">
        <w:rPr>
          <w:rFonts w:asciiTheme="majorBidi" w:hAnsiTheme="majorBidi" w:cstheme="majorBidi"/>
          <w:color w:val="00B0F0"/>
        </w:rPr>
        <w:t>Medical research</w:t>
      </w:r>
      <w:r w:rsidR="00A935AE">
        <w:br/>
      </w:r>
      <w:r w:rsidRPr="4F7662C7">
        <w:rPr>
          <w:rFonts w:asciiTheme="majorBidi" w:hAnsiTheme="majorBidi" w:cstheme="majorBidi"/>
          <w:color w:val="00B0F0"/>
        </w:rPr>
        <w:t>Mental health</w:t>
      </w:r>
    </w:p>
    <w:p w14:paraId="3EFAAFF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Nursing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Nutrition and diet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Organ and tissue donation and transplantation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Patients’ rights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right to refuse medical treatment; HIPAA; DNR; informed consent, and similar concepts}</w:t>
      </w:r>
    </w:p>
    <w:p w14:paraId="323C51E5" w14:textId="77777777" w:rsidR="008B6394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People with disabilities</w:t>
      </w:r>
    </w:p>
    <w:p w14:paraId="4F1E9183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Pre-existing conditions</w:t>
      </w:r>
    </w:p>
    <w:p w14:paraId="62C127D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Prescription drugs</w:t>
      </w:r>
    </w:p>
    <w:p w14:paraId="2721D6AB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Public health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Rehabilitation</w:t>
      </w:r>
    </w:p>
    <w:p w14:paraId="5835321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Sex selection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Sexually transmitted diseases</w:t>
      </w:r>
    </w:p>
    <w:p w14:paraId="0BD07421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Single-payer plans</w:t>
      </w:r>
    </w:p>
    <w:p w14:paraId="5703D78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Terminal care</w:t>
      </w:r>
    </w:p>
    <w:p w14:paraId="4971139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Tobacco and smoking</w:t>
      </w:r>
    </w:p>
    <w:p w14:paraId="120959C1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0BC5090C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Housing and Community Development</w:t>
      </w:r>
    </w:p>
    <w:p w14:paraId="20F8D339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04CBFE96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Homelessness</w:t>
      </w:r>
    </w:p>
    <w:p w14:paraId="20F281E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Rural development</w:t>
      </w:r>
    </w:p>
    <w:p w14:paraId="126E6AB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Urban planning</w:t>
      </w:r>
    </w:p>
    <w:p w14:paraId="3100A242" w14:textId="77777777" w:rsidR="000C5228" w:rsidRDefault="000C5228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005D852A" w14:textId="77777777" w:rsidR="0034034B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Human Rights and Civil Liberties </w:t>
      </w:r>
    </w:p>
    <w:p w14:paraId="1ECA3ECD" w14:textId="77777777" w:rsidR="0034034B" w:rsidRPr="002E1B6B" w:rsidRDefault="0034034B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4FD80E32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Children’s rights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>Civil disobedience</w:t>
      </w:r>
    </w:p>
    <w:p w14:paraId="2EA58695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Detention 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>Discrimination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>Due process</w:t>
      </w:r>
    </w:p>
    <w:p w14:paraId="1F28C39E" w14:textId="77777777" w:rsidR="00017F7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Equal protection</w:t>
      </w:r>
    </w:p>
    <w:p w14:paraId="79E554CB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Freedom of assembly</w:t>
      </w:r>
      <w:r w:rsidR="00017F7B">
        <w:br/>
      </w:r>
      <w:r w:rsidRPr="4F7662C7">
        <w:rPr>
          <w:rFonts w:asciiTheme="majorBidi" w:hAnsiTheme="majorBidi" w:cstheme="majorBidi"/>
          <w:color w:val="00B0F0"/>
        </w:rPr>
        <w:t>Freedom of information</w:t>
      </w:r>
    </w:p>
    <w:p w14:paraId="6DF2EC20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Freedom of religion </w:t>
      </w:r>
    </w:p>
    <w:p w14:paraId="1B59758C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Freedom of speech</w:t>
      </w:r>
    </w:p>
    <w:p w14:paraId="51FF4151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Freedom of the press</w:t>
      </w:r>
    </w:p>
    <w:p w14:paraId="4879A8E0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Internally displaced persons</w:t>
      </w:r>
    </w:p>
    <w:p w14:paraId="7E507B27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Language 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 xml:space="preserve">L.G.B.T. rights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Refers to laws that protect the rights of lesbian, gay, bisexual, and transgender individuals. Term should also be applied to individuals who identify themselves as queer, questioning, or inter-sex.}</w:t>
      </w:r>
    </w:p>
    <w:p w14:paraId="709188F1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Minority rights</w:t>
      </w:r>
    </w:p>
    <w:p w14:paraId="1A3F7678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Patients’ rights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right to refuse medical treatment; HIPAA; DNR; informed consent, and similar concepts}</w:t>
      </w:r>
    </w:p>
    <w:p w14:paraId="0FB0A93F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People with disabilities</w:t>
      </w:r>
    </w:p>
    <w:p w14:paraId="07598C97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Pornography</w:t>
      </w:r>
    </w:p>
    <w:p w14:paraId="117320E6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Prisoners’ rights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>Property rights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>Protest and dissent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>Racial and ethnic relations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>Religious minorities</w:t>
      </w:r>
    </w:p>
    <w:p w14:paraId="08C1D932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Right of privacy</w:t>
      </w:r>
    </w:p>
    <w:p w14:paraId="0FB60B24" w14:textId="77777777" w:rsidR="004C4F52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Slavery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indentured servitude}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>Torture</w:t>
      </w:r>
    </w:p>
    <w:p w14:paraId="55D60B7D" w14:textId="77777777" w:rsidR="003403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Voting rights</w:t>
      </w:r>
      <w:r w:rsidR="0034034B">
        <w:br/>
      </w:r>
      <w:r w:rsidRPr="4F7662C7">
        <w:rPr>
          <w:rFonts w:asciiTheme="majorBidi" w:hAnsiTheme="majorBidi" w:cstheme="majorBidi"/>
          <w:color w:val="00B0F0"/>
        </w:rPr>
        <w:t>Women’s rights</w:t>
      </w:r>
    </w:p>
    <w:p w14:paraId="0F83A915" w14:textId="77777777" w:rsidR="0034034B" w:rsidRPr="002E1B6B" w:rsidRDefault="0034034B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48FA48F8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Immigration </w:t>
      </w:r>
    </w:p>
    <w:p w14:paraId="44CE30BA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3530393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Asylum</w:t>
      </w:r>
    </w:p>
    <w:p w14:paraId="160FF78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Border security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Citizenship and nationality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Employment-based immigration</w:t>
      </w:r>
    </w:p>
    <w:p w14:paraId="7D97DC3E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Family-based immigration</w:t>
      </w:r>
    </w:p>
    <w:p w14:paraId="45E92D6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Guest workers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Human trafficking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Naturalization</w:t>
      </w:r>
    </w:p>
    <w:p w14:paraId="1D80DF5B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Points-based immigration</w:t>
      </w:r>
    </w:p>
    <w:p w14:paraId="74056C5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Refugees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Undocumented immigrants</w:t>
      </w:r>
    </w:p>
    <w:p w14:paraId="0F1A2DF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Visas and passports</w:t>
      </w:r>
    </w:p>
    <w:p w14:paraId="7A62D112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3BFB860B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Insurance</w:t>
      </w:r>
      <w:r w:rsidRPr="4F7662C7">
        <w:rPr>
          <w:rFonts w:asciiTheme="majorBidi" w:hAnsiTheme="majorBidi" w:cstheme="majorBidi"/>
          <w:i/>
          <w:iCs/>
          <w:color w:val="00B0F0"/>
        </w:rPr>
        <w:t xml:space="preserve"> {scope note: See “Health” for health-related insurance topics.}</w:t>
      </w:r>
    </w:p>
    <w:p w14:paraId="3B521A0E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  <w:u w:val="single"/>
        </w:rPr>
      </w:pPr>
    </w:p>
    <w:p w14:paraId="57BE5E8E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Agricultural insurance</w:t>
      </w:r>
    </w:p>
    <w:p w14:paraId="3D3E54C3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Auto insurance</w:t>
      </w:r>
    </w:p>
    <w:p w14:paraId="1B469B41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Homeowners’ insurance</w:t>
      </w:r>
    </w:p>
    <w:p w14:paraId="7EBEBAFE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Life insurance</w:t>
      </w:r>
    </w:p>
    <w:p w14:paraId="76188CD2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26DF3985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Intellectual Property</w:t>
      </w:r>
    </w:p>
    <w:p w14:paraId="5CAE6613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298EE10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Copyright</w:t>
      </w:r>
    </w:p>
    <w:p w14:paraId="695BF2F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Cultural heritage </w:t>
      </w:r>
      <w:r w:rsidRPr="4F7662C7">
        <w:rPr>
          <w:rFonts w:asciiTheme="majorBidi" w:hAnsiTheme="majorBidi" w:cstheme="majorBidi"/>
          <w:i/>
          <w:iCs/>
          <w:color w:val="00B0F0"/>
        </w:rPr>
        <w:t>{scope note: Refers to cultural heritage as it relates to claims of IP rights.}</w:t>
      </w:r>
    </w:p>
    <w:p w14:paraId="07846EE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Data protection</w:t>
      </w:r>
    </w:p>
    <w:p w14:paraId="7EA076B3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Orphan works</w:t>
      </w:r>
    </w:p>
    <w:p w14:paraId="6CF6B3D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Patents</w:t>
      </w:r>
    </w:p>
    <w:p w14:paraId="4F5E91B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Trade secrets</w:t>
      </w:r>
    </w:p>
    <w:p w14:paraId="7A097D2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Trademarks</w:t>
      </w:r>
    </w:p>
    <w:p w14:paraId="59147480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00C6393B" w14:textId="77777777" w:rsidR="003115E0" w:rsidRPr="002E1B6B" w:rsidRDefault="4F7662C7" w:rsidP="4F7662C7">
      <w:pPr>
        <w:pStyle w:val="subheaderblack"/>
        <w:spacing w:before="0" w:beforeAutospacing="0" w:after="0" w:afterAutospacing="0"/>
        <w:ind w:left="360" w:hanging="360"/>
        <w:rPr>
          <w:rFonts w:asciiTheme="majorBidi" w:hAnsiTheme="majorBidi" w:cstheme="majorBidi"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International Affairs</w:t>
      </w:r>
      <w:r w:rsidRPr="4F7662C7">
        <w:rPr>
          <w:rFonts w:asciiTheme="majorBidi" w:hAnsiTheme="majorBidi" w:cstheme="majorBidi"/>
          <w:b/>
          <w:bCs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{scope note: Focuses on general policy and political issues while “Treaties and International Agreements” focuses on specific treaties/agreements.}</w:t>
      </w:r>
    </w:p>
    <w:p w14:paraId="4F8E4108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1F61BD61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Arms control and nonproliferation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Crimes against humanity  </w:t>
      </w:r>
    </w:p>
    <w:p w14:paraId="03AAFFA5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Diplomatic and consular relations</w:t>
      </w:r>
    </w:p>
    <w:p w14:paraId="521E026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Diplomatic immunity</w:t>
      </w:r>
    </w:p>
    <w:p w14:paraId="644F22B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Foreign aid </w:t>
      </w:r>
    </w:p>
    <w:p w14:paraId="4AF41655" w14:textId="77777777" w:rsidR="003115E0" w:rsidRPr="002E1B6B" w:rsidRDefault="4F7662C7" w:rsidP="4F7662C7">
      <w:pPr>
        <w:pStyle w:val="NormalWeb"/>
        <w:spacing w:before="0" w:beforeAutospacing="0" w:after="0" w:afterAutospacing="0"/>
        <w:ind w:left="360" w:hanging="36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Genocide</w:t>
      </w:r>
    </w:p>
    <w:p w14:paraId="11098FC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International exchanges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Refers to cultural/foreign service exchanges.}</w:t>
      </w:r>
    </w:p>
    <w:p w14:paraId="36DD710D" w14:textId="77777777" w:rsidR="003115E0" w:rsidRPr="002E1B6B" w:rsidRDefault="4F7662C7" w:rsidP="4F7662C7">
      <w:pPr>
        <w:pStyle w:val="NormalWeb"/>
        <w:spacing w:before="0" w:beforeAutospacing="0" w:after="0" w:afterAutospacing="0"/>
        <w:ind w:left="360" w:hanging="36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International organizations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UN, NATO, etc., but not NGOs—NGOs covered in “Corporations and Associations.”}</w:t>
      </w:r>
    </w:p>
    <w:p w14:paraId="6846DC8F" w14:textId="77777777" w:rsidR="00256B52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International scientific cooperation</w:t>
      </w:r>
    </w:p>
    <w:p w14:paraId="018835D1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Law of the sea</w:t>
      </w:r>
      <w:r w:rsidR="00256B52">
        <w:br/>
      </w:r>
      <w:r w:rsidRPr="4F7662C7">
        <w:rPr>
          <w:rFonts w:asciiTheme="majorBidi" w:hAnsiTheme="majorBidi" w:cstheme="majorBidi"/>
          <w:color w:val="00B0F0"/>
        </w:rPr>
        <w:t>Military alliances</w:t>
      </w:r>
    </w:p>
    <w:p w14:paraId="61853A9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Peace</w:t>
      </w:r>
    </w:p>
    <w:p w14:paraId="4F248386" w14:textId="77777777" w:rsidR="0050443C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Sanctions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Sovereignty</w:t>
      </w:r>
    </w:p>
    <w:p w14:paraId="46D68F7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Treaties and international agreements </w:t>
      </w:r>
      <w:r w:rsidR="0050443C">
        <w:br/>
      </w:r>
      <w:r w:rsidRPr="4F7662C7">
        <w:rPr>
          <w:rFonts w:asciiTheme="majorBidi" w:hAnsiTheme="majorBidi" w:cstheme="majorBidi"/>
          <w:color w:val="00B0F0"/>
        </w:rPr>
        <w:t>War</w:t>
      </w:r>
    </w:p>
    <w:p w14:paraId="304B5FC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War crimes</w:t>
      </w:r>
    </w:p>
    <w:p w14:paraId="56A696C2" w14:textId="77777777" w:rsidR="00F55D4B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Zones of occupation</w:t>
      </w:r>
    </w:p>
    <w:p w14:paraId="4FF26A2A" w14:textId="77777777" w:rsidR="00F55D4B" w:rsidRPr="002E1B6B" w:rsidRDefault="00F55D4B" w:rsidP="4F7662C7">
      <w:pPr>
        <w:rPr>
          <w:rFonts w:asciiTheme="majorBidi" w:hAnsiTheme="majorBidi" w:cstheme="majorBidi"/>
          <w:color w:val="00B0F0"/>
          <w:sz w:val="24"/>
          <w:szCs w:val="24"/>
        </w:rPr>
      </w:pPr>
    </w:p>
    <w:p w14:paraId="21DFB75C" w14:textId="77777777" w:rsidR="003115E0" w:rsidRPr="002E1B6B" w:rsidRDefault="4F7662C7" w:rsidP="4F7662C7">
      <w:pPr>
        <w:rPr>
          <w:rFonts w:asciiTheme="majorBidi" w:hAnsiTheme="majorBidi" w:cstheme="majorBidi"/>
          <w:b/>
          <w:bCs/>
          <w:color w:val="00B0F0"/>
          <w:sz w:val="24"/>
          <w:szCs w:val="24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sz w:val="24"/>
          <w:szCs w:val="24"/>
          <w:u w:val="single"/>
        </w:rPr>
        <w:t>Judiciary</w:t>
      </w:r>
    </w:p>
    <w:p w14:paraId="1E89FFB1" w14:textId="77777777" w:rsidR="003115E0" w:rsidRPr="002E1B6B" w:rsidRDefault="003115E0" w:rsidP="4F7662C7">
      <w:pPr>
        <w:rPr>
          <w:rFonts w:asciiTheme="majorBidi" w:hAnsiTheme="majorBidi" w:cstheme="majorBidi"/>
          <w:b/>
          <w:bCs/>
          <w:color w:val="00B0F0"/>
          <w:sz w:val="24"/>
          <w:szCs w:val="24"/>
          <w:u w:val="single"/>
        </w:rPr>
      </w:pPr>
    </w:p>
    <w:p w14:paraId="2F22F6C7" w14:textId="77777777" w:rsidR="00C14C2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Administrative courts</w:t>
      </w:r>
    </w:p>
    <w:p w14:paraId="6B620316" w14:textId="77777777" w:rsidR="003115E0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Appellate courts</w:t>
      </w:r>
    </w:p>
    <w:p w14:paraId="2A1D582F" w14:textId="77777777" w:rsidR="00C14C2B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Constitutional courts</w:t>
      </w:r>
    </w:p>
    <w:p w14:paraId="42CCB9D9" w14:textId="77777777" w:rsidR="003115E0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Court costs</w:t>
      </w:r>
    </w:p>
    <w:p w14:paraId="43028B34" w14:textId="77777777" w:rsidR="003115E0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District courts</w:t>
      </w:r>
    </w:p>
    <w:p w14:paraId="53A32DC5" w14:textId="77777777" w:rsidR="003115E0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Judges</w:t>
      </w:r>
    </w:p>
    <w:p w14:paraId="361FBD47" w14:textId="77777777" w:rsidR="003115E0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Judicial powers</w:t>
      </w:r>
    </w:p>
    <w:p w14:paraId="7AAD170B" w14:textId="77777777" w:rsidR="003115E0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bookmarkStart w:id="3" w:name="_Hlk128991673"/>
      <w:r w:rsidRPr="4F7662C7">
        <w:rPr>
          <w:rFonts w:asciiTheme="majorBidi" w:hAnsiTheme="majorBidi" w:cstheme="majorBidi"/>
          <w:color w:val="00B0F0"/>
          <w:sz w:val="24"/>
          <w:szCs w:val="24"/>
        </w:rPr>
        <w:t>Judicial review and appeals</w:t>
      </w:r>
    </w:p>
    <w:bookmarkEnd w:id="3"/>
    <w:p w14:paraId="5D5A016C" w14:textId="77777777" w:rsidR="003115E0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Specialized courts</w:t>
      </w:r>
    </w:p>
    <w:p w14:paraId="60F572F6" w14:textId="77777777" w:rsidR="003115E0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State and local courts</w:t>
      </w:r>
    </w:p>
    <w:p w14:paraId="43482255" w14:textId="77777777" w:rsidR="003115E0" w:rsidRPr="002E1B6B" w:rsidRDefault="4F7662C7" w:rsidP="4F7662C7">
      <w:pPr>
        <w:rPr>
          <w:rFonts w:asciiTheme="majorBidi" w:hAnsiTheme="majorBidi" w:cstheme="majorBidi"/>
          <w:color w:val="00B0F0"/>
          <w:sz w:val="24"/>
          <w:szCs w:val="24"/>
        </w:rPr>
      </w:pPr>
      <w:r w:rsidRPr="4F7662C7">
        <w:rPr>
          <w:rFonts w:asciiTheme="majorBidi" w:hAnsiTheme="majorBidi" w:cstheme="majorBidi"/>
          <w:color w:val="00B0F0"/>
          <w:sz w:val="24"/>
          <w:szCs w:val="24"/>
        </w:rPr>
        <w:t>Supreme Court</w:t>
      </w:r>
    </w:p>
    <w:p w14:paraId="4159DDFC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2FA5F4D9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Labor </w:t>
      </w:r>
      <w:r w:rsidRPr="4F7662C7">
        <w:rPr>
          <w:rFonts w:asciiTheme="majorBidi" w:hAnsiTheme="majorBidi" w:cstheme="majorBidi"/>
          <w:i/>
          <w:iCs/>
          <w:color w:val="00B0F0"/>
        </w:rPr>
        <w:t>{scope note: See “Human Rights and Civil Liberties” for additional terms.}</w:t>
      </w:r>
    </w:p>
    <w:p w14:paraId="0CAEFCAE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30205C81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Child labor</w:t>
      </w:r>
    </w:p>
    <w:p w14:paraId="64898AA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Employee benefits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pensions, retirement, and annuities}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Employee hiring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Employment and training programs</w:t>
      </w:r>
    </w:p>
    <w:p w14:paraId="0B9998BE" w14:textId="77777777" w:rsidR="00F55D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Labor-management relations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Migrant labor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Minority employment</w:t>
      </w:r>
    </w:p>
    <w:p w14:paraId="1E85639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Personnel records</w:t>
      </w:r>
    </w:p>
    <w:p w14:paraId="7E4AD5B8" w14:textId="77777777" w:rsidR="002C71D6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Self-employment</w:t>
      </w:r>
    </w:p>
    <w:p w14:paraId="17F5FEB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Slavery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indentured servitude}</w:t>
      </w:r>
      <w:r w:rsidR="002C71D6">
        <w:br/>
      </w:r>
      <w:r w:rsidRPr="4F7662C7">
        <w:rPr>
          <w:rFonts w:asciiTheme="majorBidi" w:hAnsiTheme="majorBidi" w:cstheme="majorBidi"/>
          <w:color w:val="00B0F0"/>
        </w:rPr>
        <w:t>Temporary and part-time employment</w:t>
      </w:r>
      <w:r w:rsidR="002C71D6">
        <w:br/>
      </w:r>
      <w:r w:rsidRPr="4F7662C7">
        <w:rPr>
          <w:rFonts w:asciiTheme="majorBidi" w:hAnsiTheme="majorBidi" w:cstheme="majorBidi"/>
          <w:color w:val="00B0F0"/>
        </w:rPr>
        <w:t>Wages and hours</w:t>
      </w:r>
      <w:r w:rsidR="002C71D6">
        <w:br/>
      </w:r>
      <w:r w:rsidRPr="4F7662C7">
        <w:rPr>
          <w:rFonts w:asciiTheme="majorBidi" w:hAnsiTheme="majorBidi" w:cstheme="majorBidi"/>
          <w:color w:val="00B0F0"/>
        </w:rPr>
        <w:t>Worker safety and health</w:t>
      </w:r>
      <w:r w:rsidR="002C71D6">
        <w:br/>
      </w:r>
    </w:p>
    <w:p w14:paraId="53386FBE" w14:textId="77777777" w:rsidR="003115E0" w:rsidRPr="002E1B6B" w:rsidRDefault="4F7662C7" w:rsidP="4F7662C7">
      <w:pPr>
        <w:pStyle w:val="subheaderblack"/>
        <w:spacing w:before="0" w:beforeAutospacing="0" w:after="0" w:afterAutospacing="0"/>
        <w:ind w:left="360" w:hanging="36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Law</w:t>
      </w:r>
      <w:r w:rsidRPr="4F7662C7">
        <w:rPr>
          <w:rFonts w:asciiTheme="majorBidi" w:hAnsiTheme="majorBidi" w:cstheme="majorBidi"/>
          <w:caps/>
          <w:color w:val="00B0F0"/>
          <w:u w:val="single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{scope note: This section focuses on terms related to non-criminal actions and the legal profession.  See “Crime and Law Enforcement” for all criminal matters.}</w:t>
      </w:r>
    </w:p>
    <w:p w14:paraId="3723A2A4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6D23468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Administrative law and regulatory procedures</w:t>
      </w:r>
    </w:p>
    <w:p w14:paraId="7D55271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Administrative remedies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Agency</w:t>
      </w:r>
    </w:p>
    <w:p w14:paraId="46C9A85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Alternative dispute resolution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Attorneys’ fees</w:t>
      </w:r>
    </w:p>
    <w:p w14:paraId="414C3613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Civil actions </w:t>
      </w:r>
    </w:p>
    <w:p w14:paraId="23C3454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Civil code</w:t>
      </w:r>
    </w:p>
    <w:p w14:paraId="15458E7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Civil liability</w:t>
      </w:r>
    </w:p>
    <w:p w14:paraId="2877EEC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Civil procedure</w:t>
      </w:r>
    </w:p>
    <w:p w14:paraId="1C10504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Common law</w:t>
      </w:r>
    </w:p>
    <w:p w14:paraId="38E4F45C" w14:textId="77777777" w:rsidR="006970EE" w:rsidRPr="00111F93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Conflicts of law </w:t>
      </w:r>
      <w:r w:rsidRPr="4F7662C7">
        <w:rPr>
          <w:rFonts w:asciiTheme="majorBidi" w:hAnsiTheme="majorBidi" w:cstheme="majorBidi"/>
          <w:i/>
          <w:iCs/>
          <w:color w:val="00B0F0"/>
        </w:rPr>
        <w:t>{scope note:</w:t>
      </w:r>
      <w:r w:rsidRPr="4F7662C7">
        <w:rPr>
          <w:rFonts w:asciiTheme="majorBidi" w:hAnsiTheme="majorBidi" w:cstheme="majorBidi"/>
          <w:color w:val="00B0F0"/>
        </w:rPr>
        <w:t xml:space="preserve"> </w:t>
      </w:r>
      <w:r w:rsidRPr="4F7662C7">
        <w:rPr>
          <w:i/>
          <w:iCs/>
          <w:color w:val="00B0F0"/>
        </w:rPr>
        <w:t>Use for private international law; see International treaties and agreements for specific Hague conventions}</w:t>
      </w:r>
    </w:p>
    <w:p w14:paraId="427F4038" w14:textId="77777777" w:rsidR="007E4DC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Constitutional law</w:t>
      </w:r>
    </w:p>
    <w:p w14:paraId="26CF732C" w14:textId="77777777" w:rsidR="007E4DC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Contracts</w:t>
      </w:r>
    </w:p>
    <w:p w14:paraId="7F8215C1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Criminal code</w:t>
      </w:r>
      <w:r w:rsidR="006970EE">
        <w:br/>
      </w:r>
      <w:r w:rsidRPr="4F7662C7">
        <w:rPr>
          <w:rFonts w:asciiTheme="majorBidi" w:hAnsiTheme="majorBidi" w:cstheme="majorBidi"/>
          <w:color w:val="00B0F0"/>
        </w:rPr>
        <w:t xml:space="preserve">Discovery and evidence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e-discovery and documents</w:t>
      </w:r>
      <w:r w:rsidRPr="4F7662C7">
        <w:rPr>
          <w:rFonts w:asciiTheme="majorBidi" w:hAnsiTheme="majorBidi" w:cstheme="majorBidi"/>
          <w:color w:val="00B0F0"/>
        </w:rPr>
        <w:t>}</w:t>
      </w:r>
    </w:p>
    <w:p w14:paraId="3C8984D9" w14:textId="77777777" w:rsidR="001A4EC2" w:rsidRDefault="4F7662C7" w:rsidP="4F7662C7">
      <w:pPr>
        <w:pStyle w:val="NormalWeb"/>
        <w:spacing w:before="0" w:beforeAutospacing="0" w:after="0" w:afterAutospacing="0"/>
        <w:ind w:left="360" w:hanging="36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Equity </w:t>
      </w:r>
    </w:p>
    <w:p w14:paraId="02BA5CDE" w14:textId="77777777" w:rsidR="001A4EC2" w:rsidRPr="002E1B6B" w:rsidRDefault="4F7662C7" w:rsidP="4F7662C7">
      <w:pPr>
        <w:pStyle w:val="NormalWeb"/>
        <w:spacing w:before="0" w:beforeAutospacing="0" w:after="0" w:afterAutospacing="0"/>
        <w:ind w:left="360" w:hanging="36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Inheritance and succession</w:t>
      </w:r>
    </w:p>
    <w:p w14:paraId="42895091" w14:textId="77777777" w:rsidR="00C137D2" w:rsidRDefault="4F7662C7" w:rsidP="4F7662C7">
      <w:pPr>
        <w:pStyle w:val="NormalWeb"/>
        <w:spacing w:before="0" w:beforeAutospacing="0" w:after="0" w:afterAutospacing="0"/>
        <w:ind w:left="360" w:hanging="36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Jurisdiction and venue</w:t>
      </w:r>
    </w:p>
    <w:p w14:paraId="28E4B30E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Lawyers and legal services</w:t>
      </w:r>
    </w:p>
    <w:p w14:paraId="68B5EB89" w14:textId="77777777" w:rsidR="003115E0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Legal ethics</w:t>
      </w:r>
    </w:p>
    <w:p w14:paraId="2619E39A" w14:textId="77777777" w:rsidR="00544C9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Legal remedies</w:t>
      </w:r>
    </w:p>
    <w:p w14:paraId="4A3D55F3" w14:textId="77777777" w:rsidR="003115E0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Legal training</w:t>
      </w:r>
    </w:p>
    <w:p w14:paraId="2E171E4D" w14:textId="77777777" w:rsidR="007F4422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Military law</w:t>
      </w:r>
    </w:p>
    <w:p w14:paraId="47F22D57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Personal status law</w:t>
      </w:r>
    </w:p>
    <w:p w14:paraId="30C23361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Powers of attorney</w:t>
      </w:r>
    </w:p>
    <w:p w14:paraId="2539E2B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Property </w:t>
      </w:r>
    </w:p>
    <w:p w14:paraId="38BC1F9D" w14:textId="77777777" w:rsidR="003115E0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Sovereign immunity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Torts</w:t>
      </w:r>
    </w:p>
    <w:p w14:paraId="2415914B" w14:textId="77777777" w:rsidR="00544C9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Trials and court proceedings</w:t>
      </w:r>
    </w:p>
    <w:p w14:paraId="6A73BA1E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Trusts and estates</w:t>
      </w:r>
    </w:p>
    <w:p w14:paraId="74B802DD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Witnesses</w:t>
      </w:r>
    </w:p>
    <w:p w14:paraId="5252BCB0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4B1D9510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Legal Systems</w:t>
      </w:r>
    </w:p>
    <w:p w14:paraId="48EC5A95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2E5BE2D1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Civil law</w:t>
      </w:r>
    </w:p>
    <w:p w14:paraId="161939DB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Common law</w:t>
      </w:r>
    </w:p>
    <w:p w14:paraId="60CD3670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Customary law</w:t>
      </w:r>
    </w:p>
    <w:p w14:paraId="3BAE4326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Legal history</w:t>
      </w:r>
    </w:p>
    <w:p w14:paraId="2752E831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Mixed jurisdictions</w:t>
      </w:r>
    </w:p>
    <w:p w14:paraId="32A25C0B" w14:textId="77777777" w:rsidR="00AC514B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Religious law </w:t>
      </w:r>
      <w:r w:rsidRPr="4F7662C7">
        <w:rPr>
          <w:rFonts w:asciiTheme="majorBidi" w:hAnsiTheme="majorBidi" w:cstheme="majorBidi"/>
          <w:i/>
          <w:iCs/>
          <w:color w:val="00B0F0"/>
        </w:rPr>
        <w:t>{scope note: Examples include: Islamic law; Canon law; Jewish law}</w:t>
      </w:r>
    </w:p>
    <w:p w14:paraId="19B1ED56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Roman law</w:t>
      </w:r>
    </w:p>
    <w:p w14:paraId="59EABFD4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1DCDFBB7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Legislative Bodies </w:t>
      </w:r>
    </w:p>
    <w:p w14:paraId="023E4AD7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2AC9C5C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Legislative elections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Legislative history </w:t>
      </w:r>
    </w:p>
    <w:p w14:paraId="19B5AC41" w14:textId="77777777" w:rsidR="00B52356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Legislative powers</w:t>
      </w:r>
    </w:p>
    <w:p w14:paraId="699E0A3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Legislative process</w:t>
      </w:r>
      <w:r w:rsidR="00B52356">
        <w:br/>
      </w:r>
      <w:r w:rsidRPr="4F7662C7">
        <w:rPr>
          <w:rFonts w:asciiTheme="majorBidi" w:hAnsiTheme="majorBidi" w:cstheme="majorBidi"/>
          <w:color w:val="00B0F0"/>
        </w:rPr>
        <w:t>Legislative oversight</w:t>
      </w:r>
      <w:r w:rsidR="00B52356">
        <w:br/>
      </w:r>
      <w:r w:rsidRPr="4F7662C7">
        <w:rPr>
          <w:rFonts w:asciiTheme="majorBidi" w:hAnsiTheme="majorBidi" w:cstheme="majorBidi"/>
          <w:color w:val="00B0F0"/>
        </w:rPr>
        <w:t>Legislative rules and procedure</w:t>
      </w:r>
      <w:r w:rsidR="00B52356">
        <w:br/>
      </w:r>
      <w:r w:rsidRPr="4F7662C7">
        <w:rPr>
          <w:rFonts w:asciiTheme="majorBidi" w:hAnsiTheme="majorBidi" w:cstheme="majorBidi"/>
          <w:color w:val="00B0F0"/>
        </w:rPr>
        <w:t>Legislators</w:t>
      </w:r>
    </w:p>
    <w:p w14:paraId="6EFB8AB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Organization of legislatures</w:t>
      </w:r>
    </w:p>
    <w:p w14:paraId="43059667" w14:textId="77777777" w:rsidR="00F22CCF" w:rsidRPr="002E1B6B" w:rsidRDefault="00F22CCF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4867B413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Maps and Mapping</w:t>
      </w:r>
      <w:r w:rsidRPr="4F7662C7">
        <w:rPr>
          <w:rFonts w:asciiTheme="majorBidi" w:hAnsiTheme="majorBidi" w:cstheme="majorBidi"/>
          <w:b/>
          <w:bCs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{scope note: This term includes atlases, globes, and all “map-like” diagrams}</w:t>
      </w:r>
    </w:p>
    <w:p w14:paraId="4D7421C1" w14:textId="77777777" w:rsidR="008B6394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Boundaries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all land, sea, and water boundaries, domestic and international}</w:t>
      </w:r>
    </w:p>
    <w:p w14:paraId="7B3FD5AE" w14:textId="77777777" w:rsidR="00256B52" w:rsidRDefault="00256B52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</w:p>
    <w:p w14:paraId="5AF57BFB" w14:textId="7D942790" w:rsidR="00256B52" w:rsidRPr="00641331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6ABF21BE">
        <w:rPr>
          <w:rFonts w:asciiTheme="majorBidi" w:hAnsiTheme="majorBidi" w:cstheme="majorBidi"/>
          <w:b/>
          <w:bCs/>
          <w:color w:val="00B0F0"/>
          <w:u w:val="single"/>
        </w:rPr>
        <w:t>ime and Admiralty Law</w:t>
      </w:r>
    </w:p>
    <w:p w14:paraId="16A22B1F" w14:textId="77777777" w:rsidR="003C408E" w:rsidRDefault="003C408E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</w:p>
    <w:p w14:paraId="665CFD0E" w14:textId="77777777" w:rsidR="003C408E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National Security</w:t>
      </w:r>
      <w:r w:rsidRPr="4F7662C7">
        <w:rPr>
          <w:rFonts w:asciiTheme="majorBidi" w:hAnsiTheme="majorBidi" w:cstheme="majorBidi"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homeland security}</w:t>
      </w:r>
      <w:r w:rsidR="003C408E">
        <w:br/>
      </w:r>
    </w:p>
    <w:p w14:paraId="1864F627" w14:textId="77777777" w:rsidR="003C408E" w:rsidRPr="004B4596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Armed forces </w:t>
      </w:r>
      <w:r w:rsidRPr="4F7662C7">
        <w:rPr>
          <w:rFonts w:asciiTheme="majorBidi" w:hAnsiTheme="majorBidi" w:cstheme="majorBidi"/>
          <w:i/>
          <w:iCs/>
          <w:color w:val="00B0F0"/>
        </w:rPr>
        <w:t>{includes U.S. Army, U.S. Navy, U.S. Air Force, U.S. Marine Corps}</w:t>
      </w:r>
    </w:p>
    <w:p w14:paraId="7443F781" w14:textId="77777777" w:rsidR="003C408E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Arms sales </w:t>
      </w:r>
    </w:p>
    <w:p w14:paraId="6E7AF8AF" w14:textId="77777777" w:rsidR="003C408E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Coast Guard</w:t>
      </w:r>
    </w:p>
    <w:p w14:paraId="7EA35645" w14:textId="77777777" w:rsidR="003C408E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Defense spending</w:t>
      </w:r>
      <w:r w:rsidR="003C408E">
        <w:br/>
      </w:r>
      <w:r w:rsidRPr="4F7662C7">
        <w:rPr>
          <w:rFonts w:asciiTheme="majorBidi" w:hAnsiTheme="majorBidi" w:cstheme="majorBidi"/>
          <w:color w:val="00B0F0"/>
        </w:rPr>
        <w:t xml:space="preserve">Intelligence activities </w:t>
      </w:r>
    </w:p>
    <w:p w14:paraId="5B318947" w14:textId="77777777" w:rsidR="003C408E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Maintenance of public order </w:t>
      </w:r>
    </w:p>
    <w:p w14:paraId="166C5E82" w14:textId="77777777" w:rsidR="003C408E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Martial law</w:t>
      </w:r>
    </w:p>
    <w:p w14:paraId="5672626A" w14:textId="77777777" w:rsidR="003C408E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Military assistance</w:t>
      </w:r>
      <w:r w:rsidR="003C408E">
        <w:br/>
      </w:r>
      <w:r w:rsidRPr="4F7662C7">
        <w:rPr>
          <w:rFonts w:asciiTheme="majorBidi" w:hAnsiTheme="majorBidi" w:cstheme="majorBidi"/>
          <w:color w:val="00B0F0"/>
        </w:rPr>
        <w:t>Military civil functions</w:t>
      </w:r>
    </w:p>
    <w:p w14:paraId="7D365764" w14:textId="77777777" w:rsidR="00121E96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Military law</w:t>
      </w:r>
    </w:p>
    <w:p w14:paraId="28C3A432" w14:textId="77777777" w:rsidR="003C408E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Military personnel {</w:t>
      </w:r>
      <w:r w:rsidRPr="4F7662C7">
        <w:rPr>
          <w:rFonts w:asciiTheme="majorBidi" w:hAnsiTheme="majorBidi" w:cstheme="majorBidi"/>
          <w:i/>
          <w:iCs/>
          <w:color w:val="00B0F0"/>
        </w:rPr>
        <w:t>scope note: for non-active military personnel, see Veterans}</w:t>
      </w:r>
      <w:r w:rsidR="00D32D12">
        <w:br/>
      </w:r>
      <w:r w:rsidRPr="4F7662C7">
        <w:rPr>
          <w:rFonts w:asciiTheme="majorBidi" w:hAnsiTheme="majorBidi" w:cstheme="majorBidi"/>
          <w:color w:val="00B0F0"/>
        </w:rPr>
        <w:t>Military procurement</w:t>
      </w:r>
      <w:r w:rsidR="00D32D12">
        <w:br/>
      </w:r>
      <w:r w:rsidRPr="4F7662C7">
        <w:rPr>
          <w:rFonts w:asciiTheme="majorBidi" w:hAnsiTheme="majorBidi" w:cstheme="majorBidi"/>
          <w:color w:val="00B0F0"/>
        </w:rPr>
        <w:t>Militias and paramilitary groups</w:t>
      </w:r>
      <w:r w:rsidR="00D32D12">
        <w:br/>
      </w:r>
      <w:r w:rsidRPr="4F7662C7">
        <w:rPr>
          <w:rFonts w:asciiTheme="majorBidi" w:hAnsiTheme="majorBidi" w:cstheme="majorBidi"/>
          <w:color w:val="00B0F0"/>
        </w:rPr>
        <w:t>National Guard and reserves</w:t>
      </w:r>
    </w:p>
    <w:p w14:paraId="747ED838" w14:textId="77777777" w:rsidR="003C408E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Strategic materials and reserves</w:t>
      </w:r>
      <w:r w:rsidR="003C408E">
        <w:br/>
      </w:r>
      <w:r w:rsidRPr="4F7662C7">
        <w:rPr>
          <w:rFonts w:asciiTheme="majorBidi" w:hAnsiTheme="majorBidi" w:cstheme="majorBidi"/>
          <w:color w:val="00B0F0"/>
        </w:rPr>
        <w:t>Terrorism</w:t>
      </w:r>
    </w:p>
    <w:p w14:paraId="4139D62D" w14:textId="77777777" w:rsidR="003C408E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War</w:t>
      </w:r>
    </w:p>
    <w:p w14:paraId="62DA63AC" w14:textId="77777777" w:rsidR="003C408E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Weapons </w:t>
      </w:r>
      <w:r w:rsidRPr="4F7662C7">
        <w:rPr>
          <w:rFonts w:asciiTheme="majorBidi" w:hAnsiTheme="majorBidi" w:cstheme="majorBidi"/>
          <w:i/>
          <w:iCs/>
          <w:color w:val="00B0F0"/>
        </w:rPr>
        <w:t>{includes weapons development, chemical and biological weapons, nuclear weapons, ammunitions, firearms and explosives}</w:t>
      </w:r>
    </w:p>
    <w:p w14:paraId="6F2EA9D4" w14:textId="77777777" w:rsidR="000C5228" w:rsidRPr="00C137D2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Zones of occupation</w:t>
      </w:r>
    </w:p>
    <w:p w14:paraId="6C361CE1" w14:textId="77777777" w:rsidR="005D0CC8" w:rsidRDefault="005D0CC8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72FECF1C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Native Peoples</w:t>
      </w:r>
    </w:p>
    <w:p w14:paraId="345C4A40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53995470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Natural Resources</w:t>
      </w:r>
    </w:p>
    <w:p w14:paraId="3C4928B3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5DAB36F6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Arctic and polar regions </w:t>
      </w:r>
      <w:r w:rsidR="00A21F85">
        <w:br/>
      </w:r>
      <w:r w:rsidRPr="4F7662C7">
        <w:rPr>
          <w:rFonts w:asciiTheme="majorBidi" w:hAnsiTheme="majorBidi" w:cstheme="majorBidi"/>
          <w:color w:val="00B0F0"/>
        </w:rPr>
        <w:t>Coal</w:t>
      </w:r>
    </w:p>
    <w:p w14:paraId="0C6876B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Conservation</w:t>
      </w:r>
    </w:p>
    <w:p w14:paraId="1E9E8A1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Forests and timber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Historic sites and heritage areas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Marine resources and fisheries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Mineral resources and mines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Oil and gas</w:t>
      </w:r>
    </w:p>
    <w:p w14:paraId="4325799D" w14:textId="77777777" w:rsidR="00474E1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Parks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national, state, or local parks}</w:t>
      </w:r>
    </w:p>
    <w:p w14:paraId="0FB75846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Water resources</w:t>
      </w:r>
    </w:p>
    <w:p w14:paraId="07C23FE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Wetlands</w:t>
      </w:r>
    </w:p>
    <w:p w14:paraId="421A9640" w14:textId="77777777" w:rsidR="003115E0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Wilderness areas</w:t>
      </w:r>
    </w:p>
    <w:p w14:paraId="1102EF78" w14:textId="77777777" w:rsidR="00C71865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Wildlife {scope note: includes tracking, trafficking, poaching, and refuges}</w:t>
      </w:r>
    </w:p>
    <w:p w14:paraId="38A97662" w14:textId="77777777" w:rsidR="00EB3E2A" w:rsidRDefault="00EB3E2A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582F5262" w14:textId="77777777" w:rsidR="00EB3E2A" w:rsidRPr="00DD2FF4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Plants</w:t>
      </w:r>
      <w:r w:rsidRPr="4F7662C7">
        <w:rPr>
          <w:rFonts w:asciiTheme="majorBidi" w:hAnsiTheme="majorBidi" w:cstheme="majorBidi"/>
          <w:b/>
          <w:bCs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plant protection}</w:t>
      </w:r>
    </w:p>
    <w:p w14:paraId="2A787011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  <w:u w:val="single"/>
        </w:rPr>
      </w:pPr>
    </w:p>
    <w:p w14:paraId="696FF651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i/>
          <w:i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Science and Technology</w:t>
      </w:r>
      <w:r w:rsidRPr="4F7662C7">
        <w:rPr>
          <w:rFonts w:asciiTheme="majorBidi" w:hAnsiTheme="majorBidi" w:cstheme="majorBidi"/>
          <w:b/>
          <w:bCs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biotechnology and nanotechnology}</w:t>
      </w:r>
    </w:p>
    <w:p w14:paraId="07497FD5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29B9D244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Cybersecurity</w:t>
      </w:r>
    </w:p>
    <w:p w14:paraId="58C443E8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Research and development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Research ethics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Space flight and exploration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Technical innovation</w:t>
      </w:r>
    </w:p>
    <w:p w14:paraId="7C6E06E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Technology transfer</w:t>
      </w:r>
      <w:r w:rsidR="003115E0">
        <w:br/>
      </w:r>
    </w:p>
    <w:p w14:paraId="240AB949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Social Welfare </w:t>
      </w:r>
    </w:p>
    <w:p w14:paraId="4A72ED60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36095D22" w14:textId="77777777" w:rsidR="007F7206" w:rsidRDefault="4F7662C7" w:rsidP="4F7662C7">
      <w:pPr>
        <w:pStyle w:val="subheaderblack"/>
        <w:spacing w:before="0" w:beforeAutospacing="0" w:after="0" w:afterAutospacing="0"/>
        <w:ind w:left="360" w:hanging="36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Charity </w:t>
      </w:r>
      <w:r w:rsidRPr="4F7662C7">
        <w:rPr>
          <w:rFonts w:asciiTheme="majorBidi" w:hAnsiTheme="majorBidi" w:cstheme="majorBidi"/>
          <w:i/>
          <w:iCs/>
          <w:color w:val="00B0F0"/>
        </w:rPr>
        <w:t>{scope note:  includes charitable organizations and donations}</w:t>
      </w:r>
    </w:p>
    <w:p w14:paraId="2046B25A" w14:textId="77777777" w:rsidR="003115E0" w:rsidRPr="002E1B6B" w:rsidRDefault="4F7662C7" w:rsidP="4F7662C7">
      <w:pPr>
        <w:pStyle w:val="subheaderblack"/>
        <w:spacing w:before="0" w:beforeAutospacing="0" w:after="0" w:afterAutospacing="0"/>
        <w:ind w:left="360" w:hanging="36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National and community service </w:t>
      </w:r>
      <w:r w:rsidRPr="4F7662C7">
        <w:rPr>
          <w:rFonts w:asciiTheme="majorBidi" w:hAnsiTheme="majorBidi" w:cstheme="majorBidi"/>
          <w:i/>
          <w:iCs/>
          <w:color w:val="00B0F0"/>
        </w:rPr>
        <w:t>{scope note: Note that “national service” is called “civil service” in some countries and refers to alternatives to military service.}</w:t>
      </w:r>
    </w:p>
    <w:p w14:paraId="5334E7BB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Poverty and welfare assistance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Social security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Social work</w:t>
      </w:r>
    </w:p>
    <w:p w14:paraId="2FAAE440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Unemployment benefits</w:t>
      </w:r>
    </w:p>
    <w:p w14:paraId="4A0333A1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77E09328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Sports and Recreation</w:t>
      </w:r>
    </w:p>
    <w:p w14:paraId="7D7A6668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5BB78DCE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Athletes  </w:t>
      </w:r>
    </w:p>
    <w:p w14:paraId="2BC7F293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Gambling</w:t>
      </w:r>
    </w:p>
    <w:p w14:paraId="30B1C9F8" w14:textId="77777777" w:rsidR="00F55D4B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Games</w:t>
      </w:r>
    </w:p>
    <w:p w14:paraId="2F9DFD65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Hunting and fishing</w:t>
      </w:r>
    </w:p>
    <w:p w14:paraId="5B0EDE6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Sports and recreation facilities</w:t>
      </w:r>
    </w:p>
    <w:p w14:paraId="6477505D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5052E10B" w14:textId="77777777" w:rsidR="007C21D8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Standards</w:t>
      </w:r>
    </w:p>
    <w:p w14:paraId="169033FF" w14:textId="77777777" w:rsidR="00016B66" w:rsidRDefault="00016B66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35277EAD" w14:textId="77777777" w:rsidR="00016B66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State of emergency</w:t>
      </w:r>
    </w:p>
    <w:p w14:paraId="47337FCD" w14:textId="77777777" w:rsidR="007C21D8" w:rsidRDefault="007C21D8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1DBAA3DB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Taxation</w:t>
      </w:r>
    </w:p>
    <w:p w14:paraId="1C2CCDDF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7DE29829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Capital gains tax</w:t>
      </w:r>
    </w:p>
    <w:p w14:paraId="78F446EA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Corporate income tax</w:t>
      </w:r>
    </w:p>
    <w:p w14:paraId="4E51801C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Double taxation treaties</w:t>
      </w:r>
    </w:p>
    <w:p w14:paraId="27AC8AD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Housing tax credits</w:t>
      </w:r>
      <w:r w:rsidR="00C55CCC">
        <w:br/>
      </w:r>
      <w:r w:rsidRPr="4F7662C7">
        <w:rPr>
          <w:rFonts w:asciiTheme="majorBidi" w:hAnsiTheme="majorBidi" w:cstheme="majorBidi"/>
          <w:color w:val="00B0F0"/>
        </w:rPr>
        <w:t>Income tax</w:t>
      </w:r>
      <w:r w:rsidR="00C55CCC">
        <w:br/>
      </w:r>
      <w:r w:rsidRPr="4F7662C7">
        <w:rPr>
          <w:rFonts w:asciiTheme="majorBidi" w:hAnsiTheme="majorBidi" w:cstheme="majorBidi"/>
          <w:color w:val="00B0F0"/>
        </w:rPr>
        <w:t>Property tax</w:t>
      </w:r>
      <w:r w:rsidR="00C55CCC">
        <w:br/>
      </w:r>
      <w:r w:rsidRPr="4F7662C7">
        <w:rPr>
          <w:rFonts w:asciiTheme="majorBidi" w:hAnsiTheme="majorBidi" w:cstheme="majorBidi"/>
          <w:color w:val="00B0F0"/>
        </w:rPr>
        <w:t>Sales and excise tax</w:t>
      </w:r>
      <w:r w:rsidR="00C55CCC">
        <w:br/>
      </w:r>
      <w:r w:rsidRPr="4F7662C7">
        <w:rPr>
          <w:rFonts w:asciiTheme="majorBidi" w:hAnsiTheme="majorBidi" w:cstheme="majorBidi"/>
          <w:color w:val="00B0F0"/>
        </w:rPr>
        <w:t>State and local taxation</w:t>
      </w:r>
      <w:r w:rsidR="00C55CCC">
        <w:br/>
      </w:r>
      <w:r w:rsidRPr="4F7662C7">
        <w:rPr>
          <w:rFonts w:asciiTheme="majorBidi" w:hAnsiTheme="majorBidi" w:cstheme="majorBidi"/>
          <w:color w:val="00B0F0"/>
        </w:rPr>
        <w:t>Tax administration and collection</w:t>
      </w:r>
    </w:p>
    <w:p w14:paraId="215622D5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Tax avoidance</w:t>
      </w:r>
    </w:p>
    <w:p w14:paraId="008313FC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Tax-exempt organizations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Tax reform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Territorial tax system</w:t>
      </w:r>
    </w:p>
    <w:p w14:paraId="3FA24C6A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Transfer and inheritance tax</w:t>
      </w:r>
    </w:p>
    <w:p w14:paraId="505A5C3E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Transfer pricing</w:t>
      </w:r>
    </w:p>
    <w:p w14:paraId="3591A4BE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Value-added tax</w:t>
      </w:r>
    </w:p>
    <w:p w14:paraId="2F69EE48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Withholding tax</w:t>
      </w:r>
    </w:p>
    <w:p w14:paraId="0DE71128" w14:textId="77777777" w:rsidR="003115E0" w:rsidRPr="002E1B6B" w:rsidRDefault="003115E0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7489EC91" w14:textId="77777777" w:rsidR="003115E0" w:rsidRPr="002E1B6B" w:rsidRDefault="4F7662C7" w:rsidP="4F7662C7">
      <w:pPr>
        <w:pStyle w:val="subheaderblack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 xml:space="preserve">Transportation and Public Works  </w:t>
      </w:r>
    </w:p>
    <w:p w14:paraId="6A4569FD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</w:p>
    <w:p w14:paraId="03FFFDB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Aviation and airports</w:t>
      </w:r>
    </w:p>
    <w:p w14:paraId="0EB5BB37" w14:textId="77777777" w:rsidR="008858D7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Bicycling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Bridges and tunnels</w:t>
      </w:r>
    </w:p>
    <w:p w14:paraId="6CDBDD02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Commuting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Dams and canals</w:t>
      </w:r>
    </w:p>
    <w:p w14:paraId="49BA8020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Floods and storm protection</w:t>
      </w:r>
    </w:p>
    <w:p w14:paraId="12D222C5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Harbors</w:t>
      </w:r>
    </w:p>
    <w:p w14:paraId="228C9C8F" w14:textId="77777777" w:rsidR="002E3EE3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Infrastructure development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Inland water transportation {See also Maritime and Admiralty Law}</w:t>
      </w:r>
    </w:p>
    <w:p w14:paraId="075EEE3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Licensing and permits</w:t>
      </w:r>
    </w:p>
    <w:p w14:paraId="5FE6A7A0" w14:textId="77777777" w:rsidR="003115E0" w:rsidRPr="002E1B6B" w:rsidRDefault="4F7662C7" w:rsidP="4F7662C7">
      <w:pPr>
        <w:pStyle w:val="NormalWeb"/>
        <w:spacing w:before="0" w:beforeAutospacing="0" w:after="0" w:afterAutospacing="0"/>
        <w:ind w:left="360" w:hanging="360"/>
        <w:rPr>
          <w:rFonts w:asciiTheme="majorBidi" w:hAnsiTheme="majorBidi" w:cstheme="majorBidi"/>
          <w:i/>
          <w:iCs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Motor carriers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Refers to those in the commercial business of transporting passengers or freight on highways, e.g., passenger buses, trucking businesses, etc.}</w:t>
      </w:r>
    </w:p>
    <w:p w14:paraId="2EB97C91" w14:textId="77777777" w:rsidR="000E3EE2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Motor vehicles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"Segways”}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 xml:space="preserve">Navigation </w:t>
      </w:r>
      <w:r w:rsidRPr="4F7662C7">
        <w:rPr>
          <w:rFonts w:asciiTheme="majorBidi" w:hAnsiTheme="majorBidi" w:cstheme="majorBidi"/>
          <w:i/>
          <w:iCs/>
          <w:color w:val="00B0F0"/>
        </w:rPr>
        <w:t>{scope note: includes land, sea, and air navigation}</w:t>
      </w:r>
    </w:p>
    <w:p w14:paraId="1CEC9F8B" w14:textId="77777777" w:rsidR="00980D1F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Pedestrians 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Public transit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Railroads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Roads and highways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Ships and boats</w:t>
      </w:r>
    </w:p>
    <w:p w14:paraId="3CB15B4F" w14:textId="77777777" w:rsidR="00030EB5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 xml:space="preserve">Traffic </w:t>
      </w:r>
      <w:r w:rsidRPr="4F7662C7">
        <w:rPr>
          <w:rFonts w:asciiTheme="majorBidi" w:hAnsiTheme="majorBidi" w:cstheme="majorBidi"/>
          <w:i/>
          <w:iCs/>
          <w:color w:val="00B0F0"/>
        </w:rPr>
        <w:t>{scope note: not to be used for trafficking of goods or persons}</w:t>
      </w:r>
    </w:p>
    <w:p w14:paraId="7B08A7E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Transportation costs</w:t>
      </w:r>
      <w:r w:rsidR="003115E0">
        <w:br/>
      </w:r>
      <w:r w:rsidRPr="4F7662C7">
        <w:rPr>
          <w:rFonts w:asciiTheme="majorBidi" w:hAnsiTheme="majorBidi" w:cstheme="majorBidi"/>
          <w:color w:val="00B0F0"/>
        </w:rPr>
        <w:t>Transportation safety and security</w:t>
      </w:r>
    </w:p>
    <w:p w14:paraId="161F6B8C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</w:rPr>
      </w:pPr>
      <w:r w:rsidRPr="4F7662C7">
        <w:rPr>
          <w:rFonts w:asciiTheme="majorBidi" w:hAnsiTheme="majorBidi" w:cstheme="majorBidi"/>
          <w:color w:val="00B0F0"/>
        </w:rPr>
        <w:t>Waste management</w:t>
      </w:r>
    </w:p>
    <w:p w14:paraId="4E6D86BE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5AD6F94B" w14:textId="77777777" w:rsidR="00666F7B" w:rsidRPr="00C55CCC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B0F0"/>
          <w:sz w:val="22"/>
          <w:szCs w:val="22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Treaties and International Agreements</w:t>
      </w:r>
      <w:r w:rsidRPr="4F7662C7">
        <w:rPr>
          <w:rFonts w:asciiTheme="majorBidi" w:hAnsiTheme="majorBidi" w:cstheme="majorBidi"/>
          <w:b/>
          <w:bCs/>
          <w:i/>
          <w:iCs/>
          <w:color w:val="00B0F0"/>
        </w:rPr>
        <w:t xml:space="preserve"> </w:t>
      </w:r>
      <w:r w:rsidRPr="4F7662C7">
        <w:rPr>
          <w:rFonts w:asciiTheme="majorBidi" w:hAnsiTheme="majorBidi" w:cstheme="majorBidi"/>
          <w:i/>
          <w:iCs/>
          <w:color w:val="00B0F0"/>
          <w:sz w:val="22"/>
          <w:szCs w:val="22"/>
        </w:rPr>
        <w:t>{see other document for specifics and treaty format}</w:t>
      </w:r>
    </w:p>
    <w:p w14:paraId="04269D06" w14:textId="77777777" w:rsidR="003115E0" w:rsidRPr="002E1B6B" w:rsidRDefault="003115E0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</w:p>
    <w:p w14:paraId="58629C6F" w14:textId="77777777" w:rsidR="003115E0" w:rsidRPr="002E1B6B" w:rsidRDefault="4F7662C7" w:rsidP="4F7662C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B0F0"/>
          <w:u w:val="single"/>
        </w:rPr>
      </w:pPr>
      <w:r w:rsidRPr="4F7662C7">
        <w:rPr>
          <w:rFonts w:asciiTheme="majorBidi" w:hAnsiTheme="majorBidi" w:cstheme="majorBidi"/>
          <w:b/>
          <w:bCs/>
          <w:color w:val="00B0F0"/>
          <w:u w:val="single"/>
        </w:rPr>
        <w:t>Veterans</w:t>
      </w:r>
    </w:p>
    <w:sectPr w:rsidR="003115E0" w:rsidRPr="002E1B6B" w:rsidSect="00EE78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193F" w14:textId="77777777" w:rsidR="00121E96" w:rsidRDefault="00121E96" w:rsidP="00CD0569">
      <w:r>
        <w:separator/>
      </w:r>
    </w:p>
  </w:endnote>
  <w:endnote w:type="continuationSeparator" w:id="0">
    <w:p w14:paraId="61B706A9" w14:textId="77777777" w:rsidR="00121E96" w:rsidRDefault="00121E96" w:rsidP="00CD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4F85" w14:textId="77777777" w:rsidR="00121E96" w:rsidRDefault="00121E96" w:rsidP="00D70674">
    <w:pPr>
      <w:pStyle w:val="Footer"/>
      <w:jc w:val="center"/>
    </w:pPr>
    <w:r w:rsidRPr="00D70674">
      <w:rPr>
        <w:rFonts w:ascii="Times New Roman" w:hAnsi="Times New Roman"/>
        <w:sz w:val="20"/>
        <w:szCs w:val="20"/>
      </w:rPr>
      <w:fldChar w:fldCharType="begin"/>
    </w:r>
    <w:r w:rsidRPr="00D70674">
      <w:rPr>
        <w:rFonts w:ascii="Times New Roman" w:hAnsi="Times New Roman"/>
        <w:sz w:val="20"/>
        <w:szCs w:val="20"/>
      </w:rPr>
      <w:instrText xml:space="preserve"> PAGE   \* MERGEFORMAT </w:instrText>
    </w:r>
    <w:r w:rsidRPr="00D70674">
      <w:rPr>
        <w:rFonts w:ascii="Times New Roman" w:hAnsi="Times New Roman"/>
        <w:sz w:val="20"/>
        <w:szCs w:val="20"/>
      </w:rPr>
      <w:fldChar w:fldCharType="separate"/>
    </w:r>
    <w:r w:rsidR="00457C28">
      <w:rPr>
        <w:rFonts w:ascii="Times New Roman" w:hAnsi="Times New Roman"/>
        <w:noProof/>
        <w:sz w:val="20"/>
        <w:szCs w:val="20"/>
      </w:rPr>
      <w:t>15</w:t>
    </w:r>
    <w:r w:rsidRPr="00D70674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4370" w14:textId="77777777" w:rsidR="00121E96" w:rsidRDefault="00121E96" w:rsidP="00CD0569">
      <w:r>
        <w:separator/>
      </w:r>
    </w:p>
  </w:footnote>
  <w:footnote w:type="continuationSeparator" w:id="0">
    <w:p w14:paraId="7DE7A80C" w14:textId="77777777" w:rsidR="00121E96" w:rsidRDefault="00121E96" w:rsidP="00CD0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95C9C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A2ECE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B166E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4E8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7FAEE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0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389B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60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B679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7864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27CB7"/>
    <w:multiLevelType w:val="hybridMultilevel"/>
    <w:tmpl w:val="85AA3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40D5F"/>
    <w:multiLevelType w:val="multilevel"/>
    <w:tmpl w:val="735A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18D5DFE"/>
    <w:multiLevelType w:val="multilevel"/>
    <w:tmpl w:val="2DEE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80557"/>
    <w:multiLevelType w:val="multilevel"/>
    <w:tmpl w:val="32A0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F0C7BC3"/>
    <w:multiLevelType w:val="multilevel"/>
    <w:tmpl w:val="6CA0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75074ED0"/>
    <w:multiLevelType w:val="multilevel"/>
    <w:tmpl w:val="70AA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7F4C4EE0"/>
    <w:multiLevelType w:val="multilevel"/>
    <w:tmpl w:val="58D4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459879997">
    <w:abstractNumId w:val="9"/>
  </w:num>
  <w:num w:numId="2" w16cid:durableId="460390820">
    <w:abstractNumId w:val="7"/>
  </w:num>
  <w:num w:numId="3" w16cid:durableId="1823160137">
    <w:abstractNumId w:val="6"/>
  </w:num>
  <w:num w:numId="4" w16cid:durableId="1171678394">
    <w:abstractNumId w:val="5"/>
  </w:num>
  <w:num w:numId="5" w16cid:durableId="1249728490">
    <w:abstractNumId w:val="4"/>
  </w:num>
  <w:num w:numId="6" w16cid:durableId="153569319">
    <w:abstractNumId w:val="8"/>
  </w:num>
  <w:num w:numId="7" w16cid:durableId="1269772750">
    <w:abstractNumId w:val="3"/>
  </w:num>
  <w:num w:numId="8" w16cid:durableId="1762292747">
    <w:abstractNumId w:val="2"/>
  </w:num>
  <w:num w:numId="9" w16cid:durableId="1880361103">
    <w:abstractNumId w:val="1"/>
  </w:num>
  <w:num w:numId="10" w16cid:durableId="1520972599">
    <w:abstractNumId w:val="0"/>
  </w:num>
  <w:num w:numId="11" w16cid:durableId="1704672568">
    <w:abstractNumId w:val="10"/>
  </w:num>
  <w:num w:numId="12" w16cid:durableId="2011909622">
    <w:abstractNumId w:val="13"/>
  </w:num>
  <w:num w:numId="13" w16cid:durableId="1052122056">
    <w:abstractNumId w:val="14"/>
  </w:num>
  <w:num w:numId="14" w16cid:durableId="1021779703">
    <w:abstractNumId w:val="11"/>
  </w:num>
  <w:num w:numId="15" w16cid:durableId="1045449648">
    <w:abstractNumId w:val="15"/>
  </w:num>
  <w:num w:numId="16" w16cid:durableId="711534463">
    <w:abstractNumId w:val="16"/>
  </w:num>
  <w:num w:numId="17" w16cid:durableId="18972035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D1"/>
    <w:rsid w:val="0000075A"/>
    <w:rsid w:val="00000D1F"/>
    <w:rsid w:val="000036A6"/>
    <w:rsid w:val="00003A30"/>
    <w:rsid w:val="00016B66"/>
    <w:rsid w:val="00017F7B"/>
    <w:rsid w:val="00020C54"/>
    <w:rsid w:val="00024992"/>
    <w:rsid w:val="00024A5E"/>
    <w:rsid w:val="00027273"/>
    <w:rsid w:val="0003072E"/>
    <w:rsid w:val="00030EB5"/>
    <w:rsid w:val="000356A3"/>
    <w:rsid w:val="0004249B"/>
    <w:rsid w:val="00050D9D"/>
    <w:rsid w:val="00060196"/>
    <w:rsid w:val="00063527"/>
    <w:rsid w:val="00067232"/>
    <w:rsid w:val="00072005"/>
    <w:rsid w:val="00075AD8"/>
    <w:rsid w:val="00076D12"/>
    <w:rsid w:val="0007785B"/>
    <w:rsid w:val="00080797"/>
    <w:rsid w:val="000825FA"/>
    <w:rsid w:val="00083081"/>
    <w:rsid w:val="00091288"/>
    <w:rsid w:val="00095EED"/>
    <w:rsid w:val="00096ECB"/>
    <w:rsid w:val="000B1F92"/>
    <w:rsid w:val="000C2455"/>
    <w:rsid w:val="000C5228"/>
    <w:rsid w:val="000D1A1C"/>
    <w:rsid w:val="000D1A3F"/>
    <w:rsid w:val="000D7598"/>
    <w:rsid w:val="000E3EE2"/>
    <w:rsid w:val="000E4FA4"/>
    <w:rsid w:val="000E5360"/>
    <w:rsid w:val="000F440D"/>
    <w:rsid w:val="00111F93"/>
    <w:rsid w:val="00121E96"/>
    <w:rsid w:val="00123060"/>
    <w:rsid w:val="001274D9"/>
    <w:rsid w:val="00127D46"/>
    <w:rsid w:val="001371FF"/>
    <w:rsid w:val="00147FC3"/>
    <w:rsid w:val="001508CD"/>
    <w:rsid w:val="00150B85"/>
    <w:rsid w:val="00150C46"/>
    <w:rsid w:val="00152D7F"/>
    <w:rsid w:val="001572E3"/>
    <w:rsid w:val="0016130F"/>
    <w:rsid w:val="00161C38"/>
    <w:rsid w:val="00164737"/>
    <w:rsid w:val="00164CE4"/>
    <w:rsid w:val="0017221A"/>
    <w:rsid w:val="001726C0"/>
    <w:rsid w:val="00174835"/>
    <w:rsid w:val="00174D2B"/>
    <w:rsid w:val="001829AE"/>
    <w:rsid w:val="0018330F"/>
    <w:rsid w:val="00184799"/>
    <w:rsid w:val="001877F8"/>
    <w:rsid w:val="0019206B"/>
    <w:rsid w:val="00194AB2"/>
    <w:rsid w:val="00194E71"/>
    <w:rsid w:val="001A44C3"/>
    <w:rsid w:val="001A4EC2"/>
    <w:rsid w:val="001A67BF"/>
    <w:rsid w:val="001B1298"/>
    <w:rsid w:val="001B2C51"/>
    <w:rsid w:val="001B4B51"/>
    <w:rsid w:val="001B61F2"/>
    <w:rsid w:val="001B6CAC"/>
    <w:rsid w:val="001B72E9"/>
    <w:rsid w:val="001B7520"/>
    <w:rsid w:val="001C05BB"/>
    <w:rsid w:val="001C7C4F"/>
    <w:rsid w:val="001D0E7C"/>
    <w:rsid w:val="001D53A1"/>
    <w:rsid w:val="001D6FEA"/>
    <w:rsid w:val="001E0802"/>
    <w:rsid w:val="001E416D"/>
    <w:rsid w:val="001E4728"/>
    <w:rsid w:val="001E678C"/>
    <w:rsid w:val="001F0E17"/>
    <w:rsid w:val="001F4ECE"/>
    <w:rsid w:val="001F5BF6"/>
    <w:rsid w:val="00204424"/>
    <w:rsid w:val="00213E51"/>
    <w:rsid w:val="002157DF"/>
    <w:rsid w:val="00216D76"/>
    <w:rsid w:val="00221071"/>
    <w:rsid w:val="00222B02"/>
    <w:rsid w:val="00222F75"/>
    <w:rsid w:val="00224115"/>
    <w:rsid w:val="00224F32"/>
    <w:rsid w:val="0022782C"/>
    <w:rsid w:val="002404E3"/>
    <w:rsid w:val="00240D46"/>
    <w:rsid w:val="002411B6"/>
    <w:rsid w:val="00245E3D"/>
    <w:rsid w:val="00245EB7"/>
    <w:rsid w:val="00250FFD"/>
    <w:rsid w:val="002516C4"/>
    <w:rsid w:val="00252495"/>
    <w:rsid w:val="00256B52"/>
    <w:rsid w:val="002631D1"/>
    <w:rsid w:val="00264BCF"/>
    <w:rsid w:val="00265DC6"/>
    <w:rsid w:val="0026727D"/>
    <w:rsid w:val="00267F9B"/>
    <w:rsid w:val="00272871"/>
    <w:rsid w:val="0027584D"/>
    <w:rsid w:val="00276F69"/>
    <w:rsid w:val="00284EFB"/>
    <w:rsid w:val="00286ECD"/>
    <w:rsid w:val="00290C4C"/>
    <w:rsid w:val="0029318A"/>
    <w:rsid w:val="0029579D"/>
    <w:rsid w:val="002A0DC8"/>
    <w:rsid w:val="002A681A"/>
    <w:rsid w:val="002C327F"/>
    <w:rsid w:val="002C71D6"/>
    <w:rsid w:val="002D138D"/>
    <w:rsid w:val="002D2337"/>
    <w:rsid w:val="002D5678"/>
    <w:rsid w:val="002D6B4E"/>
    <w:rsid w:val="002D6FC2"/>
    <w:rsid w:val="002E05C8"/>
    <w:rsid w:val="002E1B6B"/>
    <w:rsid w:val="002E39E5"/>
    <w:rsid w:val="002E3EE3"/>
    <w:rsid w:val="002E5280"/>
    <w:rsid w:val="002E544C"/>
    <w:rsid w:val="002E55D6"/>
    <w:rsid w:val="002F04E9"/>
    <w:rsid w:val="002F437A"/>
    <w:rsid w:val="002F45B4"/>
    <w:rsid w:val="002F7B90"/>
    <w:rsid w:val="0030272E"/>
    <w:rsid w:val="00305BF2"/>
    <w:rsid w:val="003073F9"/>
    <w:rsid w:val="0030761D"/>
    <w:rsid w:val="003104C7"/>
    <w:rsid w:val="003115E0"/>
    <w:rsid w:val="00313D1F"/>
    <w:rsid w:val="00314E28"/>
    <w:rsid w:val="0031587F"/>
    <w:rsid w:val="00322CDA"/>
    <w:rsid w:val="00323DE3"/>
    <w:rsid w:val="00333C62"/>
    <w:rsid w:val="00334A06"/>
    <w:rsid w:val="00334B2F"/>
    <w:rsid w:val="00337A9C"/>
    <w:rsid w:val="0034034B"/>
    <w:rsid w:val="00345EB7"/>
    <w:rsid w:val="00346BB6"/>
    <w:rsid w:val="003517F4"/>
    <w:rsid w:val="00355D87"/>
    <w:rsid w:val="00356B95"/>
    <w:rsid w:val="00356C8B"/>
    <w:rsid w:val="0036078F"/>
    <w:rsid w:val="003608BB"/>
    <w:rsid w:val="00363D82"/>
    <w:rsid w:val="00365D35"/>
    <w:rsid w:val="0037587B"/>
    <w:rsid w:val="00383F49"/>
    <w:rsid w:val="003874B2"/>
    <w:rsid w:val="00393CC0"/>
    <w:rsid w:val="003942DF"/>
    <w:rsid w:val="00394902"/>
    <w:rsid w:val="003A1CA7"/>
    <w:rsid w:val="003A274D"/>
    <w:rsid w:val="003A4BF5"/>
    <w:rsid w:val="003A50EA"/>
    <w:rsid w:val="003B0FC9"/>
    <w:rsid w:val="003B64E6"/>
    <w:rsid w:val="003C1C18"/>
    <w:rsid w:val="003C400C"/>
    <w:rsid w:val="003C408E"/>
    <w:rsid w:val="003D27E6"/>
    <w:rsid w:val="003D348A"/>
    <w:rsid w:val="003D6F1A"/>
    <w:rsid w:val="003E0D3E"/>
    <w:rsid w:val="003E2A05"/>
    <w:rsid w:val="003E2A15"/>
    <w:rsid w:val="003E4123"/>
    <w:rsid w:val="003F05A4"/>
    <w:rsid w:val="003F0B08"/>
    <w:rsid w:val="003F1E9C"/>
    <w:rsid w:val="003F215E"/>
    <w:rsid w:val="003F298D"/>
    <w:rsid w:val="004001C3"/>
    <w:rsid w:val="00400AA5"/>
    <w:rsid w:val="00400BC6"/>
    <w:rsid w:val="004059E0"/>
    <w:rsid w:val="00413996"/>
    <w:rsid w:val="00413B9E"/>
    <w:rsid w:val="0042424B"/>
    <w:rsid w:val="004253E9"/>
    <w:rsid w:val="00425B5A"/>
    <w:rsid w:val="00425F2A"/>
    <w:rsid w:val="0042633B"/>
    <w:rsid w:val="004318BF"/>
    <w:rsid w:val="00433A8D"/>
    <w:rsid w:val="00434083"/>
    <w:rsid w:val="004465C5"/>
    <w:rsid w:val="0045164D"/>
    <w:rsid w:val="00453D4A"/>
    <w:rsid w:val="00454940"/>
    <w:rsid w:val="00457C28"/>
    <w:rsid w:val="0046025E"/>
    <w:rsid w:val="00461FE7"/>
    <w:rsid w:val="00465BAB"/>
    <w:rsid w:val="004664FD"/>
    <w:rsid w:val="00471243"/>
    <w:rsid w:val="004717BC"/>
    <w:rsid w:val="00474E10"/>
    <w:rsid w:val="00480C0A"/>
    <w:rsid w:val="004819A3"/>
    <w:rsid w:val="0048328B"/>
    <w:rsid w:val="00484867"/>
    <w:rsid w:val="00484C58"/>
    <w:rsid w:val="004850C5"/>
    <w:rsid w:val="00485A69"/>
    <w:rsid w:val="004967A9"/>
    <w:rsid w:val="004975A0"/>
    <w:rsid w:val="004A3A73"/>
    <w:rsid w:val="004A49E4"/>
    <w:rsid w:val="004A4CE8"/>
    <w:rsid w:val="004A7A46"/>
    <w:rsid w:val="004B092C"/>
    <w:rsid w:val="004B0B11"/>
    <w:rsid w:val="004B29C9"/>
    <w:rsid w:val="004B4596"/>
    <w:rsid w:val="004C1A92"/>
    <w:rsid w:val="004C2437"/>
    <w:rsid w:val="004C4F52"/>
    <w:rsid w:val="004C75C8"/>
    <w:rsid w:val="004D1850"/>
    <w:rsid w:val="004D2E07"/>
    <w:rsid w:val="004D3FDA"/>
    <w:rsid w:val="004D5605"/>
    <w:rsid w:val="004D6BFF"/>
    <w:rsid w:val="004E2B64"/>
    <w:rsid w:val="004E30EC"/>
    <w:rsid w:val="004E67FB"/>
    <w:rsid w:val="004E6BBA"/>
    <w:rsid w:val="004E7AC2"/>
    <w:rsid w:val="004F5805"/>
    <w:rsid w:val="004F75E0"/>
    <w:rsid w:val="0050190F"/>
    <w:rsid w:val="00501F5E"/>
    <w:rsid w:val="0050443C"/>
    <w:rsid w:val="00506D69"/>
    <w:rsid w:val="005156DB"/>
    <w:rsid w:val="00520649"/>
    <w:rsid w:val="00522275"/>
    <w:rsid w:val="005223A7"/>
    <w:rsid w:val="00525FBB"/>
    <w:rsid w:val="005306E9"/>
    <w:rsid w:val="00532A6B"/>
    <w:rsid w:val="00532E79"/>
    <w:rsid w:val="005332F4"/>
    <w:rsid w:val="0053338A"/>
    <w:rsid w:val="0053523D"/>
    <w:rsid w:val="00540105"/>
    <w:rsid w:val="005404DB"/>
    <w:rsid w:val="005427EF"/>
    <w:rsid w:val="00544C9B"/>
    <w:rsid w:val="00545486"/>
    <w:rsid w:val="00550C01"/>
    <w:rsid w:val="00552C3A"/>
    <w:rsid w:val="00553538"/>
    <w:rsid w:val="00553CED"/>
    <w:rsid w:val="005545FE"/>
    <w:rsid w:val="005573EB"/>
    <w:rsid w:val="00563AE1"/>
    <w:rsid w:val="00574340"/>
    <w:rsid w:val="00577423"/>
    <w:rsid w:val="00577D77"/>
    <w:rsid w:val="00591A9E"/>
    <w:rsid w:val="00594FBA"/>
    <w:rsid w:val="00597442"/>
    <w:rsid w:val="005B6D23"/>
    <w:rsid w:val="005C42E1"/>
    <w:rsid w:val="005C4B55"/>
    <w:rsid w:val="005D0BF8"/>
    <w:rsid w:val="005D0CC8"/>
    <w:rsid w:val="005E0406"/>
    <w:rsid w:val="005E0A50"/>
    <w:rsid w:val="005F170E"/>
    <w:rsid w:val="00600235"/>
    <w:rsid w:val="00600BE4"/>
    <w:rsid w:val="00607A18"/>
    <w:rsid w:val="006107D8"/>
    <w:rsid w:val="006173DC"/>
    <w:rsid w:val="00623184"/>
    <w:rsid w:val="006248FD"/>
    <w:rsid w:val="00625014"/>
    <w:rsid w:val="00625EFC"/>
    <w:rsid w:val="006277A9"/>
    <w:rsid w:val="00633094"/>
    <w:rsid w:val="00637A03"/>
    <w:rsid w:val="00641331"/>
    <w:rsid w:val="006459A4"/>
    <w:rsid w:val="00651EB5"/>
    <w:rsid w:val="006527D8"/>
    <w:rsid w:val="0065687F"/>
    <w:rsid w:val="00660007"/>
    <w:rsid w:val="00666F7B"/>
    <w:rsid w:val="00677220"/>
    <w:rsid w:val="006810D8"/>
    <w:rsid w:val="0068683D"/>
    <w:rsid w:val="006917DB"/>
    <w:rsid w:val="00692940"/>
    <w:rsid w:val="006970EE"/>
    <w:rsid w:val="006A3018"/>
    <w:rsid w:val="006B767D"/>
    <w:rsid w:val="006B79AE"/>
    <w:rsid w:val="006C3DF3"/>
    <w:rsid w:val="006D15A5"/>
    <w:rsid w:val="006D2433"/>
    <w:rsid w:val="006D48BE"/>
    <w:rsid w:val="006D49E5"/>
    <w:rsid w:val="006D775D"/>
    <w:rsid w:val="006E2F40"/>
    <w:rsid w:val="006F23F5"/>
    <w:rsid w:val="006F5F49"/>
    <w:rsid w:val="00702B80"/>
    <w:rsid w:val="0070326C"/>
    <w:rsid w:val="00704EBB"/>
    <w:rsid w:val="00705910"/>
    <w:rsid w:val="007174A8"/>
    <w:rsid w:val="0073394E"/>
    <w:rsid w:val="0073680E"/>
    <w:rsid w:val="00736BA2"/>
    <w:rsid w:val="0074367C"/>
    <w:rsid w:val="00744104"/>
    <w:rsid w:val="00751BD5"/>
    <w:rsid w:val="0075243A"/>
    <w:rsid w:val="00753F58"/>
    <w:rsid w:val="007540CC"/>
    <w:rsid w:val="00755D68"/>
    <w:rsid w:val="007570FB"/>
    <w:rsid w:val="0075785F"/>
    <w:rsid w:val="00761674"/>
    <w:rsid w:val="00785276"/>
    <w:rsid w:val="0079011B"/>
    <w:rsid w:val="00793550"/>
    <w:rsid w:val="00797327"/>
    <w:rsid w:val="007A1B53"/>
    <w:rsid w:val="007A5EC8"/>
    <w:rsid w:val="007B3C69"/>
    <w:rsid w:val="007B4886"/>
    <w:rsid w:val="007B6B25"/>
    <w:rsid w:val="007C21D8"/>
    <w:rsid w:val="007C229C"/>
    <w:rsid w:val="007C618D"/>
    <w:rsid w:val="007D0459"/>
    <w:rsid w:val="007D2D86"/>
    <w:rsid w:val="007D4228"/>
    <w:rsid w:val="007D4605"/>
    <w:rsid w:val="007D5412"/>
    <w:rsid w:val="007D5883"/>
    <w:rsid w:val="007D6E36"/>
    <w:rsid w:val="007D6F35"/>
    <w:rsid w:val="007E4DC0"/>
    <w:rsid w:val="007E57FD"/>
    <w:rsid w:val="007E63B9"/>
    <w:rsid w:val="007E6A57"/>
    <w:rsid w:val="007F4422"/>
    <w:rsid w:val="007F6235"/>
    <w:rsid w:val="007F7206"/>
    <w:rsid w:val="008005A5"/>
    <w:rsid w:val="0080101C"/>
    <w:rsid w:val="00810B47"/>
    <w:rsid w:val="0081154F"/>
    <w:rsid w:val="00811FF7"/>
    <w:rsid w:val="00820D4B"/>
    <w:rsid w:val="00822349"/>
    <w:rsid w:val="00824170"/>
    <w:rsid w:val="00830B7F"/>
    <w:rsid w:val="00832F9D"/>
    <w:rsid w:val="00834395"/>
    <w:rsid w:val="00834995"/>
    <w:rsid w:val="00836F46"/>
    <w:rsid w:val="00842F06"/>
    <w:rsid w:val="00846DFA"/>
    <w:rsid w:val="00853491"/>
    <w:rsid w:val="00863980"/>
    <w:rsid w:val="00866C2E"/>
    <w:rsid w:val="008715B3"/>
    <w:rsid w:val="008737CF"/>
    <w:rsid w:val="00875A78"/>
    <w:rsid w:val="008853B7"/>
    <w:rsid w:val="008858D7"/>
    <w:rsid w:val="00891CF1"/>
    <w:rsid w:val="00894445"/>
    <w:rsid w:val="008949EE"/>
    <w:rsid w:val="0089746A"/>
    <w:rsid w:val="008A03D0"/>
    <w:rsid w:val="008A13EC"/>
    <w:rsid w:val="008B1AA5"/>
    <w:rsid w:val="008B2A9C"/>
    <w:rsid w:val="008B4D2B"/>
    <w:rsid w:val="008B6394"/>
    <w:rsid w:val="008B7BD8"/>
    <w:rsid w:val="008D127A"/>
    <w:rsid w:val="008E157A"/>
    <w:rsid w:val="008E2004"/>
    <w:rsid w:val="008E79DE"/>
    <w:rsid w:val="008E7A78"/>
    <w:rsid w:val="008F0146"/>
    <w:rsid w:val="008F0AEA"/>
    <w:rsid w:val="008F238A"/>
    <w:rsid w:val="008F3548"/>
    <w:rsid w:val="008F40F9"/>
    <w:rsid w:val="008F541B"/>
    <w:rsid w:val="00901D33"/>
    <w:rsid w:val="009112B2"/>
    <w:rsid w:val="0091281F"/>
    <w:rsid w:val="009129BF"/>
    <w:rsid w:val="00913593"/>
    <w:rsid w:val="0091457A"/>
    <w:rsid w:val="009164BB"/>
    <w:rsid w:val="00917038"/>
    <w:rsid w:val="00920B54"/>
    <w:rsid w:val="00923B71"/>
    <w:rsid w:val="0092750C"/>
    <w:rsid w:val="00935EE5"/>
    <w:rsid w:val="00941D87"/>
    <w:rsid w:val="00947F80"/>
    <w:rsid w:val="00956229"/>
    <w:rsid w:val="00956C70"/>
    <w:rsid w:val="00957F95"/>
    <w:rsid w:val="00976A26"/>
    <w:rsid w:val="00977D22"/>
    <w:rsid w:val="00980D1F"/>
    <w:rsid w:val="009940F2"/>
    <w:rsid w:val="00994485"/>
    <w:rsid w:val="009962EA"/>
    <w:rsid w:val="009A3063"/>
    <w:rsid w:val="009B435A"/>
    <w:rsid w:val="009B489A"/>
    <w:rsid w:val="009C0508"/>
    <w:rsid w:val="009C1D85"/>
    <w:rsid w:val="009C229F"/>
    <w:rsid w:val="009C2DFE"/>
    <w:rsid w:val="009C5D94"/>
    <w:rsid w:val="009C6E05"/>
    <w:rsid w:val="009D06F7"/>
    <w:rsid w:val="009E0874"/>
    <w:rsid w:val="009E23DA"/>
    <w:rsid w:val="009E73DE"/>
    <w:rsid w:val="009F3418"/>
    <w:rsid w:val="009F61CB"/>
    <w:rsid w:val="009F7A75"/>
    <w:rsid w:val="00A0030A"/>
    <w:rsid w:val="00A00F0F"/>
    <w:rsid w:val="00A02522"/>
    <w:rsid w:val="00A060D0"/>
    <w:rsid w:val="00A06910"/>
    <w:rsid w:val="00A06FAA"/>
    <w:rsid w:val="00A141A7"/>
    <w:rsid w:val="00A1753E"/>
    <w:rsid w:val="00A17CA1"/>
    <w:rsid w:val="00A21F85"/>
    <w:rsid w:val="00A32331"/>
    <w:rsid w:val="00A32E3A"/>
    <w:rsid w:val="00A34865"/>
    <w:rsid w:val="00A42F85"/>
    <w:rsid w:val="00A43E75"/>
    <w:rsid w:val="00A450EF"/>
    <w:rsid w:val="00A47210"/>
    <w:rsid w:val="00A474ED"/>
    <w:rsid w:val="00A51BE6"/>
    <w:rsid w:val="00A55C41"/>
    <w:rsid w:val="00A60F1F"/>
    <w:rsid w:val="00A652A9"/>
    <w:rsid w:val="00A67708"/>
    <w:rsid w:val="00A7039B"/>
    <w:rsid w:val="00A756BE"/>
    <w:rsid w:val="00A8012F"/>
    <w:rsid w:val="00A83394"/>
    <w:rsid w:val="00A847A3"/>
    <w:rsid w:val="00A90347"/>
    <w:rsid w:val="00A935AE"/>
    <w:rsid w:val="00A940E3"/>
    <w:rsid w:val="00A94119"/>
    <w:rsid w:val="00AA04E6"/>
    <w:rsid w:val="00AA653A"/>
    <w:rsid w:val="00AB1E68"/>
    <w:rsid w:val="00AB2276"/>
    <w:rsid w:val="00AB6A28"/>
    <w:rsid w:val="00AC514B"/>
    <w:rsid w:val="00AC7C71"/>
    <w:rsid w:val="00AD19E1"/>
    <w:rsid w:val="00AD1CFA"/>
    <w:rsid w:val="00AD27A1"/>
    <w:rsid w:val="00AE1BC0"/>
    <w:rsid w:val="00AE3178"/>
    <w:rsid w:val="00AE490F"/>
    <w:rsid w:val="00AE650D"/>
    <w:rsid w:val="00AF5E8D"/>
    <w:rsid w:val="00AF6934"/>
    <w:rsid w:val="00B02EE9"/>
    <w:rsid w:val="00B03C2A"/>
    <w:rsid w:val="00B057B0"/>
    <w:rsid w:val="00B05E45"/>
    <w:rsid w:val="00B1145F"/>
    <w:rsid w:val="00B15134"/>
    <w:rsid w:val="00B24B4B"/>
    <w:rsid w:val="00B253B9"/>
    <w:rsid w:val="00B33B0E"/>
    <w:rsid w:val="00B3443C"/>
    <w:rsid w:val="00B43433"/>
    <w:rsid w:val="00B44BCA"/>
    <w:rsid w:val="00B46588"/>
    <w:rsid w:val="00B52356"/>
    <w:rsid w:val="00B53823"/>
    <w:rsid w:val="00B538C4"/>
    <w:rsid w:val="00B540EF"/>
    <w:rsid w:val="00B60830"/>
    <w:rsid w:val="00B662EB"/>
    <w:rsid w:val="00B72F29"/>
    <w:rsid w:val="00B82073"/>
    <w:rsid w:val="00B82C07"/>
    <w:rsid w:val="00B83F1B"/>
    <w:rsid w:val="00B84A0C"/>
    <w:rsid w:val="00B91B7C"/>
    <w:rsid w:val="00B91E19"/>
    <w:rsid w:val="00BA04DB"/>
    <w:rsid w:val="00BB73CE"/>
    <w:rsid w:val="00BD162B"/>
    <w:rsid w:val="00BD38FF"/>
    <w:rsid w:val="00BD5EFA"/>
    <w:rsid w:val="00BD6208"/>
    <w:rsid w:val="00BD643C"/>
    <w:rsid w:val="00BE4401"/>
    <w:rsid w:val="00BE6E75"/>
    <w:rsid w:val="00BF0998"/>
    <w:rsid w:val="00BF33F7"/>
    <w:rsid w:val="00BF35E2"/>
    <w:rsid w:val="00BF5770"/>
    <w:rsid w:val="00BF60AA"/>
    <w:rsid w:val="00BF79A1"/>
    <w:rsid w:val="00C00670"/>
    <w:rsid w:val="00C127AF"/>
    <w:rsid w:val="00C137D2"/>
    <w:rsid w:val="00C14C2B"/>
    <w:rsid w:val="00C1512A"/>
    <w:rsid w:val="00C15F6B"/>
    <w:rsid w:val="00C20F9E"/>
    <w:rsid w:val="00C242B5"/>
    <w:rsid w:val="00C32EF0"/>
    <w:rsid w:val="00C336B6"/>
    <w:rsid w:val="00C34E98"/>
    <w:rsid w:val="00C35347"/>
    <w:rsid w:val="00C42C4D"/>
    <w:rsid w:val="00C4664B"/>
    <w:rsid w:val="00C55CCC"/>
    <w:rsid w:val="00C62A8C"/>
    <w:rsid w:val="00C65469"/>
    <w:rsid w:val="00C668C9"/>
    <w:rsid w:val="00C66FC0"/>
    <w:rsid w:val="00C71865"/>
    <w:rsid w:val="00C7361A"/>
    <w:rsid w:val="00C755F7"/>
    <w:rsid w:val="00C76CFC"/>
    <w:rsid w:val="00C803DF"/>
    <w:rsid w:val="00C938E5"/>
    <w:rsid w:val="00C94CF5"/>
    <w:rsid w:val="00C9593D"/>
    <w:rsid w:val="00CA20C8"/>
    <w:rsid w:val="00CB0E46"/>
    <w:rsid w:val="00CB5358"/>
    <w:rsid w:val="00CB5FBC"/>
    <w:rsid w:val="00CB6228"/>
    <w:rsid w:val="00CC5F3E"/>
    <w:rsid w:val="00CC600E"/>
    <w:rsid w:val="00CD0569"/>
    <w:rsid w:val="00CD056D"/>
    <w:rsid w:val="00CD6376"/>
    <w:rsid w:val="00CE0250"/>
    <w:rsid w:val="00CE1FD6"/>
    <w:rsid w:val="00CE6C7F"/>
    <w:rsid w:val="00CF3429"/>
    <w:rsid w:val="00D01B3F"/>
    <w:rsid w:val="00D03917"/>
    <w:rsid w:val="00D05AED"/>
    <w:rsid w:val="00D1146D"/>
    <w:rsid w:val="00D16588"/>
    <w:rsid w:val="00D20F93"/>
    <w:rsid w:val="00D216F2"/>
    <w:rsid w:val="00D267BA"/>
    <w:rsid w:val="00D311DC"/>
    <w:rsid w:val="00D32D12"/>
    <w:rsid w:val="00D42A16"/>
    <w:rsid w:val="00D46658"/>
    <w:rsid w:val="00D46FF3"/>
    <w:rsid w:val="00D50861"/>
    <w:rsid w:val="00D52464"/>
    <w:rsid w:val="00D5349E"/>
    <w:rsid w:val="00D63502"/>
    <w:rsid w:val="00D66FDE"/>
    <w:rsid w:val="00D70674"/>
    <w:rsid w:val="00D70EE1"/>
    <w:rsid w:val="00D71B7E"/>
    <w:rsid w:val="00D720ED"/>
    <w:rsid w:val="00D752D8"/>
    <w:rsid w:val="00D7553C"/>
    <w:rsid w:val="00D75CE7"/>
    <w:rsid w:val="00D766A4"/>
    <w:rsid w:val="00D907FF"/>
    <w:rsid w:val="00D9096F"/>
    <w:rsid w:val="00D90BE4"/>
    <w:rsid w:val="00D924FB"/>
    <w:rsid w:val="00D930A3"/>
    <w:rsid w:val="00D94A1C"/>
    <w:rsid w:val="00D9781E"/>
    <w:rsid w:val="00DA146D"/>
    <w:rsid w:val="00DA2BAC"/>
    <w:rsid w:val="00DB07DA"/>
    <w:rsid w:val="00DB3C3E"/>
    <w:rsid w:val="00DB3D04"/>
    <w:rsid w:val="00DB4723"/>
    <w:rsid w:val="00DB5C56"/>
    <w:rsid w:val="00DC1B09"/>
    <w:rsid w:val="00DD111D"/>
    <w:rsid w:val="00DD2FF4"/>
    <w:rsid w:val="00DD47CC"/>
    <w:rsid w:val="00DD7411"/>
    <w:rsid w:val="00DD7994"/>
    <w:rsid w:val="00DF24B0"/>
    <w:rsid w:val="00DF3F92"/>
    <w:rsid w:val="00E038EB"/>
    <w:rsid w:val="00E040D5"/>
    <w:rsid w:val="00E05AA2"/>
    <w:rsid w:val="00E06C79"/>
    <w:rsid w:val="00E13071"/>
    <w:rsid w:val="00E1442C"/>
    <w:rsid w:val="00E21852"/>
    <w:rsid w:val="00E2408A"/>
    <w:rsid w:val="00E34D90"/>
    <w:rsid w:val="00E37FC5"/>
    <w:rsid w:val="00E4108E"/>
    <w:rsid w:val="00E4370F"/>
    <w:rsid w:val="00E44237"/>
    <w:rsid w:val="00E465C4"/>
    <w:rsid w:val="00E46F22"/>
    <w:rsid w:val="00E47B10"/>
    <w:rsid w:val="00E57131"/>
    <w:rsid w:val="00E574EE"/>
    <w:rsid w:val="00E64E0C"/>
    <w:rsid w:val="00E737FB"/>
    <w:rsid w:val="00E74F3C"/>
    <w:rsid w:val="00E74FF3"/>
    <w:rsid w:val="00E753CE"/>
    <w:rsid w:val="00E82179"/>
    <w:rsid w:val="00E82BE4"/>
    <w:rsid w:val="00E9056D"/>
    <w:rsid w:val="00E938E8"/>
    <w:rsid w:val="00E961B7"/>
    <w:rsid w:val="00EA10F4"/>
    <w:rsid w:val="00EB3E2A"/>
    <w:rsid w:val="00EB6C13"/>
    <w:rsid w:val="00EC0A44"/>
    <w:rsid w:val="00EC4717"/>
    <w:rsid w:val="00EC4A6D"/>
    <w:rsid w:val="00EC5347"/>
    <w:rsid w:val="00ED1280"/>
    <w:rsid w:val="00ED171B"/>
    <w:rsid w:val="00ED5E72"/>
    <w:rsid w:val="00EE17F2"/>
    <w:rsid w:val="00EE28AE"/>
    <w:rsid w:val="00EE441A"/>
    <w:rsid w:val="00EE4877"/>
    <w:rsid w:val="00EE5F66"/>
    <w:rsid w:val="00EE7883"/>
    <w:rsid w:val="00EF04BF"/>
    <w:rsid w:val="00EF23DA"/>
    <w:rsid w:val="00EF28FF"/>
    <w:rsid w:val="00EF2CC7"/>
    <w:rsid w:val="00F027B6"/>
    <w:rsid w:val="00F07D14"/>
    <w:rsid w:val="00F11BD1"/>
    <w:rsid w:val="00F1430D"/>
    <w:rsid w:val="00F143DF"/>
    <w:rsid w:val="00F15F85"/>
    <w:rsid w:val="00F22CCF"/>
    <w:rsid w:val="00F24B48"/>
    <w:rsid w:val="00F25C8D"/>
    <w:rsid w:val="00F31B95"/>
    <w:rsid w:val="00F3512D"/>
    <w:rsid w:val="00F404C6"/>
    <w:rsid w:val="00F4542F"/>
    <w:rsid w:val="00F45C21"/>
    <w:rsid w:val="00F512C0"/>
    <w:rsid w:val="00F51BB6"/>
    <w:rsid w:val="00F53BBB"/>
    <w:rsid w:val="00F546FE"/>
    <w:rsid w:val="00F55D4B"/>
    <w:rsid w:val="00F6480F"/>
    <w:rsid w:val="00F67472"/>
    <w:rsid w:val="00F67E12"/>
    <w:rsid w:val="00F70B1A"/>
    <w:rsid w:val="00F70DA1"/>
    <w:rsid w:val="00F77579"/>
    <w:rsid w:val="00F777CC"/>
    <w:rsid w:val="00F77D96"/>
    <w:rsid w:val="00F84781"/>
    <w:rsid w:val="00F93592"/>
    <w:rsid w:val="00F969F1"/>
    <w:rsid w:val="00F97B21"/>
    <w:rsid w:val="00FA0D5F"/>
    <w:rsid w:val="00FA496B"/>
    <w:rsid w:val="00FA5226"/>
    <w:rsid w:val="00FA7E5C"/>
    <w:rsid w:val="00FB10F3"/>
    <w:rsid w:val="00FB4527"/>
    <w:rsid w:val="00FC0214"/>
    <w:rsid w:val="00FC05EA"/>
    <w:rsid w:val="00FC0B5F"/>
    <w:rsid w:val="00FC3D65"/>
    <w:rsid w:val="00FC715C"/>
    <w:rsid w:val="00FC7313"/>
    <w:rsid w:val="00FC7A65"/>
    <w:rsid w:val="00FD0C97"/>
    <w:rsid w:val="00FD72C9"/>
    <w:rsid w:val="00FE2B80"/>
    <w:rsid w:val="00FF1E36"/>
    <w:rsid w:val="00FF2446"/>
    <w:rsid w:val="00FF2869"/>
    <w:rsid w:val="00FF4C28"/>
    <w:rsid w:val="01D6A2F9"/>
    <w:rsid w:val="032BA971"/>
    <w:rsid w:val="0E50EA93"/>
    <w:rsid w:val="15B6303F"/>
    <w:rsid w:val="19CAF0E4"/>
    <w:rsid w:val="29FA4FDF"/>
    <w:rsid w:val="308A30A0"/>
    <w:rsid w:val="49D8D46C"/>
    <w:rsid w:val="4F7662C7"/>
    <w:rsid w:val="5B16D912"/>
    <w:rsid w:val="6ABF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73A77"/>
  <w15:docId w15:val="{4A23878F-5787-48B2-B8B4-A88E7B76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46"/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152D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locked/>
    <w:rsid w:val="00222B02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35EE5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35EE5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rsid w:val="00BD38F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BD38FF"/>
    <w:rPr>
      <w:rFonts w:cs="Times New Roman"/>
      <w:color w:val="0000FF"/>
      <w:u w:val="single"/>
    </w:rPr>
  </w:style>
  <w:style w:type="paragraph" w:customStyle="1" w:styleId="subheaderblack">
    <w:name w:val="subheaderblack"/>
    <w:basedOn w:val="Normal"/>
    <w:uiPriority w:val="99"/>
    <w:rsid w:val="00BD38F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D0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05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0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0569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EB6C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B6C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570FB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B6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570FB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EB6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70FB"/>
    <w:rPr>
      <w:rFonts w:ascii="Times New Roman" w:hAnsi="Times New Roman" w:cs="Times New Roman"/>
      <w:sz w:val="2"/>
      <w:lang w:eastAsia="en-US"/>
    </w:rPr>
  </w:style>
  <w:style w:type="paragraph" w:styleId="BodyText">
    <w:name w:val="Body Text"/>
    <w:basedOn w:val="Normal"/>
    <w:link w:val="BodyTextChar"/>
    <w:uiPriority w:val="99"/>
    <w:rsid w:val="00EB6C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570FB"/>
    <w:rPr>
      <w:rFonts w:cs="Times New Roman"/>
      <w:lang w:eastAsia="en-US"/>
    </w:rPr>
  </w:style>
  <w:style w:type="character" w:styleId="Emphasis">
    <w:name w:val="Emphasis"/>
    <w:basedOn w:val="DefaultParagraphFont"/>
    <w:uiPriority w:val="99"/>
    <w:qFormat/>
    <w:locked/>
    <w:rsid w:val="00C4664B"/>
    <w:rPr>
      <w:rFonts w:cs="Times New Roman"/>
      <w:b/>
      <w:bCs/>
    </w:rPr>
  </w:style>
  <w:style w:type="character" w:customStyle="1" w:styleId="st1">
    <w:name w:val="st1"/>
    <w:basedOn w:val="DefaultParagraphFont"/>
    <w:uiPriority w:val="99"/>
    <w:rsid w:val="00C4664B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222B02"/>
    <w:rPr>
      <w:rFonts w:cs="Times New Roman"/>
      <w:color w:val="800080"/>
      <w:u w:val="single"/>
    </w:rPr>
  </w:style>
  <w:style w:type="paragraph" w:customStyle="1" w:styleId="paralargetext">
    <w:name w:val="paralargetext"/>
    <w:basedOn w:val="Normal"/>
    <w:uiPriority w:val="99"/>
    <w:rsid w:val="00152D7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date1">
    <w:name w:val="date1"/>
    <w:basedOn w:val="DefaultParagraphFont"/>
    <w:uiPriority w:val="99"/>
    <w:rsid w:val="00216D76"/>
    <w:rPr>
      <w:rFonts w:cs="Times New Roman"/>
    </w:rPr>
  </w:style>
  <w:style w:type="character" w:customStyle="1" w:styleId="docinfo">
    <w:name w:val="docinfo"/>
    <w:basedOn w:val="DefaultParagraphFont"/>
    <w:uiPriority w:val="99"/>
    <w:rsid w:val="00356C8B"/>
    <w:rPr>
      <w:rFonts w:cs="Times New Roman"/>
    </w:rPr>
  </w:style>
  <w:style w:type="paragraph" w:styleId="Revision">
    <w:name w:val="Revision"/>
    <w:hidden/>
    <w:uiPriority w:val="99"/>
    <w:semiHidden/>
    <w:rsid w:val="008B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5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10">
                  <w:marLeft w:val="188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588">
                                  <w:marLeft w:val="188"/>
                                  <w:marRight w:val="188"/>
                                  <w:marTop w:val="0"/>
                                  <w:marBottom w:val="1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08">
                  <w:marLeft w:val="188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63">
                                  <w:marLeft w:val="188"/>
                                  <w:marRight w:val="188"/>
                                  <w:marTop w:val="0"/>
                                  <w:marBottom w:val="1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60">
                  <w:marLeft w:val="15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07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585">
                  <w:marLeft w:val="15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82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00">
                  <w:marLeft w:val="15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26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591">
                  <w:marLeft w:val="188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16">
                                  <w:marLeft w:val="188"/>
                                  <w:marRight w:val="188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5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5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64">
                  <w:marLeft w:val="188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33">
                                  <w:marLeft w:val="188"/>
                                  <w:marRight w:val="188"/>
                                  <w:marTop w:val="0"/>
                                  <w:marBottom w:val="1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29">
                  <w:marLeft w:val="188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590">
                                  <w:marLeft w:val="188"/>
                                  <w:marRight w:val="188"/>
                                  <w:marTop w:val="0"/>
                                  <w:marBottom w:val="1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54">
                  <w:marLeft w:val="15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571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65">
                                  <w:marLeft w:val="38"/>
                                  <w:marRight w:val="3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5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5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79">
                  <w:marLeft w:val="188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80">
                                  <w:marLeft w:val="188"/>
                                  <w:marRight w:val="188"/>
                                  <w:marTop w:val="0"/>
                                  <w:marBottom w:val="1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1656">
                  <w:marLeft w:val="188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618">
                                  <w:marLeft w:val="188"/>
                                  <w:marRight w:val="188"/>
                                  <w:marTop w:val="0"/>
                                  <w:marBottom w:val="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5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1711">
      <w:marLeft w:val="450"/>
      <w:marRight w:val="450"/>
      <w:marTop w:val="4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2126</Words>
  <Characters>12120</Characters>
  <Application>Microsoft Office Word</Application>
  <DocSecurity>0</DocSecurity>
  <Lines>101</Lines>
  <Paragraphs>28</Paragraphs>
  <ScaleCrop>false</ScaleCrop>
  <Company>Microsoft</Company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THOMAS—COMPLETE LIST WITH ADDED NOTES (CKS)</dc:title>
  <dc:creator>Charlotte</dc:creator>
  <cp:lastModifiedBy>Karina Garavito</cp:lastModifiedBy>
  <cp:revision>2</cp:revision>
  <cp:lastPrinted>2014-08-29T17:30:00Z</cp:lastPrinted>
  <dcterms:created xsi:type="dcterms:W3CDTF">2024-03-23T21:50:00Z</dcterms:created>
  <dcterms:modified xsi:type="dcterms:W3CDTF">2024-03-23T21:50:00Z</dcterms:modified>
</cp:coreProperties>
</file>