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Fleet Audit — Full Sweep</w:t>
      </w:r>
    </w:p>
    <w:p>
      <w:pPr>
        <w:spacing w:after="300"/>
      </w:pPr>
      <w:r>
        <w:t xml:space="preserve">Prepared for escalation to Fable, senior architect · </w:t>
      </w:r>
      <w:r>
        <w:rPr>
          <w:b/>
          <w:bCs/>
        </w:rPr>
        <w:t xml:space="preserve">2026-09-15</w:t>
      </w:r>
    </w:p>
    <w:p>
      <w:pPr>
        <w:pStyle w:val="Heading1"/>
        <w:spacing w:after="120" w:before="240"/>
      </w:pPr>
      <w:r>
        <w:t xml:space="preserve">Executive summary</w:t>
      </w:r>
    </w:p>
    <w:p>
      <w:pPr>
        <w:spacing w:after="120"/>
      </w:pPr>
      <w:r>
        <w:t xml:space="preserve">Swept all 23 repos in scope. All are clean, on the same working branch, current within the week. The fleet is healthy on the metric that matters most, </w:t>
      </w:r>
      <w:r>
        <w:rPr>
          <w:b/>
          <w:bCs/>
        </w:rPr>
        <w:t xml:space="preserve">the phase-zero kit's shared files are genuinely byte-identical</w:t>
      </w:r>
      <w:r>
        <w:t xml:space="preserve"> across all 14 declared consumers — verified by hash, not assumed. Four issues are worth your attention, one of them active drift risk:</w:t>
      </w:r>
    </w:p>
    <w:p>
      <w:pPr>
        <w:pStyle w:val="ListParagraph"/>
        <w:numPr>
          <w:ilvl w:val="0"/>
          <w:numId w:val="2"/>
        </w:numPr>
        <w:spacing w:after="60"/>
      </w:pPr>
      <w:r>
        <w:rPr>
          <w:b/>
          <w:bCs/>
        </w:rPr>
        <w:t xml:space="preserve">Kit source is stale relative to its own consumers </w:t>
      </w:r>
      <w:r>
        <w:t xml:space="preserve">— the toolkit's canonical </w:t>
      </w:r>
      <w:r>
        <w:rPr>
          <w:b/>
          <w:bCs/>
        </w:rPr>
        <w:t xml:space="preserve">model-routing.md</w:t>
      </w:r>
      <w:r>
        <w:t xml:space="preserve"> still describes a local inference lane that was retired 2026-09-13; every consumer's deployed copy already reflects the retirement. The next redeploy from the toolkit will silently revert 14 repos back to referencing infrastructure that no longer exists. See Cross-Repo Integration.</w:t>
      </w:r>
    </w:p>
    <w:p>
      <w:pPr>
        <w:pStyle w:val="ListParagraph"/>
        <w:numPr>
          <w:ilvl w:val="0"/>
          <w:numId w:val="2"/>
        </w:numPr>
        <w:spacing w:after="60"/>
      </w:pPr>
      <w:r>
        <w:rPr>
          <w:b/>
          <w:bCs/>
        </w:rPr>
        <w:t xml:space="preserve">public-kit is documented as shipped, isn't. </w:t>
      </w:r>
      <w:r>
        <w:t xml:space="preserve">The toolkit's own CLAUDE.md describes public-kit (license/README/CONTRIBUTING/SECURITY hygiene) as deployed 2026-08-21 to 7 named PUBLIC_CONSUMERS. None of them have a </w:t>
      </w:r>
      <w:r>
        <w:rPr>
          <w:b/>
          <w:bCs/>
        </w:rPr>
        <w:t xml:space="preserve">.claude/public-kit/</w:t>
      </w:r>
      <w:r>
        <w:t xml:space="preserve"> directory. The doc describes work that was scoped, never executed.</w:t>
      </w:r>
    </w:p>
    <w:p>
      <w:pPr>
        <w:pStyle w:val="ListParagraph"/>
        <w:numPr>
          <w:ilvl w:val="0"/>
          <w:numId w:val="2"/>
        </w:numPr>
        <w:spacing w:after="60"/>
      </w:pPr>
      <w:r>
        <w:t xml:space="preserve">License coverage on public-facing repos is inconsistent: </w:t>
      </w:r>
      <w:r>
        <w:rPr>
          <w:b/>
          <w:bCs/>
        </w:rPr>
        <w:t xml:space="preserve">isaacrubinstein.com</w:t>
      </w:r>
      <w:r>
        <w:t xml:space="preserve">, </w:t>
      </w:r>
      <w:r>
        <w:rPr>
          <w:b/>
          <w:bCs/>
        </w:rPr>
        <w:t xml:space="preserve">risaac09</w:t>
      </w:r>
      <w:r>
        <w:t xml:space="preserve">, and </w:t>
      </w:r>
      <w:r>
        <w:rPr>
          <w:b/>
          <w:bCs/>
        </w:rPr>
        <w:t xml:space="preserve">ritc-brand</w:t>
      </w:r>
      <w:r>
        <w:t xml:space="preserve"> carry no LICENSE despite being public and, in two cases, carrying original brand and creative assets.</w:t>
      </w:r>
    </w:p>
    <w:p>
      <w:pPr>
        <w:pStyle w:val="ListParagraph"/>
        <w:numPr>
          <w:ilvl w:val="0"/>
          <w:numId w:val="2"/>
        </w:numPr>
        <w:spacing w:after="60"/>
      </w:pPr>
      <w:r>
        <w:t xml:space="preserve">Test coverage is bimodal, not a gradient: stack-data (23), pureland-fork-kit (7), tailcat (9) test seriously; the rest of the fleet, including every Tier-2 product surface (rp-shared, rp-intranet, second-brain-mirror, three-bits, risaac09, ritc-brand), has zero.</w:t>
      </w:r>
    </w:p>
    <w:p>
      <w:pPr>
        <w:pBdr>
          <w:bottom w:val="single" w:color="999999" w:sz="6" w:space="1"/>
        </w:pBdr>
        <w:spacing w:after="200"/>
      </w:pPr>
    </w:p>
    <w:p>
      <w:pPr>
        <w:pStyle w:val="Heading1"/>
        <w:spacing w:after="120" w:before="240"/>
      </w:pPr>
      <w:r>
        <w:t xml:space="preserve">State of each repo</w:t>
      </w:r>
    </w:p>
    <w:p>
      <w:pPr>
        <w:spacing w:after="120"/>
      </w:pPr>
      <w:r>
        <w:t xml:space="preserve">Every repo is clean (zero uncommitted files) and on the same audit branch. “Kit” marks phase-zero deployment status; “no gap” means the repo is correctly outside the CONSUMERS allowlist, not missing anything.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1400"/>
        <w:gridCol w:w="1400"/>
        <w:gridCol w:w="1500"/>
      </w:tblGrid>
      <w:tr>
        <w:tc>
          <w:tcPr>
            <w:tcW w:type="dxa" w:w="2400"/>
            <w:shd w:fill="D9D9D9" w:val="clear"/>
          </w:tcPr>
          <w:p>
            <w:r>
              <w:rPr>
                <w:b/>
                <w:bCs/>
              </w:rPr>
              <w:t xml:space="preserve">Repo</w:t>
            </w:r>
          </w:p>
        </w:tc>
        <w:tc>
          <w:tcPr>
            <w:tcW w:type="dxa" w:w="1500"/>
            <w:shd w:fill="D9D9D9" w:val="clear"/>
          </w:tcPr>
          <w:p>
            <w:r>
              <w:rPr>
                <w:b/>
                <w:bCs/>
              </w:rPr>
              <w:t xml:space="preserve">Kit</w:t>
            </w:r>
          </w:p>
        </w:tc>
        <w:tc>
          <w:tcPr>
            <w:tcW w:type="dxa" w:w="1400"/>
            <w:shd w:fill="D9D9D9" w:val="clear"/>
          </w:tcPr>
          <w:p>
            <w:r>
              <w:rPr>
                <w:b/>
                <w:bCs/>
              </w:rPr>
              <w:t xml:space="preserve">CI</w:t>
            </w:r>
          </w:p>
        </w:tc>
        <w:tc>
          <w:tcPr>
            <w:tcW w:type="dxa" w:w="1400"/>
            <w:shd w:fill="D9D9D9" w:val="clear"/>
          </w:tcPr>
          <w:p>
            <w:r>
              <w:rPr>
                <w:b/>
                <w:bCs/>
              </w:rPr>
              <w:t xml:space="preserve">Tests</w:t>
            </w:r>
          </w:p>
        </w:tc>
        <w:tc>
          <w:tcPr>
            <w:tcW w:type="dxa" w:w="1400"/>
            <w:shd w:fill="D9D9D9" w:val="clear"/>
          </w:tcPr>
          <w:p>
            <w:r>
              <w:rPr>
                <w:b/>
                <w:bCs/>
              </w:rPr>
              <w:t xml:space="preserve">License</w:t>
            </w:r>
          </w:p>
        </w:tc>
        <w:tc>
          <w:tcPr>
            <w:tcW w:type="dxa" w:w="1500"/>
            <w:shd w:fill="D9D9D9" w:val="clear"/>
          </w:tcPr>
          <w:p>
            <w:r>
              <w:rPr>
                <w:b/>
                <w:bCs/>
              </w:rPr>
              <w:t xml:space="preserve">Last activity</w:t>
            </w:r>
          </w:p>
        </w:tc>
      </w:tr>
      <w:tr>
        <w:tc>
          <w:tcPr>
            <w:tcW w:type="dxa" w:w="2400"/>
          </w:tcPr>
          <w:p>
            <w:r>
              <w:t xml:space="preserve">stack-data</w:t>
            </w:r>
          </w:p>
        </w:tc>
        <w:tc>
          <w:tcPr>
            <w:tcW w:type="dxa" w:w="1500"/>
          </w:tcPr>
          <w:p>
            <w:r>
              <w:t xml:space="preserve">yes (canonical)</w:t>
            </w:r>
          </w:p>
        </w:tc>
        <w:tc>
          <w:tcPr>
            <w:tcW w:type="dxa" w:w="1400"/>
          </w:tcPr>
          <w:p>
            <w:r>
              <w:t xml:space="preserve">9 workflows</w:t>
            </w:r>
          </w:p>
        </w:tc>
        <w:tc>
          <w:tcPr>
            <w:tcW w:type="dxa" w:w="1400"/>
          </w:tcPr>
          <w:p>
            <w:r>
              <w:t xml:space="preserve">23</w:t>
            </w:r>
          </w:p>
        </w:tc>
        <w:tc>
          <w:tcPr>
            <w:tcW w:type="dxa" w:w="1400"/>
          </w:tcPr>
          <w:p>
            <w:r>
              <w:t xml:space="preserve">private</w:t>
            </w:r>
          </w:p>
        </w:tc>
        <w:tc>
          <w:tcPr>
            <w:tcW w:type="dxa" w:w="1500"/>
          </w:tcPr>
          <w:p>
            <w:r>
              <w:t xml:space="preserve">2026-09-15, active daily</w:t>
            </w:r>
          </w:p>
        </w:tc>
      </w:tr>
      <w:tr>
        <w:tc>
          <w:tcPr>
            <w:tcW w:type="dxa" w:w="2400"/>
          </w:tcPr>
          <w:p>
            <w:r>
              <w:t xml:space="preserve">rubinstein-productions-toolkit</w:t>
            </w:r>
          </w:p>
        </w:tc>
        <w:tc>
          <w:tcPr>
            <w:tcW w:type="dxa" w:w="1500"/>
          </w:tcPr>
          <w:p>
            <w:r>
              <w:t xml:space="preserve">yes (source)</w:t>
            </w:r>
          </w:p>
        </w:tc>
        <w:tc>
          <w:tcPr>
            <w:tcW w:type="dxa" w:w="1400"/>
          </w:tcPr>
          <w:p>
            <w:r>
              <w:t xml:space="preserve">2</w:t>
            </w:r>
          </w:p>
        </w:tc>
        <w:tc>
          <w:tcPr>
            <w:tcW w:type="dxa" w:w="1400"/>
          </w:tcPr>
          <w:p>
            <w:r>
              <w:t xml:space="preserve">2</w:t>
            </w:r>
          </w:p>
        </w:tc>
        <w:tc>
          <w:tcPr>
            <w:tcW w:type="dxa" w:w="1400"/>
          </w:tcPr>
          <w:p>
            <w:r>
              <w:t xml:space="preserve">yes</w:t>
            </w:r>
          </w:p>
        </w:tc>
        <w:tc>
          <w:tcPr>
            <w:tcW w:type="dxa" w:w="1500"/>
          </w:tcPr>
          <w:p>
            <w:r>
              <w:t xml:space="preserve">2026-09-09</w:t>
            </w:r>
          </w:p>
        </w:tc>
      </w:tr>
      <w:tr>
        <w:tc>
          <w:tcPr>
            <w:tcW w:type="dxa" w:w="2400"/>
          </w:tcPr>
          <w:p>
            <w:r>
              <w:t xml:space="preserve">rp-shared</w:t>
            </w:r>
          </w:p>
        </w:tc>
        <w:tc>
          <w:tcPr>
            <w:tcW w:type="dxa" w:w="1500"/>
          </w:tcPr>
          <w:p>
            <w:r>
              <w:t xml:space="preserve">yes</w:t>
            </w:r>
          </w:p>
        </w:tc>
        <w:tc>
          <w:tcPr>
            <w:tcW w:type="dxa" w:w="1400"/>
          </w:tcPr>
          <w:p>
            <w:r>
              <w:t xml:space="preserve">0</w:t>
            </w:r>
          </w:p>
        </w:tc>
        <w:tc>
          <w:tcPr>
            <w:tcW w:type="dxa" w:w="1400"/>
          </w:tcPr>
          <w:p>
            <w:r>
              <w:t xml:space="preserve">0</w:t>
            </w:r>
          </w:p>
        </w:tc>
        <w:tc>
          <w:tcPr>
            <w:tcW w:type="dxa" w:w="1400"/>
          </w:tcPr>
          <w:p>
            <w:r>
              <w:t xml:space="preserve">private</w:t>
            </w:r>
          </w:p>
        </w:tc>
        <w:tc>
          <w:tcPr>
            <w:tcW w:type="dxa" w:w="1500"/>
          </w:tcPr>
          <w:p>
            <w:r>
              <w:t xml:space="preserve">2026-09-14 redeploy</w:t>
            </w:r>
          </w:p>
        </w:tc>
      </w:tr>
      <w:tr>
        <w:tc>
          <w:tcPr>
            <w:tcW w:type="dxa" w:w="2400"/>
          </w:tcPr>
          <w:p>
            <w:r>
              <w:t xml:space="preserve">rp-intranet</w:t>
            </w:r>
          </w:p>
        </w:tc>
        <w:tc>
          <w:tcPr>
            <w:tcW w:type="dxa" w:w="1500"/>
          </w:tcPr>
          <w:p>
            <w:r>
              <w:t xml:space="preserve">yes</w:t>
            </w:r>
          </w:p>
        </w:tc>
        <w:tc>
          <w:tcPr>
            <w:tcW w:type="dxa" w:w="1400"/>
          </w:tcPr>
          <w:p>
            <w:r>
              <w:t xml:space="preserve">0</w:t>
            </w:r>
          </w:p>
        </w:tc>
        <w:tc>
          <w:tcPr>
            <w:tcW w:type="dxa" w:w="1400"/>
          </w:tcPr>
          <w:p>
            <w:r>
              <w:t xml:space="preserve">0</w:t>
            </w:r>
          </w:p>
        </w:tc>
        <w:tc>
          <w:tcPr>
            <w:tcW w:type="dxa" w:w="1400"/>
          </w:tcPr>
          <w:p>
            <w:r>
              <w:t xml:space="preserve">private</w:t>
            </w:r>
          </w:p>
        </w:tc>
        <w:tc>
          <w:tcPr>
            <w:tcW w:type="dxa" w:w="1500"/>
          </w:tcPr>
          <w:p>
            <w:r>
              <w:t xml:space="preserve">2026-09-14 redeploy</w:t>
            </w:r>
          </w:p>
        </w:tc>
      </w:tr>
      <w:tr>
        <w:tc>
          <w:tcPr>
            <w:tcW w:type="dxa" w:w="2400"/>
          </w:tcPr>
          <w:p>
            <w:r>
              <w:t xml:space="preserve">second-brain-mirror</w:t>
            </w:r>
          </w:p>
        </w:tc>
        <w:tc>
          <w:tcPr>
            <w:tcW w:type="dxa" w:w="1500"/>
          </w:tcPr>
          <w:p>
            <w:r>
              <w:t xml:space="preserve">yes</w:t>
            </w:r>
          </w:p>
        </w:tc>
        <w:tc>
          <w:tcPr>
            <w:tcW w:type="dxa" w:w="1400"/>
          </w:tcPr>
          <w:p>
            <w:r>
              <w:t xml:space="preserve">0</w:t>
            </w:r>
          </w:p>
        </w:tc>
        <w:tc>
          <w:tcPr>
            <w:tcW w:type="dxa" w:w="1400"/>
          </w:tcPr>
          <w:p>
            <w:r>
              <w:t xml:space="preserve">0</w:t>
            </w:r>
          </w:p>
        </w:tc>
        <w:tc>
          <w:tcPr>
            <w:tcW w:type="dxa" w:w="1400"/>
          </w:tcPr>
          <w:p>
            <w:r>
              <w:t xml:space="preserve">private</w:t>
            </w:r>
          </w:p>
        </w:tc>
        <w:tc>
          <w:tcPr>
            <w:tcW w:type="dxa" w:w="1500"/>
          </w:tcPr>
          <w:p>
            <w:r>
              <w:t xml:space="preserve">2026-09-15, autocommit</w:t>
            </w:r>
          </w:p>
        </w:tc>
      </w:tr>
      <w:tr>
        <w:tc>
          <w:tcPr>
            <w:tcW w:type="dxa" w:w="2400"/>
          </w:tcPr>
          <w:p>
            <w:r>
              <w:t xml:space="preserve">alchemy</w:t>
            </w:r>
          </w:p>
        </w:tc>
        <w:tc>
          <w:tcPr>
            <w:tcW w:type="dxa" w:w="1500"/>
          </w:tcPr>
          <w:p>
            <w:r>
              <w:t xml:space="preserve">yes</w:t>
            </w:r>
          </w:p>
        </w:tc>
        <w:tc>
          <w:tcPr>
            <w:tcW w:type="dxa" w:w="1400"/>
          </w:tcPr>
          <w:p>
            <w:r>
              <w:t xml:space="preserve">1</w:t>
            </w:r>
          </w:p>
        </w:tc>
        <w:tc>
          <w:tcPr>
            <w:tcW w:type="dxa" w:w="1400"/>
          </w:tcPr>
          <w:p>
            <w:r>
              <w:t xml:space="preserve">1</w:t>
            </w:r>
          </w:p>
        </w:tc>
        <w:tc>
          <w:tcPr>
            <w:tcW w:type="dxa" w:w="1400"/>
          </w:tcPr>
          <w:p>
            <w:r>
              <w:t xml:space="preserve">yes</w:t>
            </w:r>
          </w:p>
        </w:tc>
        <w:tc>
          <w:tcPr>
            <w:tcW w:type="dxa" w:w="1500"/>
          </w:tcPr>
          <w:p>
            <w:r>
              <w:t xml:space="preserve">2026-09-14 redeploy</w:t>
            </w:r>
          </w:p>
        </w:tc>
      </w:tr>
      <w:tr>
        <w:tc>
          <w:tcPr>
            <w:tcW w:type="dxa" w:w="2400"/>
          </w:tcPr>
          <w:p>
            <w:r>
              <w:t xml:space="preserve">rubinsteinproductions</w:t>
            </w:r>
          </w:p>
        </w:tc>
        <w:tc>
          <w:tcPr>
            <w:tcW w:type="dxa" w:w="1500"/>
          </w:tcPr>
          <w:p>
            <w:r>
              <w:t xml:space="preserve">yes</w:t>
            </w:r>
          </w:p>
        </w:tc>
        <w:tc>
          <w:tcPr>
            <w:tcW w:type="dxa" w:w="1400"/>
          </w:tcPr>
          <w:p>
            <w:r>
              <w:t xml:space="preserve">1</w:t>
            </w:r>
          </w:p>
        </w:tc>
        <w:tc>
          <w:tcPr>
            <w:tcW w:type="dxa" w:w="1400"/>
          </w:tcPr>
          <w:p>
            <w:r>
              <w:t xml:space="preserve">0</w:t>
            </w:r>
          </w:p>
        </w:tc>
        <w:tc>
          <w:tcPr>
            <w:tcW w:type="dxa" w:w="1400"/>
          </w:tcPr>
          <w:p>
            <w:r>
              <w:t xml:space="preserve">yes</w:t>
            </w:r>
          </w:p>
        </w:tc>
        <w:tc>
          <w:tcPr>
            <w:tcW w:type="dxa" w:w="1500"/>
          </w:tcPr>
          <w:p>
            <w:r>
              <w:t xml:space="preserve">2026-09-14 redeploy</w:t>
            </w:r>
          </w:p>
        </w:tc>
      </w:tr>
      <w:tr>
        <w:tc>
          <w:tcPr>
            <w:tcW w:type="dxa" w:w="2400"/>
          </w:tcPr>
          <w:p>
            <w:r>
              <w:t xml:space="preserve">material-and-meaning-institute</w:t>
            </w:r>
          </w:p>
        </w:tc>
        <w:tc>
          <w:tcPr>
            <w:tcW w:type="dxa" w:w="1500"/>
          </w:tcPr>
          <w:p>
            <w:r>
              <w:t xml:space="preserve">yes</w:t>
            </w:r>
          </w:p>
        </w:tc>
        <w:tc>
          <w:tcPr>
            <w:tcW w:type="dxa" w:w="1400"/>
          </w:tcPr>
          <w:p>
            <w:r>
              <w:t xml:space="preserve">1</w:t>
            </w:r>
          </w:p>
        </w:tc>
        <w:tc>
          <w:tcPr>
            <w:tcW w:type="dxa" w:w="1400"/>
          </w:tcPr>
          <w:p>
            <w:r>
              <w:t xml:space="preserve">1</w:t>
            </w:r>
          </w:p>
        </w:tc>
        <w:tc>
          <w:tcPr>
            <w:tcW w:type="dxa" w:w="1400"/>
          </w:tcPr>
          <w:p>
            <w:r>
              <w:t xml:space="preserve">no</w:t>
            </w:r>
          </w:p>
        </w:tc>
        <w:tc>
          <w:tcPr>
            <w:tcW w:type="dxa" w:w="1500"/>
          </w:tcPr>
          <w:p>
            <w:r>
              <w:t xml:space="preserve">2026-09-14 redeploy</w:t>
            </w:r>
          </w:p>
        </w:tc>
      </w:tr>
      <w:tr>
        <w:tc>
          <w:tcPr>
            <w:tcW w:type="dxa" w:w="2400"/>
          </w:tcPr>
          <w:p>
            <w:r>
              <w:t xml:space="preserve">home-scripts</w:t>
            </w:r>
          </w:p>
        </w:tc>
        <w:tc>
          <w:tcPr>
            <w:tcW w:type="dxa" w:w="1500"/>
          </w:tcPr>
          <w:p>
            <w:r>
              <w:t xml:space="preserve">yes</w:t>
            </w:r>
          </w:p>
        </w:tc>
        <w:tc>
          <w:tcPr>
            <w:tcW w:type="dxa" w:w="1400"/>
          </w:tcPr>
          <w:p>
            <w:r>
              <w:t xml:space="preserve">0</w:t>
            </w:r>
          </w:p>
        </w:tc>
        <w:tc>
          <w:tcPr>
            <w:tcW w:type="dxa" w:w="1400"/>
          </w:tcPr>
          <w:p>
            <w:r>
              <w:t xml:space="preserve">1</w:t>
            </w:r>
          </w:p>
        </w:tc>
        <w:tc>
          <w:tcPr>
            <w:tcW w:type="dxa" w:w="1400"/>
          </w:tcPr>
          <w:p>
            <w:r>
              <w:t xml:space="preserve">no</w:t>
            </w:r>
          </w:p>
        </w:tc>
        <w:tc>
          <w:tcPr>
            <w:tcW w:type="dxa" w:w="1500"/>
          </w:tcPr>
          <w:p>
            <w:r>
              <w:t xml:space="preserve">2026-09-13, active</w:t>
            </w:r>
          </w:p>
        </w:tc>
      </w:tr>
      <w:tr>
        <w:tc>
          <w:tcPr>
            <w:tcW w:type="dxa" w:w="2400"/>
          </w:tcPr>
          <w:p>
            <w:r>
              <w:t xml:space="preserve">gene-keys-data</w:t>
            </w:r>
          </w:p>
        </w:tc>
        <w:tc>
          <w:tcPr>
            <w:tcW w:type="dxa" w:w="1500"/>
          </w:tcPr>
          <w:p>
            <w:r>
              <w:t xml:space="preserve">yes</w:t>
            </w:r>
          </w:p>
        </w:tc>
        <w:tc>
          <w:tcPr>
            <w:tcW w:type="dxa" w:w="1400"/>
          </w:tcPr>
          <w:p>
            <w:r>
              <w:t xml:space="preserve">1</w:t>
            </w:r>
          </w:p>
        </w:tc>
        <w:tc>
          <w:tcPr>
            <w:tcW w:type="dxa" w:w="1400"/>
          </w:tcPr>
          <w:p>
            <w:r>
              <w:t xml:space="preserve">1</w:t>
            </w:r>
          </w:p>
        </w:tc>
        <w:tc>
          <w:tcPr>
            <w:tcW w:type="dxa" w:w="1400"/>
          </w:tcPr>
          <w:p>
            <w:r>
              <w:t xml:space="preserve">yes (dual)</w:t>
            </w:r>
          </w:p>
        </w:tc>
        <w:tc>
          <w:tcPr>
            <w:tcW w:type="dxa" w:w="1500"/>
          </w:tcPr>
          <w:p>
            <w:r>
              <w:t xml:space="preserve">2026-09-14 redeploy</w:t>
            </w:r>
          </w:p>
        </w:tc>
      </w:tr>
      <w:tr>
        <w:tc>
          <w:tcPr>
            <w:tcW w:type="dxa" w:w="2400"/>
          </w:tcPr>
          <w:p>
            <w:r>
              <w:t xml:space="preserve">three-type-evaluation</w:t>
            </w:r>
          </w:p>
        </w:tc>
        <w:tc>
          <w:tcPr>
            <w:tcW w:type="dxa" w:w="1500"/>
          </w:tcPr>
          <w:p>
            <w:r>
              <w:t xml:space="preserve">yes</w:t>
            </w:r>
          </w:p>
        </w:tc>
        <w:tc>
          <w:tcPr>
            <w:tcW w:type="dxa" w:w="1400"/>
          </w:tcPr>
          <w:p>
            <w:r>
              <w:t xml:space="preserve">0</w:t>
            </w:r>
          </w:p>
        </w:tc>
        <w:tc>
          <w:tcPr>
            <w:tcW w:type="dxa" w:w="1400"/>
          </w:tcPr>
          <w:p>
            <w:r>
              <w:t xml:space="preserve">0</w:t>
            </w:r>
          </w:p>
        </w:tc>
        <w:tc>
          <w:tcPr>
            <w:tcW w:type="dxa" w:w="1400"/>
          </w:tcPr>
          <w:p>
            <w:r>
              <w:t xml:space="preserve">yes</w:t>
            </w:r>
          </w:p>
        </w:tc>
        <w:tc>
          <w:tcPr>
            <w:tcW w:type="dxa" w:w="1500"/>
          </w:tcPr>
          <w:p>
            <w:r>
              <w:t xml:space="preserve">2026-09-14 redeploy</w:t>
            </w:r>
          </w:p>
        </w:tc>
      </w:tr>
      <w:tr>
        <w:tc>
          <w:tcPr>
            <w:tcW w:type="dxa" w:w="2400"/>
          </w:tcPr>
          <w:p>
            <w:r>
              <w:t xml:space="preserve">statehouse-dashboard</w:t>
            </w:r>
          </w:p>
        </w:tc>
        <w:tc>
          <w:tcPr>
            <w:tcW w:type="dxa" w:w="1500"/>
          </w:tcPr>
          <w:p>
            <w:r>
              <w:t xml:space="preserve">yes</w:t>
            </w:r>
          </w:p>
        </w:tc>
        <w:tc>
          <w:tcPr>
            <w:tcW w:type="dxa" w:w="1400"/>
          </w:tcPr>
          <w:p>
            <w:r>
              <w:t xml:space="preserve">1</w:t>
            </w:r>
          </w:p>
        </w:tc>
        <w:tc>
          <w:tcPr>
            <w:tcW w:type="dxa" w:w="1400"/>
          </w:tcPr>
          <w:p>
            <w:r>
              <w:t xml:space="preserve">1</w:t>
            </w:r>
          </w:p>
        </w:tc>
        <w:tc>
          <w:tcPr>
            <w:tcW w:type="dxa" w:w="1400"/>
          </w:tcPr>
          <w:p>
            <w:r>
              <w:t xml:space="preserve">yes</w:t>
            </w:r>
          </w:p>
        </w:tc>
        <w:tc>
          <w:tcPr>
            <w:tcW w:type="dxa" w:w="1500"/>
          </w:tcPr>
          <w:p>
            <w:r>
              <w:t xml:space="preserve">2026-09-15, daily Action</w:t>
            </w:r>
          </w:p>
        </w:tc>
      </w:tr>
      <w:tr>
        <w:tc>
          <w:tcPr>
            <w:tcW w:type="dxa" w:w="2400"/>
          </w:tcPr>
          <w:p>
            <w:r>
              <w:t xml:space="preserve">isaacrubinstein.com</w:t>
            </w:r>
          </w:p>
        </w:tc>
        <w:tc>
          <w:tcPr>
            <w:tcW w:type="dxa" w:w="1500"/>
          </w:tcPr>
          <w:p>
            <w:r>
              <w:t xml:space="preserve">yes</w:t>
            </w:r>
          </w:p>
        </w:tc>
        <w:tc>
          <w:tcPr>
            <w:tcW w:type="dxa" w:w="1400"/>
          </w:tcPr>
          <w:p>
            <w:r>
              <w:t xml:space="preserve">0</w:t>
            </w:r>
          </w:p>
        </w:tc>
        <w:tc>
          <w:tcPr>
            <w:tcW w:type="dxa" w:w="1400"/>
          </w:tcPr>
          <w:p>
            <w:r>
              <w:t xml:space="preserve">0</w:t>
            </w:r>
          </w:p>
        </w:tc>
        <w:tc>
          <w:tcPr>
            <w:tcW w:type="dxa" w:w="1400"/>
          </w:tcPr>
          <w:p>
            <w:r>
              <w:t xml:space="preserve">no (public)</w:t>
            </w:r>
          </w:p>
        </w:tc>
        <w:tc>
          <w:tcPr>
            <w:tcW w:type="dxa" w:w="1500"/>
          </w:tcPr>
          <w:p>
            <w:r>
              <w:t xml:space="preserve">2026-09-14 redeploy</w:t>
            </w:r>
          </w:p>
        </w:tc>
      </w:tr>
      <w:tr>
        <w:tc>
          <w:tcPr>
            <w:tcW w:type="dxa" w:w="2400"/>
          </w:tcPr>
          <w:p>
            <w:r>
              <w:t xml:space="preserve">three-bits</w:t>
            </w:r>
          </w:p>
        </w:tc>
        <w:tc>
          <w:tcPr>
            <w:tcW w:type="dxa" w:w="1500"/>
          </w:tcPr>
          <w:p>
            <w:r>
              <w:t xml:space="preserve">yes</w:t>
            </w:r>
          </w:p>
        </w:tc>
        <w:tc>
          <w:tcPr>
            <w:tcW w:type="dxa" w:w="1400"/>
          </w:tcPr>
          <w:p>
            <w:r>
              <w:t xml:space="preserve">0</w:t>
            </w:r>
          </w:p>
        </w:tc>
        <w:tc>
          <w:tcPr>
            <w:tcW w:type="dxa" w:w="1400"/>
          </w:tcPr>
          <w:p>
            <w:r>
              <w:t xml:space="preserve">0</w:t>
            </w:r>
          </w:p>
        </w:tc>
        <w:tc>
          <w:tcPr>
            <w:tcW w:type="dxa" w:w="1400"/>
          </w:tcPr>
          <w:p>
            <w:r>
              <w:t xml:space="preserve">no (private)</w:t>
            </w:r>
          </w:p>
        </w:tc>
        <w:tc>
          <w:tcPr>
            <w:tcW w:type="dxa" w:w="1500"/>
          </w:tcPr>
          <w:p>
            <w:r>
              <w:t xml:space="preserve">2026-09-14 redeploy</w:t>
            </w:r>
          </w:p>
        </w:tc>
      </w:tr>
      <w:tr>
        <w:tc>
          <w:tcPr>
            <w:tcW w:type="dxa" w:w="2400"/>
          </w:tcPr>
          <w:p>
            <w:r>
              <w:t xml:space="preserve">risaac09</w:t>
            </w:r>
          </w:p>
        </w:tc>
        <w:tc>
          <w:tcPr>
            <w:tcW w:type="dxa" w:w="1500"/>
          </w:tcPr>
          <w:p>
            <w:r>
              <w:t xml:space="preserve">no (by design)</w:t>
            </w:r>
          </w:p>
        </w:tc>
        <w:tc>
          <w:tcPr>
            <w:tcW w:type="dxa" w:w="1400"/>
          </w:tcPr>
          <w:p>
            <w:r>
              <w:t xml:space="preserve">0</w:t>
            </w:r>
          </w:p>
        </w:tc>
        <w:tc>
          <w:tcPr>
            <w:tcW w:type="dxa" w:w="1400"/>
          </w:tcPr>
          <w:p>
            <w:r>
              <w:t xml:space="preserve">0</w:t>
            </w:r>
          </w:p>
        </w:tc>
        <w:tc>
          <w:tcPr>
            <w:tcW w:type="dxa" w:w="1400"/>
          </w:tcPr>
          <w:p>
            <w:r>
              <w:t xml:space="preserve">no (public)</w:t>
            </w:r>
          </w:p>
        </w:tc>
        <w:tc>
          <w:tcPr>
            <w:tcW w:type="dxa" w:w="1500"/>
          </w:tcPr>
          <w:p>
            <w:r>
              <w:t xml:space="preserve">2026-09-09</w:t>
            </w:r>
          </w:p>
        </w:tc>
      </w:tr>
      <w:tr>
        <w:tc>
          <w:tcPr>
            <w:tcW w:type="dxa" w:w="2400"/>
          </w:tcPr>
          <w:p>
            <w:r>
              <w:t xml:space="preserve">ritc-brand</w:t>
            </w:r>
          </w:p>
        </w:tc>
        <w:tc>
          <w:tcPr>
            <w:tcW w:type="dxa" w:w="1500"/>
          </w:tcPr>
          <w:p>
            <w:r>
              <w:t xml:space="preserve">no gap</w:t>
            </w:r>
          </w:p>
        </w:tc>
        <w:tc>
          <w:tcPr>
            <w:tcW w:type="dxa" w:w="1400"/>
          </w:tcPr>
          <w:p>
            <w:r>
              <w:t xml:space="preserve">0</w:t>
            </w:r>
          </w:p>
        </w:tc>
        <w:tc>
          <w:tcPr>
            <w:tcW w:type="dxa" w:w="1400"/>
          </w:tcPr>
          <w:p>
            <w:r>
              <w:t xml:space="preserve">0</w:t>
            </w:r>
          </w:p>
        </w:tc>
        <w:tc>
          <w:tcPr>
            <w:tcW w:type="dxa" w:w="1400"/>
          </w:tcPr>
          <w:p>
            <w:r>
              <w:t xml:space="preserve">no (public?)</w:t>
            </w:r>
          </w:p>
        </w:tc>
        <w:tc>
          <w:tcPr>
            <w:tcW w:type="dxa" w:w="1500"/>
          </w:tcPr>
          <w:p>
            <w:r>
              <w:t xml:space="preserve">2026-09-13</w:t>
            </w:r>
          </w:p>
        </w:tc>
      </w:tr>
      <w:tr>
        <w:tc>
          <w:tcPr>
            <w:tcW w:type="dxa" w:w="2400"/>
          </w:tcPr>
          <w:p>
            <w:r>
              <w:t xml:space="preserve">pureland-fork-kit</w:t>
            </w:r>
          </w:p>
        </w:tc>
        <w:tc>
          <w:tcPr>
            <w:tcW w:type="dxa" w:w="1500"/>
          </w:tcPr>
          <w:p>
            <w:r>
              <w:t xml:space="preserve">no gap</w:t>
            </w:r>
          </w:p>
        </w:tc>
        <w:tc>
          <w:tcPr>
            <w:tcW w:type="dxa" w:w="1400"/>
          </w:tcPr>
          <w:p>
            <w:r>
              <w:t xml:space="preserve">2</w:t>
            </w:r>
          </w:p>
        </w:tc>
        <w:tc>
          <w:tcPr>
            <w:tcW w:type="dxa" w:w="1400"/>
          </w:tcPr>
          <w:p>
            <w:r>
              <w:t xml:space="preserve">7</w:t>
            </w:r>
          </w:p>
        </w:tc>
        <w:tc>
          <w:tcPr>
            <w:tcW w:type="dxa" w:w="1400"/>
          </w:tcPr>
          <w:p>
            <w:r>
              <w:t xml:space="preserve">yes</w:t>
            </w:r>
          </w:p>
        </w:tc>
        <w:tc>
          <w:tcPr>
            <w:tcW w:type="dxa" w:w="1500"/>
          </w:tcPr>
          <w:p>
            <w:r>
              <w:t xml:space="preserve">2026-09-14, very active</w:t>
            </w:r>
          </w:p>
        </w:tc>
      </w:tr>
      <w:tr>
        <w:tc>
          <w:tcPr>
            <w:tcW w:type="dxa" w:w="2400"/>
          </w:tcPr>
          <w:p>
            <w:r>
              <w:t xml:space="preserve">tailcat</w:t>
            </w:r>
          </w:p>
        </w:tc>
        <w:tc>
          <w:tcPr>
            <w:tcW w:type="dxa" w:w="1500"/>
          </w:tcPr>
          <w:p>
            <w:r>
              <w:t xml:space="preserve">no gap</w:t>
            </w:r>
          </w:p>
        </w:tc>
        <w:tc>
          <w:tcPr>
            <w:tcW w:type="dxa" w:w="1400"/>
          </w:tcPr>
          <w:p>
            <w:r>
              <w:t xml:space="preserve">3</w:t>
            </w:r>
          </w:p>
        </w:tc>
        <w:tc>
          <w:tcPr>
            <w:tcW w:type="dxa" w:w="1400"/>
          </w:tcPr>
          <w:p>
            <w:r>
              <w:t xml:space="preserve">9</w:t>
            </w:r>
          </w:p>
        </w:tc>
        <w:tc>
          <w:tcPr>
            <w:tcW w:type="dxa" w:w="1400"/>
          </w:tcPr>
          <w:p>
            <w:r>
              <w:t xml:space="preserve">yes</w:t>
            </w:r>
          </w:p>
        </w:tc>
        <w:tc>
          <w:tcPr>
            <w:tcW w:type="dxa" w:w="1500"/>
          </w:tcPr>
          <w:p>
            <w:r>
              <w:t xml:space="preserve">2026-08-31</w:t>
            </w:r>
          </w:p>
        </w:tc>
      </w:tr>
      <w:tr>
        <w:tc>
          <w:tcPr>
            <w:tcW w:type="dxa" w:w="2400"/>
          </w:tcPr>
          <w:p>
            <w:r>
              <w:t xml:space="preserve">VoiceInk</w:t>
            </w:r>
          </w:p>
        </w:tc>
        <w:tc>
          <w:tcPr>
            <w:tcW w:type="dxa" w:w="1500"/>
          </w:tcPr>
          <w:p>
            <w:r>
              <w:t xml:space="preserve">no (fork, expected)</w:t>
            </w:r>
          </w:p>
        </w:tc>
        <w:tc>
          <w:tcPr>
            <w:tcW w:type="dxa" w:w="1400"/>
          </w:tcPr>
          <w:p>
            <w:r>
              <w:t xml:space="preserve">0</w:t>
            </w:r>
          </w:p>
        </w:tc>
        <w:tc>
          <w:tcPr>
            <w:tcW w:type="dxa" w:w="1400"/>
          </w:tcPr>
          <w:p>
            <w:r>
              <w:t xml:space="preserve">3</w:t>
            </w:r>
          </w:p>
        </w:tc>
        <w:tc>
          <w:tcPr>
            <w:tcW w:type="dxa" w:w="1400"/>
          </w:tcPr>
          <w:p>
            <w:r>
              <w:t xml:space="preserve">yes</w:t>
            </w:r>
          </w:p>
        </w:tc>
        <w:tc>
          <w:tcPr>
            <w:tcW w:type="dxa" w:w="1500"/>
          </w:tcPr>
          <w:p>
            <w:r>
              <w:t xml:space="preserve">2026-09-05</w:t>
            </w:r>
          </w:p>
        </w:tc>
      </w:tr>
      <w:tr>
        <w:tc>
          <w:tcPr>
            <w:tcW w:type="dxa" w:w="2400"/>
          </w:tcPr>
          <w:p>
            <w:r>
              <w:t xml:space="preserve">claude-memory</w:t>
            </w:r>
          </w:p>
        </w:tc>
        <w:tc>
          <w:tcPr>
            <w:tcW w:type="dxa" w:w="1500"/>
          </w:tcPr>
          <w:p>
            <w:r>
              <w:t xml:space="preserve">no (by design)</w:t>
            </w:r>
          </w:p>
        </w:tc>
        <w:tc>
          <w:tcPr>
            <w:tcW w:type="dxa" w:w="1400"/>
          </w:tcPr>
          <w:p>
            <w:r>
              <w:t xml:space="preserve">0</w:t>
            </w:r>
          </w:p>
        </w:tc>
        <w:tc>
          <w:tcPr>
            <w:tcW w:type="dxa" w:w="1400"/>
          </w:tcPr>
          <w:p>
            <w:r>
              <w:t xml:space="preserve">1</w:t>
            </w:r>
          </w:p>
        </w:tc>
        <w:tc>
          <w:tcPr>
            <w:tcW w:type="dxa" w:w="1400"/>
          </w:tcPr>
          <w:p>
            <w:r>
              <w:t xml:space="preserve">no (private)</w:t>
            </w:r>
          </w:p>
        </w:tc>
        <w:tc>
          <w:tcPr>
            <w:tcW w:type="dxa" w:w="1500"/>
          </w:tcPr>
          <w:p>
            <w:r>
              <w:t xml:space="preserve">2026-09-14, autocommit</w:t>
            </w:r>
          </w:p>
        </w:tc>
      </w:tr>
      <w:tr>
        <w:tc>
          <w:tcPr>
            <w:tcW w:type="dxa" w:w="2400"/>
          </w:tcPr>
          <w:p>
            <w:r>
              <w:t xml:space="preserve">context-provenance</w:t>
            </w:r>
          </w:p>
        </w:tc>
        <w:tc>
          <w:tcPr>
            <w:tcW w:type="dxa" w:w="1500"/>
          </w:tcPr>
          <w:p>
            <w:r>
              <w:t xml:space="preserve">no gap</w:t>
            </w:r>
          </w:p>
        </w:tc>
        <w:tc>
          <w:tcPr>
            <w:tcW w:type="dxa" w:w="1400"/>
          </w:tcPr>
          <w:p>
            <w:r>
              <w:t xml:space="preserve">1</w:t>
            </w:r>
          </w:p>
        </w:tc>
        <w:tc>
          <w:tcPr>
            <w:tcW w:type="dxa" w:w="1400"/>
          </w:tcPr>
          <w:p>
            <w:r>
              <w:t xml:space="preserve">5</w:t>
            </w:r>
          </w:p>
        </w:tc>
        <w:tc>
          <w:tcPr>
            <w:tcW w:type="dxa" w:w="1400"/>
          </w:tcPr>
          <w:p>
            <w:r>
              <w:t xml:space="preserve">yes</w:t>
            </w:r>
          </w:p>
        </w:tc>
        <w:tc>
          <w:tcPr>
            <w:tcW w:type="dxa" w:w="1500"/>
          </w:tcPr>
          <w:p>
            <w:r>
              <w:t xml:space="preserve">2026-08-23</w:t>
            </w:r>
          </w:p>
        </w:tc>
      </w:tr>
      <w:tr>
        <w:tc>
          <w:tcPr>
            <w:tcW w:type="dxa" w:w="2400"/>
          </w:tcPr>
          <w:p>
            <w:r>
              <w:t xml:space="preserve">finance-tracker-starter</w:t>
            </w:r>
          </w:p>
        </w:tc>
        <w:tc>
          <w:tcPr>
            <w:tcW w:type="dxa" w:w="1500"/>
          </w:tcPr>
          <w:p>
            <w:r>
              <w:t xml:space="preserve">no gap</w:t>
            </w:r>
          </w:p>
        </w:tc>
        <w:tc>
          <w:tcPr>
            <w:tcW w:type="dxa" w:w="1400"/>
          </w:tcPr>
          <w:p>
            <w:r>
              <w:t xml:space="preserve">0</w:t>
            </w:r>
          </w:p>
        </w:tc>
        <w:tc>
          <w:tcPr>
            <w:tcW w:type="dxa" w:w="1400"/>
          </w:tcPr>
          <w:p>
            <w:r>
              <w:t xml:space="preserve">3</w:t>
            </w:r>
          </w:p>
        </w:tc>
        <w:tc>
          <w:tcPr>
            <w:tcW w:type="dxa" w:w="1400"/>
          </w:tcPr>
          <w:p>
            <w:r>
              <w:t xml:space="preserve">no</w:t>
            </w:r>
          </w:p>
        </w:tc>
        <w:tc>
          <w:tcPr>
            <w:tcW w:type="dxa" w:w="1500"/>
          </w:tcPr>
          <w:p>
            <w:r>
              <w:t xml:space="preserve">2026-08-17</w:t>
            </w:r>
          </w:p>
        </w:tc>
      </w:tr>
      <w:tr>
        <w:tc>
          <w:tcPr>
            <w:tcW w:type="dxa" w:w="2400"/>
          </w:tcPr>
          <w:p>
            <w:r>
              <w:t xml:space="preserve">gear-price-watch</w:t>
            </w:r>
          </w:p>
        </w:tc>
        <w:tc>
          <w:tcPr>
            <w:tcW w:type="dxa" w:w="1500"/>
          </w:tcPr>
          <w:p>
            <w:r>
              <w:t xml:space="preserve">no gap</w:t>
            </w:r>
          </w:p>
        </w:tc>
        <w:tc>
          <w:tcPr>
            <w:tcW w:type="dxa" w:w="1400"/>
          </w:tcPr>
          <w:p>
            <w:r>
              <w:t xml:space="preserve">0</w:t>
            </w:r>
          </w:p>
        </w:tc>
        <w:tc>
          <w:tcPr>
            <w:tcW w:type="dxa" w:w="1400"/>
          </w:tcPr>
          <w:p>
            <w:r>
              <w:t xml:space="preserve">1</w:t>
            </w:r>
          </w:p>
        </w:tc>
        <w:tc>
          <w:tcPr>
            <w:tcW w:type="dxa" w:w="1400"/>
          </w:tcPr>
          <w:p>
            <w:r>
              <w:t xml:space="preserve">no</w:t>
            </w:r>
          </w:p>
        </w:tc>
        <w:tc>
          <w:tcPr>
            <w:tcW w:type="dxa" w:w="1500"/>
          </w:tcPr>
          <w:p>
            <w:r>
              <w:t xml:space="preserve">2026-09-08, initial commit</w:t>
            </w:r>
          </w:p>
        </w:tc>
      </w:tr>
      <w:tr>
        <w:tc>
          <w:tcPr>
            <w:tcW w:type="dxa" w:w="2400"/>
          </w:tcPr>
          <w:p>
            <w:r>
              <w:t xml:space="preserve">vault-frontmatter-migration</w:t>
            </w:r>
          </w:p>
        </w:tc>
        <w:tc>
          <w:tcPr>
            <w:tcW w:type="dxa" w:w="1500"/>
          </w:tcPr>
          <w:p>
            <w:r>
              <w:t xml:space="preserve">no gap</w:t>
            </w:r>
          </w:p>
        </w:tc>
        <w:tc>
          <w:tcPr>
            <w:tcW w:type="dxa" w:w="1400"/>
          </w:tcPr>
          <w:p>
            <w:r>
              <w:t xml:space="preserve">0</w:t>
            </w:r>
          </w:p>
        </w:tc>
        <w:tc>
          <w:tcPr>
            <w:tcW w:type="dxa" w:w="1400"/>
          </w:tcPr>
          <w:p>
            <w:r>
              <w:t xml:space="preserve">0</w:t>
            </w:r>
          </w:p>
        </w:tc>
        <w:tc>
          <w:tcPr>
            <w:tcW w:type="dxa" w:w="1400"/>
          </w:tcPr>
          <w:p>
            <w:r>
              <w:t xml:space="preserve">no; no README</w:t>
            </w:r>
          </w:p>
        </w:tc>
        <w:tc>
          <w:tcPr>
            <w:tcW w:type="dxa" w:w="1500"/>
          </w:tcPr>
          <w:p>
            <w:r>
              <w:t xml:space="preserve">2026-09-08, initial commit</w:t>
            </w:r>
          </w:p>
        </w:tc>
      </w:tr>
    </w:tbl>
    <w:p>
      <w:pPr>
        <w:pBdr>
          <w:bottom w:val="single" w:color="999999" w:sz="6" w:space="1"/>
        </w:pBdr>
        <w:spacing w:after="200"/>
      </w:pPr>
    </w:p>
    <w:p>
      <w:pPr>
        <w:pStyle w:val="Heading1"/>
        <w:spacing w:after="120" w:before="240"/>
      </w:pPr>
      <w:r>
        <w:t xml:space="preserve">Cross-repo integration</w:t>
      </w:r>
    </w:p>
    <w:p>
      <w:pPr>
        <w:spacing w:after="120"/>
      </w:pPr>
      <w:r>
        <w:rPr>
          <w:b/>
          <w:bCs/>
        </w:rPr>
        <w:t xml:space="preserve">Phase-zero kit sync: verified sound, with one live defect.</w:t>
      </w:r>
    </w:p>
    <w:p>
      <w:pPr>
        <w:pStyle w:val="ListParagraph"/>
        <w:numPr>
          <w:ilvl w:val="0"/>
          <w:numId w:val="2"/>
        </w:numPr>
        <w:spacing w:after="60"/>
      </w:pPr>
      <w:r>
        <w:t xml:space="preserve">Hashed the shared kit files (excluding repo-local additions like </w:t>
      </w:r>
      <w:r>
        <w:rPr>
          <w:b/>
          <w:bCs/>
        </w:rPr>
        <w:t xml:space="preserve">agents/</w:t>
      </w:r>
      <w:r>
        <w:t xml:space="preserve">, </w:t>
      </w:r>
      <w:r>
        <w:rPr>
          <w:b/>
          <w:bCs/>
        </w:rPr>
        <w:t xml:space="preserve">commands/</w:t>
      </w:r>
      <w:r>
        <w:t xml:space="preserve">, </w:t>
      </w:r>
      <w:r>
        <w:rPr>
          <w:b/>
          <w:bCs/>
        </w:rPr>
        <w:t xml:space="preserve">loops/</w:t>
      </w:r>
      <w:r>
        <w:t xml:space="preserve">) across all consumers that carry the kit and confirmed byte-for-byte equality where deployment is current — the toolkit's “never edit a deployed copy in place” rule is holding operationally.</w:t>
      </w:r>
    </w:p>
    <w:p>
      <w:pPr>
        <w:pStyle w:val="ListParagraph"/>
        <w:numPr>
          <w:ilvl w:val="0"/>
          <w:numId w:val="2"/>
        </w:numPr>
        <w:spacing w:after="60"/>
      </w:pPr>
      <w:r>
        <w:rPr>
          <w:b/>
          <w:bCs/>
        </w:rPr>
        <w:t xml:space="preserve">The one exception is real: </w:t>
      </w:r>
      <w:r>
        <w:t xml:space="preserve">compared the toolkit's </w:t>
      </w:r>
      <w:r>
        <w:rPr>
          <w:b/>
          <w:bCs/>
        </w:rPr>
        <w:t xml:space="preserve">phase-zero/model-routing.md</w:t>
      </w:r>
      <w:r>
        <w:t xml:space="preserve"> against stack-data's and rp-intranet's deployed copies. The consumers carry the correct, current text (local lane retired, Haiku 4.5 named as the replacement). The toolkit source still carries the old text describing the retired Qwen3.6 local lane. Someone edited a deployed copy directly, or edited the toolkit and reverted only the source half of that edit — either way, the canonical file and its output have swapped roles. Fix: pull the current text from any consumer back into the toolkit source and redeploy, or the toolkit will overwrite 14 repos with wrong routing guidance on the next install.</w:t>
      </w:r>
    </w:p>
    <w:p>
      <w:pPr>
        <w:spacing w:after="120"/>
      </w:pPr>
      <w:r>
        <w:rPr>
          <w:b/>
          <w:bCs/>
        </w:rPr>
        <w:t xml:space="preserve">CONSUMERS allowlist: accurate.</w:t>
      </w:r>
    </w:p>
    <w:p>
      <w:pPr>
        <w:pStyle w:val="ListParagraph"/>
        <w:numPr>
          <w:ilvl w:val="0"/>
          <w:numId w:val="2"/>
        </w:numPr>
        <w:spacing w:after="60"/>
      </w:pPr>
      <w:r>
        <w:t xml:space="preserve">All 14 repos the toolkit names as phase-zero consumers do carry the kit; no repo carries the kit without being named. The allowlist and reality match.</w:t>
      </w:r>
    </w:p>
    <w:p>
      <w:pPr>
        <w:spacing w:after="120"/>
      </w:pPr>
      <w:r>
        <w:rPr>
          <w:b/>
          <w:bCs/>
        </w:rPr>
        <w:t xml:space="preserve">PUBLIC_CONSUMERS allowlist: not yet real.</w:t>
      </w:r>
    </w:p>
    <w:p>
      <w:pPr>
        <w:pStyle w:val="ListParagraph"/>
        <w:numPr>
          <w:ilvl w:val="0"/>
          <w:numId w:val="2"/>
        </w:numPr>
        <w:spacing w:after="60"/>
      </w:pPr>
      <w:r>
        <w:t xml:space="preserve">Zero of the 7 named public-kit consumers (alchemy, statehouse-dashboard, gene-keys-data, rubinsteinproductions, risaac09, three-type-evaluation, the toolkit itself) have a </w:t>
      </w:r>
      <w:r>
        <w:rPr>
          <w:b/>
          <w:bCs/>
        </w:rPr>
        <w:t xml:space="preserve">.claude/public-kit/</w:t>
      </w:r>
      <w:r>
        <w:t xml:space="preserve"> directory except the toolkit. The doc line describing this as shipped predates the actual work.</w:t>
      </w:r>
    </w:p>
    <w:p>
      <w:pPr>
        <w:spacing w:after="120"/>
      </w:pPr>
      <w:r>
        <w:rPr>
          <w:b/>
          <w:bCs/>
        </w:rPr>
        <w:t xml:space="preserve">Tier hierarchy: coherent in doc, unverified in practice beyond stack-data.</w:t>
      </w:r>
    </w:p>
    <w:p>
      <w:pPr>
        <w:pStyle w:val="ListParagraph"/>
        <w:numPr>
          <w:ilvl w:val="0"/>
          <w:numId w:val="2"/>
        </w:numPr>
        <w:spacing w:after="60"/>
      </w:pPr>
      <w:r>
        <w:t xml:space="preserve">Every repo's CLAUDE.md agrees on the same spine (stack-data Tier 1) and the same tier assignments. That consistency is good signal the fleet's own documentation discipline is real. Not independently verified: whether rp-shared's finance/homekeep apps actually read only the governed views stack-data's guardrail requires, or whether any Tier-2 app has drifted to reading raw stack-data JSON directly. Worth a targeted follow-up, not a full-sweep claim.</w:t>
      </w:r>
    </w:p>
    <w:p>
      <w:pPr>
        <w:spacing w:after="120"/>
      </w:pPr>
      <w:r>
        <w:rPr>
          <w:b/>
          <w:bCs/>
        </w:rPr>
        <w:t xml:space="preserve">model-routing.md distribution: </w:t>
      </w:r>
    </w:p>
    <w:p>
      <w:pPr>
        <w:pBdr>
          <w:bottom w:val="single" w:color="999999" w:sz="6" w:space="1"/>
        </w:pBdr>
        <w:spacing w:after="200"/>
      </w:pPr>
    </w:p>
    <w:p>
      <w:pPr>
        <w:pStyle w:val="Heading1"/>
        <w:spacing w:after="120" w:before="240"/>
      </w:pPr>
      <w:r>
        <w:t xml:space="preserve">Standards and performance tracking</w:t>
      </w:r>
    </w:p>
    <w:p>
      <w:pPr>
        <w:pStyle w:val="ListParagraph"/>
        <w:numPr>
          <w:ilvl w:val="0"/>
          <w:numId w:val="2"/>
        </w:numPr>
        <w:spacing w:after="60"/>
      </w:pPr>
      <w:r>
        <w:rPr>
          <w:b/>
          <w:bCs/>
        </w:rPr>
        <w:t xml:space="preserve">CI: </w:t>
      </w:r>
      <w:r>
        <w:t xml:space="preserve">9 repos run GitHub Actions; 14 run none. stack-data is the outlier by a wide margin (9 workflows: integrity checks, weekly sync, ecosystem monitor, backup mirror, finance sync). Every other repo with CI runs 1–3 workflows, usually a single deploy or validate step.</w:t>
      </w:r>
    </w:p>
    <w:p>
      <w:pPr>
        <w:pStyle w:val="ListParagraph"/>
        <w:numPr>
          <w:ilvl w:val="0"/>
          <w:numId w:val="2"/>
        </w:numPr>
        <w:spacing w:after="60"/>
      </w:pPr>
      <w:r>
        <w:rPr>
          <w:b/>
          <w:bCs/>
        </w:rPr>
        <w:t xml:space="preserve">Tests: </w:t>
      </w:r>
      <w:r>
        <w:t xml:space="preserve">bimodal as noted above. Repos with real suites (stack-data, pureland-fork-kit, tailcat, context-provenance) validate before every push. Repos with a single smoke test (alchemy, gene-keys-data, home-scripts) have a suite but a thin one. Six repos with zero tests are all product or content surfaces, not obviously safe to skip — rp-shared alone carries a finance dashboard and a private household tracker with no automated coverage.</w:t>
      </w:r>
    </w:p>
    <w:p>
      <w:pPr>
        <w:pStyle w:val="ListParagraph"/>
        <w:numPr>
          <w:ilvl w:val="0"/>
          <w:numId w:val="2"/>
        </w:numPr>
        <w:spacing w:after="60"/>
      </w:pPr>
      <w:r>
        <w:rPr>
          <w:b/>
          <w:bCs/>
        </w:rPr>
        <w:t xml:space="preserve">Backup / integrity: </w:t>
      </w:r>
      <w:r>
        <w:t xml:space="preserve">stack-data's </w:t>
      </w:r>
      <w:r>
        <w:rPr>
          <w:b/>
          <w:bCs/>
        </w:rPr>
        <w:t xml:space="preserve">integrity-check.yml</w:t>
      </w:r>
      <w:r>
        <w:t xml:space="preserve"> and weekly bundle backup are the fleet's only real disaster-recovery mechanism. No other repo has an equivalent, which is consistent with stack-data being the one Tier-1 store, but means every other repo's only backup is GitHub itself plus home-scripts' </w:t>
      </w:r>
      <w:r>
        <w:rPr>
          <w:b/>
          <w:bCs/>
        </w:rPr>
        <w:t xml:space="preserve">repos-archive</w:t>
      </w:r>
      <w:r>
        <w:t xml:space="preserve"> bundle job — a real second copy, but not verified restore-drilled like stack-data's.</w:t>
      </w:r>
    </w:p>
    <w:p>
      <w:pPr>
        <w:pStyle w:val="ListParagraph"/>
        <w:numPr>
          <w:ilvl w:val="0"/>
          <w:numId w:val="2"/>
        </w:numPr>
        <w:spacing w:after="60"/>
      </w:pPr>
      <w:r>
        <w:rPr>
          <w:b/>
          <w:bCs/>
        </w:rPr>
        <w:t xml:space="preserve">Performance tracking as a discipline: </w:t>
      </w:r>
      <w:r>
        <w:t xml:space="preserve">exists in exactly one place, stack-data's TCO framework and </w:t>
      </w:r>
      <w:r>
        <w:rPr>
          <w:b/>
          <w:bCs/>
        </w:rPr>
        <w:t xml:space="preserve">ccusage-report</w:t>
      </w:r>
      <w:r>
        <w:t xml:space="preserve">. No other repo tracks build time, bundle size, page weight, or spend. isaacrubinstein.com claims a ~20KB page budget in its own CLAUDE.md with no CI check enforcing it — a stated standard with no tripwire.</w:t>
      </w:r>
    </w:p>
    <w:p>
      <w:pPr>
        <w:pBdr>
          <w:bottom w:val="single" w:color="999999" w:sz="6" w:space="1"/>
        </w:pBdr>
        <w:spacing w:after="200"/>
      </w:pPr>
    </w:p>
    <w:p>
      <w:pPr>
        <w:pStyle w:val="Heading1"/>
        <w:spacing w:after="120" w:before="240"/>
      </w:pPr>
      <w:r>
        <w:t xml:space="preserve">Visual identity</w:t>
      </w:r>
    </w:p>
    <w:p>
      <w:pPr>
        <w:spacing w:after="120"/>
      </w:pPr>
      <w:r>
        <w:t xml:space="preserve">No shared design system exists across the public-facing surfaces, and none is claimed to. Each public repo owns its own visual language, by explicit and sometimes strict rule:</w:t>
      </w:r>
    </w:p>
    <w:p>
      <w:pPr>
        <w:pStyle w:val="ListParagraph"/>
        <w:numPr>
          <w:ilvl w:val="0"/>
          <w:numId w:val="2"/>
        </w:numPr>
        <w:spacing w:after="60"/>
      </w:pPr>
      <w:r>
        <w:rPr>
          <w:b/>
          <w:bCs/>
        </w:rPr>
        <w:t xml:space="preserve">isaacrubinstein.com </w:t>
      </w:r>
      <w:r>
        <w:t xml:space="preserve">— Ink/Ochre/Teal, Fraunces + Inter, hairline structure, no shadows/gradients except two named exceptions. Tightly specified in DESIGN.md, actively enforced (web ochre darkened for AA contrast).</w:t>
      </w:r>
    </w:p>
    <w:p>
      <w:pPr>
        <w:pStyle w:val="ListParagraph"/>
        <w:numPr>
          <w:ilvl w:val="0"/>
          <w:numId w:val="2"/>
        </w:numPr>
        <w:spacing w:after="60"/>
      </w:pPr>
      <w:r>
        <w:rPr>
          <w:b/>
          <w:bCs/>
        </w:rPr>
        <w:t xml:space="preserve">rubinsteinproductions </w:t>
      </w:r>
      <w:r>
        <w:t xml:space="preserve">— no stated palette or type system; the specified identity is entirely voice (no em-dashes, no rule-of-three, active voice). React/Vite/GSAP is called out as a deliberate one-off exception to the stack's usual vanilla-JS bias.</w:t>
      </w:r>
    </w:p>
    <w:p>
      <w:pPr>
        <w:pStyle w:val="ListParagraph"/>
        <w:numPr>
          <w:ilvl w:val="0"/>
          <w:numId w:val="2"/>
        </w:numPr>
        <w:spacing w:after="60"/>
      </w:pPr>
      <w:r>
        <w:rPr>
          <w:b/>
          <w:bCs/>
        </w:rPr>
        <w:t xml:space="preserve">alchemy </w:t>
      </w:r>
      <w:r>
        <w:t xml:space="preserve">— explicit anti-SaaS-blue, warm-dark earthen, wabi-sabi “worn field notebook” brief. The most opinionated visual doctrine in the fleet.</w:t>
      </w:r>
    </w:p>
    <w:p>
      <w:pPr>
        <w:pStyle w:val="ListParagraph"/>
        <w:numPr>
          <w:ilvl w:val="0"/>
          <w:numId w:val="2"/>
        </w:numPr>
        <w:spacing w:after="60"/>
      </w:pPr>
      <w:r>
        <w:rPr>
          <w:b/>
          <w:bCs/>
        </w:rPr>
        <w:t xml:space="preserve">ritc-brand </w:t>
      </w:r>
      <w:r>
        <w:t xml:space="preserve">— the only repo with machine-readable tokens (</w:t>
      </w:r>
      <w:r>
        <w:rPr>
          <w:b/>
          <w:bCs/>
        </w:rPr>
        <w:t xml:space="preserve">tokens.css</w:t>
      </w:r>
      <w:r>
        <w:t xml:space="preserve">, </w:t>
      </w:r>
      <w:r>
        <w:rPr>
          <w:b/>
          <w:bCs/>
        </w:rPr>
        <w:t xml:space="preserve">tokens.json</w:t>
      </w:r>
      <w:r>
        <w:t xml:space="preserve">) and a documented print/screen palette (Baby Ocean Blue #A2C9CF, Deep Navy #011E3D), with one secondary color explicitly flagged “not yet verified against a print file.”</w:t>
      </w:r>
    </w:p>
    <w:p>
      <w:pPr>
        <w:pStyle w:val="ListParagraph"/>
        <w:numPr>
          <w:ilvl w:val="0"/>
          <w:numId w:val="2"/>
        </w:numPr>
        <w:spacing w:after="60"/>
      </w:pPr>
      <w:r>
        <w:rPr>
          <w:b/>
          <w:bCs/>
        </w:rPr>
        <w:t xml:space="preserve">statehouse-dashboard, risaac09, gene-keys-data </w:t>
      </w:r>
      <w:r>
        <w:t xml:space="preserve">— no stated visual identity beyond “static, no framework.”</w:t>
      </w:r>
    </w:p>
    <w:p>
      <w:pPr>
        <w:spacing w:after="120"/>
      </w:pPr>
      <w:r>
        <w:t xml:space="preserve">The isaacrubinstein.com / rubinsteinproductions “two-brand firewall” (</w:t>
      </w:r>
      <w:r>
        <w:rPr>
          <w:b/>
          <w:bCs/>
        </w:rPr>
        <w:t xml:space="preserve">DESIGN.md</w:t>
      </w:r>
      <w:r>
        <w:t xml:space="preserve">) is the fleet's only place that names cross-brand bleed as a risk and defends against it explicitly. Nothing equivalent exists for ritc-brand, alchemy, or statehouse-dashboard — there is no fleet-wide rule stopping one product's palette or voice from drifting into another's, only per-repo discipline.</w:t>
      </w:r>
    </w:p>
    <w:p>
      <w:pPr>
        <w:pBdr>
          <w:bottom w:val="single" w:color="999999" w:sz="6" w:space="1"/>
        </w:pBdr>
        <w:spacing w:after="200"/>
      </w:pPr>
    </w:p>
    <w:p>
      <w:pPr>
        <w:pStyle w:val="Heading1"/>
        <w:spacing w:after="120" w:before="240"/>
      </w:pPr>
      <w:r>
        <w:t xml:space="preserve">Clarity, coherence, conciseness</w:t>
      </w:r>
    </w:p>
    <w:p>
      <w:pPr>
        <w:pStyle w:val="ListParagraph"/>
        <w:numPr>
          <w:ilvl w:val="0"/>
          <w:numId w:val="2"/>
        </w:numPr>
        <w:spacing w:after="60"/>
      </w:pPr>
      <w:r>
        <w:rPr>
          <w:b/>
          <w:bCs/>
        </w:rPr>
        <w:t xml:space="preserve">Coherence is the fleet's real strength. </w:t>
      </w:r>
      <w:r>
        <w:t xml:space="preserve">Every CLAUDE.md, independently, restates the same tier model, the same spine repo, the same six trigger phrases, and cites shared decisions (“see DECISIONS.md”) instead of re-deriving them. That's load-bearing consistency achieved without a shared template enforcing it — notable, and fragile precisely because nothing enforces it mechanically.</w:t>
      </w:r>
    </w:p>
    <w:p>
      <w:pPr>
        <w:pStyle w:val="ListParagraph"/>
        <w:numPr>
          <w:ilvl w:val="0"/>
          <w:numId w:val="2"/>
        </w:numPr>
        <w:spacing w:after="60"/>
      </w:pPr>
      <w:r>
        <w:rPr>
          <w:b/>
          <w:bCs/>
        </w:rPr>
        <w:t xml:space="preserve">Voice discipline is real where it's declared. </w:t>
      </w:r>
      <w:r>
        <w:t xml:space="preserve">rubinsteinproductions and stack-data both carry detailed, specific voice rules (no em-dashes, no rule-of-three, name the human) and both show evidence of being followed rather than aspirational.</w:t>
      </w:r>
    </w:p>
    <w:p>
      <w:pPr>
        <w:pStyle w:val="ListParagraph"/>
        <w:numPr>
          <w:ilvl w:val="0"/>
          <w:numId w:val="2"/>
        </w:numPr>
        <w:spacing w:after="60"/>
      </w:pPr>
      <w:r>
        <w:rPr>
          <w:b/>
          <w:bCs/>
        </w:rPr>
        <w:t xml:space="preserve">Documentation-reality gap is the main conciseness/clarity risk, not verbosity. </w:t>
      </w:r>
      <w:r>
        <w:t xml:space="preserve">Two concrete instances this sweep: public-kit described as deployed when it isn't, and model-routing.md's toolkit source describing infrastructure that's already retired everywhere else. Both are cases of prose outliving the state it described — the failure mode to watch, more than any repo being unclear on its own terms.</w:t>
      </w:r>
    </w:p>
    <w:p>
      <w:pPr>
        <w:pStyle w:val="ListParagraph"/>
        <w:numPr>
          <w:ilvl w:val="0"/>
          <w:numId w:val="2"/>
        </w:numPr>
        <w:spacing w:after="60"/>
      </w:pPr>
      <w:r>
        <w:rPr>
          <w:b/>
          <w:bCs/>
        </w:rPr>
        <w:t xml:space="preserve">stack-data's CLAUDE.md is long enough to be a liability of its own kind: </w:t>
      </w:r>
      <w:r>
        <w:t xml:space="preserve">dense, accurate, well-organized — and large enough that a routing fact buried in it (like the model-routing drift above) is easy to miss without a mechanical check. Worth asking whether a </w:t>
      </w:r>
      <w:r>
        <w:rPr>
          <w:b/>
          <w:bCs/>
        </w:rPr>
        <w:t xml:space="preserve">sd-doctor</w:t>
      </w:r>
      <w:r>
        <w:t xml:space="preserve">-style check should assert kit-source-vs-consumer parity the way it already asserts clone-hook durability.</w:t>
      </w:r>
    </w:p>
    <w:p>
      <w:pPr>
        <w:pBdr>
          <w:bottom w:val="single" w:color="999999" w:sz="6" w:space="1"/>
        </w:pBdr>
        <w:spacing w:after="200"/>
      </w:pPr>
    </w:p>
    <w:p>
      <w:pPr>
        <w:pStyle w:val="Heading1"/>
        <w:spacing w:after="120" w:before="240"/>
      </w:pPr>
      <w:r>
        <w:t xml:space="preserve">Recommendations, priority order</w:t>
      </w:r>
    </w:p>
    <w:p>
      <w:pPr>
        <w:pStyle w:val="ListParagraph"/>
        <w:numPr>
          <w:ilvl w:val="0"/>
          <w:numId w:val="2"/>
        </w:numPr>
        <w:spacing w:after="60"/>
      </w:pPr>
      <w:r>
        <w:rPr>
          <w:b/>
          <w:bCs/>
        </w:rPr>
        <w:t xml:space="preserve">1. </w:t>
      </w:r>
      <w:r>
        <w:t xml:space="preserve">Resync </w:t>
      </w:r>
      <w:r>
        <w:rPr>
          <w:b/>
          <w:bCs/>
        </w:rPr>
        <w:t xml:space="preserve">phase-zero/model-routing.md</w:t>
      </w:r>
      <w:r>
        <w:t xml:space="preserve"> in the toolkit to the current (retired-local-lane) text and redeploy, before anyone runs </w:t>
      </w:r>
      <w:r>
        <w:rPr>
          <w:b/>
          <w:bCs/>
        </w:rPr>
        <w:t xml:space="preserve">install.sh --all</w:t>
      </w:r>
      <w:r>
        <w:t xml:space="preserve"> and reverts the fleet.</w:t>
      </w:r>
    </w:p>
    <w:p>
      <w:pPr>
        <w:pStyle w:val="ListParagraph"/>
        <w:numPr>
          <w:ilvl w:val="0"/>
          <w:numId w:val="2"/>
        </w:numPr>
        <w:spacing w:after="60"/>
      </w:pPr>
      <w:r>
        <w:rPr>
          <w:b/>
          <w:bCs/>
        </w:rPr>
        <w:t xml:space="preserve">2. </w:t>
      </w:r>
      <w:r>
        <w:t xml:space="preserve">Either deploy public-kit to its 7 named consumers for real, or correct the toolkit CLAUDE.md to stop claiming it shipped.</w:t>
      </w:r>
    </w:p>
    <w:p>
      <w:pPr>
        <w:pStyle w:val="ListParagraph"/>
        <w:numPr>
          <w:ilvl w:val="0"/>
          <w:numId w:val="2"/>
        </w:numPr>
        <w:spacing w:after="60"/>
      </w:pPr>
      <w:r>
        <w:rPr>
          <w:b/>
          <w:bCs/>
        </w:rPr>
        <w:t xml:space="preserve">3. </w:t>
      </w:r>
      <w:r>
        <w:t xml:space="preserve">Add a LICENSE to isaacrubinstein.com, risaac09, and ritc-brand, or document explicitly why a public repo intentionally ships none.</w:t>
      </w:r>
    </w:p>
    <w:p>
      <w:pPr>
        <w:pStyle w:val="ListParagraph"/>
        <w:numPr>
          <w:ilvl w:val="0"/>
          <w:numId w:val="2"/>
        </w:numPr>
        <w:spacing w:after="60"/>
      </w:pPr>
      <w:r>
        <w:rPr>
          <w:b/>
          <w:bCs/>
        </w:rPr>
        <w:t xml:space="preserve">4. </w:t>
      </w:r>
      <w:r>
        <w:t xml:space="preserve">Consider a lightweight kit-parity check (toolkit source hash vs. each consumer's deployed hash) added to </w:t>
      </w:r>
      <w:r>
        <w:rPr>
          <w:b/>
          <w:bCs/>
        </w:rPr>
        <w:t xml:space="preserve">integrity-check.yml</w:t>
      </w:r>
      <w:r>
        <w:t xml:space="preserve"> or a new stack-data script, so the class of drift found here is caught mechanically instead of by a manual sweep.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2026-09-15T21:09:47.232Z</dcterms:created>
  <dcterms:modified xsi:type="dcterms:W3CDTF">2026-09-15T21:09:47.232Z</dcterms:modified>
</cp:coreProperties>
</file>

<file path=docProps/custom.xml><?xml version="1.0" encoding="utf-8"?>
<Properties xmlns="http://schemas.openxmlformats.org/officeDocument/2006/custom-properties" xmlns:vt="http://schemas.openxmlformats.org/officeDocument/2006/docPropsVTypes"/>
</file>