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tl w:val="0"/>
        </w:rPr>
        <w:t>Configure and Maintain Crime</w:t>
      </w:r>
    </w:p>
    <w:p>
      <w:pPr>
        <w:pStyle w:val="Subject"/>
        <w:bidi w:val="0"/>
      </w:pPr>
      <w:r>
        <w:rPr>
          <w:rtl w:val="0"/>
        </w:rPr>
        <w:t>Download Crime Data for Portland Oregon</w:t>
      </w:r>
    </w:p>
    <w:p>
      <w:pPr>
        <w:pStyle w:val="Body"/>
        <w:numPr>
          <w:ilvl w:val="0"/>
          <w:numId w:val="2"/>
        </w:numPr>
        <w:bidi w:val="0"/>
      </w:pPr>
      <w:r>
        <w:rPr>
          <w:rtl w:val="0"/>
        </w:rPr>
        <w:t>The data source for bike parking locations is (</w:t>
      </w:r>
      <w:r>
        <w:rPr>
          <w:rtl w:val="0"/>
          <w:lang w:val="nl-NL"/>
        </w:rPr>
        <w:t>https://bikeindex.org/documentation/api_v2</w:t>
      </w:r>
      <w:r>
        <w:rPr>
          <w:rtl w:val="0"/>
        </w:rPr>
        <w:t>). Specifically we are focusing on the bike_search endpoint.  Review the documentation at this site for guidance on how to incorporate this api into the application.</w:t>
      </w:r>
    </w:p>
    <w:p>
      <w:pPr>
        <w:pStyle w:val="Body"/>
        <w:numPr>
          <w:ilvl w:val="0"/>
          <w:numId w:val="2"/>
        </w:numPr>
        <w:bidi w:val="0"/>
      </w:pPr>
      <w:r>
        <w:rPr>
          <w:rtl w:val="0"/>
        </w:rPr>
        <w:t xml:space="preserve">To review the api documentation and generate a request url for the bike_search, click on the </w:t>
      </w:r>
      <w:r>
        <w:rPr>
          <w:rtl w:val="0"/>
        </w:rPr>
        <w:t>“</w:t>
      </w:r>
      <w:r>
        <w:rPr>
          <w:rtl w:val="0"/>
        </w:rPr>
        <w:t>All bike search</w:t>
      </w:r>
      <w:r>
        <w:rPr>
          <w:rtl w:val="0"/>
        </w:rPr>
        <w:t xml:space="preserve">” </w:t>
      </w:r>
      <w:r>
        <w:rPr>
          <w:rtl w:val="0"/>
        </w:rPr>
        <w:t>link on the far right hand side of the row for the /v2/bikes_search shown below.</w:t>
      </w:r>
      <w:r>
        <w:drawing>
          <wp:anchor distT="152400" distB="152400" distL="152400" distR="152400" simplePos="0" relativeHeight="251659264" behindDoc="0" locked="0" layoutInCell="1" allowOverlap="1">
            <wp:simplePos x="0" y="0"/>
            <wp:positionH relativeFrom="margin">
              <wp:posOffset>420369</wp:posOffset>
            </wp:positionH>
            <wp:positionV relativeFrom="line">
              <wp:posOffset>336580</wp:posOffset>
            </wp:positionV>
            <wp:extent cx="4831295" cy="1584397"/>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ikeIndexHomepage.tiff"/>
                    <pic:cNvPicPr>
                      <a:picLocks noChangeAspect="1"/>
                    </pic:cNvPicPr>
                  </pic:nvPicPr>
                  <pic:blipFill>
                    <a:blip r:embed="rId4">
                      <a:extLst/>
                    </a:blip>
                    <a:stretch>
                      <a:fillRect/>
                    </a:stretch>
                  </pic:blipFill>
                  <pic:spPr>
                    <a:xfrm>
                      <a:off x="0" y="0"/>
                      <a:ext cx="4831295" cy="1584397"/>
                    </a:xfrm>
                    <a:prstGeom prst="rect">
                      <a:avLst/>
                    </a:prstGeom>
                    <a:ln w="12700" cap="flat">
                      <a:noFill/>
                      <a:miter lim="400000"/>
                    </a:ln>
                    <a:effectLst/>
                  </pic:spPr>
                </pic:pic>
              </a:graphicData>
            </a:graphic>
          </wp:anchor>
        </w:drawing>
      </w:r>
    </w:p>
    <w:p>
      <w:pPr>
        <w:pStyle w:val="Body"/>
        <w:bidi w:val="0"/>
      </w:pPr>
    </w:p>
    <w:p>
      <w:pPr>
        <w:pStyle w:val="Body"/>
        <w:numPr>
          <w:ilvl w:val="0"/>
          <w:numId w:val="2"/>
        </w:numPr>
        <w:bidi w:val="0"/>
      </w:pPr>
      <w:r>
        <w:rPr>
          <w:rtl w:val="0"/>
        </w:rPr>
        <w:t xml:space="preserve">To review the api documentation and generate a request url for the bike_search, click on the </w:t>
      </w:r>
      <w:r>
        <w:rPr>
          <w:rtl w:val="0"/>
        </w:rPr>
        <w:t>“</w:t>
      </w:r>
      <w:r>
        <w:rPr>
          <w:rtl w:val="0"/>
        </w:rPr>
        <w:t>All bike search</w:t>
      </w:r>
      <w:r>
        <w:rPr>
          <w:rtl w:val="0"/>
        </w:rPr>
        <w:t xml:space="preserve">” </w:t>
      </w:r>
      <w:r>
        <w:rPr>
          <w:rtl w:val="0"/>
        </w:rPr>
        <w:t xml:space="preserve">link on the far right hand side of the row for the /v2/bikes_search shown below.  That will expand this row to show the input fields in the diagram below.  </w:t>
      </w:r>
    </w:p>
    <w:p>
      <w:pPr>
        <w:pStyle w:val="Body"/>
        <w:numPr>
          <w:ilvl w:val="1"/>
          <w:numId w:val="2"/>
        </w:numPr>
        <w:bidi w:val="0"/>
      </w:pPr>
      <w:r>
        <w:rPr>
          <w:rtl w:val="0"/>
        </w:rPr>
        <w:t xml:space="preserve">In the </w:t>
      </w:r>
      <w:r>
        <w:rPr>
          <w:rtl w:val="0"/>
        </w:rPr>
        <w:t>“</w:t>
      </w:r>
      <w:r>
        <w:rPr>
          <w:rtl w:val="0"/>
        </w:rPr>
        <w:t>page</w:t>
      </w:r>
      <w:r>
        <w:rPr>
          <w:rtl w:val="0"/>
        </w:rPr>
        <w:t xml:space="preserve">” </w:t>
      </w:r>
      <w:r>
        <w:rPr>
          <w:rtl w:val="0"/>
        </w:rPr>
        <w:t xml:space="preserve">field type in the number </w:t>
      </w:r>
      <w:r>
        <w:rPr>
          <w:b w:val="1"/>
          <w:bCs w:val="1"/>
          <w:rtl w:val="0"/>
          <w:lang w:val="en-US"/>
        </w:rPr>
        <w:t>30</w:t>
      </w:r>
      <w:r>
        <w:rPr>
          <w:rtl w:val="0"/>
        </w:rPr>
        <w:t xml:space="preserve"> as shown in the example below.</w:t>
      </w:r>
    </w:p>
    <w:p>
      <w:pPr>
        <w:pStyle w:val="Body"/>
        <w:numPr>
          <w:ilvl w:val="1"/>
          <w:numId w:val="2"/>
        </w:numPr>
        <w:bidi w:val="0"/>
      </w:pPr>
      <w:r>
        <w:rPr>
          <w:rtl w:val="0"/>
        </w:rPr>
        <w:t xml:space="preserve">In the </w:t>
      </w:r>
      <w:r>
        <w:rPr>
          <w:rtl w:val="0"/>
        </w:rPr>
        <w:t>“</w:t>
      </w:r>
      <w:r>
        <w:rPr>
          <w:rtl w:val="0"/>
        </w:rPr>
        <w:t>proximity</w:t>
      </w:r>
      <w:r>
        <w:rPr>
          <w:rtl w:val="0"/>
        </w:rPr>
        <w:t xml:space="preserve">” </w:t>
      </w:r>
      <w:r>
        <w:rPr>
          <w:rtl w:val="0"/>
        </w:rPr>
        <w:t xml:space="preserve">field, type </w:t>
      </w:r>
      <w:r>
        <w:rPr>
          <w:b w:val="1"/>
          <w:bCs w:val="1"/>
          <w:rtl w:val="0"/>
          <w:lang w:val="en-US"/>
        </w:rPr>
        <w:t>Portland</w:t>
      </w:r>
    </w:p>
    <w:p>
      <w:pPr>
        <w:pStyle w:val="Body"/>
        <w:numPr>
          <w:ilvl w:val="1"/>
          <w:numId w:val="2"/>
        </w:numPr>
        <w:bidi w:val="0"/>
      </w:pPr>
      <w:r>
        <w:rPr>
          <w:rtl w:val="0"/>
        </w:rPr>
        <w:t xml:space="preserve">Click on the </w:t>
      </w:r>
      <w:r>
        <w:rPr>
          <w:rtl w:val="0"/>
        </w:rPr>
        <w:t>“</w:t>
      </w:r>
      <w:r>
        <w:rPr>
          <w:b w:val="1"/>
          <w:bCs w:val="1"/>
          <w:rtl w:val="0"/>
          <w:lang w:val="en-US"/>
        </w:rPr>
        <w:t>Try it out!</w:t>
      </w:r>
      <w:r>
        <w:rPr>
          <w:rtl w:val="0"/>
        </w:rPr>
        <w:t xml:space="preserve">” </w:t>
      </w:r>
      <w:r>
        <w:rPr>
          <w:rtl w:val="0"/>
        </w:rPr>
        <w:t>button at the bottom</w:t>
      </w: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0288" behindDoc="0" locked="0" layoutInCell="1" allowOverlap="1">
            <wp:simplePos x="0" y="0"/>
            <wp:positionH relativeFrom="margin">
              <wp:posOffset>605897</wp:posOffset>
            </wp:positionH>
            <wp:positionV relativeFrom="page">
              <wp:posOffset>1014983</wp:posOffset>
            </wp:positionV>
            <wp:extent cx="4437422" cy="4209071"/>
            <wp:effectExtent l="0" t="0" r="0" b="0"/>
            <wp:wrapTopAndBottom distT="152400" distB="15240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ikeIndexCrimeData.tiff"/>
                    <pic:cNvPicPr>
                      <a:picLocks noChangeAspect="1"/>
                    </pic:cNvPicPr>
                  </pic:nvPicPr>
                  <pic:blipFill>
                    <a:blip r:embed="rId5">
                      <a:extLst/>
                    </a:blip>
                    <a:stretch>
                      <a:fillRect/>
                    </a:stretch>
                  </pic:blipFill>
                  <pic:spPr>
                    <a:xfrm>
                      <a:off x="0" y="0"/>
                      <a:ext cx="4437422" cy="4209071"/>
                    </a:xfrm>
                    <a:prstGeom prst="rect">
                      <a:avLst/>
                    </a:prstGeom>
                    <a:ln w="12700" cap="flat">
                      <a:noFill/>
                      <a:miter lim="400000"/>
                    </a:ln>
                    <a:effectLst/>
                  </pic:spPr>
                </pic:pic>
              </a:graphicData>
            </a:graphic>
          </wp:anchor>
        </w:drawing>
      </w:r>
    </w:p>
    <w:p>
      <w:pPr>
        <w:pStyle w:val="Body"/>
        <w:numPr>
          <w:ilvl w:val="0"/>
          <w:numId w:val="2"/>
        </w:numPr>
        <w:bidi w:val="0"/>
      </w:pPr>
      <w:r>
        <w:rPr>
          <w:rtl w:val="0"/>
        </w:rPr>
        <w:t>Scroll down the page further and you will see the output.  The first output is the request url, that is used in the application to make the call to this API.  Check this url against what is included in application  scripts to ensure that and updates/changes made in the API have been reflected in the application.</w:t>
      </w:r>
      <w:r>
        <w:drawing>
          <wp:anchor distT="152400" distB="152400" distL="152400" distR="152400" simplePos="0" relativeHeight="251661312" behindDoc="0" locked="0" layoutInCell="1" allowOverlap="1">
            <wp:simplePos x="0" y="0"/>
            <wp:positionH relativeFrom="margin">
              <wp:posOffset>364425</wp:posOffset>
            </wp:positionH>
            <wp:positionV relativeFrom="line">
              <wp:posOffset>223519</wp:posOffset>
            </wp:positionV>
            <wp:extent cx="4429890" cy="568119"/>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BikeIndexRequestURL.tiff"/>
                    <pic:cNvPicPr>
                      <a:picLocks noChangeAspect="1"/>
                    </pic:cNvPicPr>
                  </pic:nvPicPr>
                  <pic:blipFill>
                    <a:blip r:embed="rId6">
                      <a:extLst/>
                    </a:blip>
                    <a:stretch>
                      <a:fillRect/>
                    </a:stretch>
                  </pic:blipFill>
                  <pic:spPr>
                    <a:xfrm>
                      <a:off x="0" y="0"/>
                      <a:ext cx="4429890" cy="568119"/>
                    </a:xfrm>
                    <a:prstGeom prst="rect">
                      <a:avLst/>
                    </a:prstGeom>
                    <a:ln w="12700" cap="flat">
                      <a:noFill/>
                      <a:miter lim="400000"/>
                    </a:ln>
                    <a:effectLst/>
                  </pic:spPr>
                </pic:pic>
              </a:graphicData>
            </a:graphic>
          </wp:anchor>
        </w:drawing>
      </w:r>
    </w:p>
    <w:p>
      <w:pPr>
        <w:pStyle w:val="Body"/>
        <w:numPr>
          <w:ilvl w:val="0"/>
          <w:numId w:val="2"/>
        </w:numPr>
        <w:bidi w:val="0"/>
      </w:pPr>
      <w:r>
        <w:rPr>
          <w:rtl w:val="0"/>
        </w:rPr>
        <w:t>The second output is the response body.  Review and become familiar with the content and structure of this file. This is the json format that will be returned as the program executes the call to this API.</w:t>
      </w:r>
      <w:r>
        <w:br w:type="page"/>
      </w:r>
    </w:p>
    <w:p>
      <w:pPr>
        <w:pStyle w:val="Body"/>
        <w:numPr>
          <w:ilvl w:val="0"/>
          <w:numId w:val="2"/>
        </w:numPr>
        <w:bidi w:val="0"/>
      </w:pPr>
      <w:r>
        <w:drawing>
          <wp:anchor distT="152400" distB="152400" distL="152400" distR="152400" simplePos="0" relativeHeight="251662336" behindDoc="0" locked="0" layoutInCell="1" allowOverlap="1">
            <wp:simplePos x="0" y="0"/>
            <wp:positionH relativeFrom="page">
              <wp:posOffset>2512060</wp:posOffset>
            </wp:positionH>
            <wp:positionV relativeFrom="page">
              <wp:posOffset>436953</wp:posOffset>
            </wp:positionV>
            <wp:extent cx="2247900" cy="251706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BikeIndexResponseBody.tiff"/>
                    <pic:cNvPicPr>
                      <a:picLocks noChangeAspect="1"/>
                    </pic:cNvPicPr>
                  </pic:nvPicPr>
                  <pic:blipFill>
                    <a:blip r:embed="rId7">
                      <a:extLst/>
                    </a:blip>
                    <a:stretch>
                      <a:fillRect/>
                    </a:stretch>
                  </pic:blipFill>
                  <pic:spPr>
                    <a:xfrm>
                      <a:off x="0" y="0"/>
                      <a:ext cx="2247900" cy="2517067"/>
                    </a:xfrm>
                    <a:prstGeom prst="rect">
                      <a:avLst/>
                    </a:prstGeom>
                    <a:ln w="12700" cap="flat">
                      <a:noFill/>
                      <a:miter lim="400000"/>
                    </a:ln>
                    <a:effectLst/>
                  </pic:spPr>
                </pic:pic>
              </a:graphicData>
            </a:graphic>
          </wp:anchor>
        </w:drawing>
      </w:r>
    </w:p>
    <w:sectPr>
      <w:headerReference w:type="default" r:id="rId8"/>
      <w:footerReference w:type="default" r:id="rId9"/>
      <w:pgSz w:w="12240" w:h="15840" w:orient="portrait"/>
      <w:pgMar w:top="1598" w:right="1440" w:bottom="1440" w:left="14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Helvetica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fldChar w:fldCharType="begin" w:fldLock="0"/>
    </w:r>
    <w:r>
      <w:instrText xml:space="preserve"> PAGE </w:instrText>
    </w:r>
    <w:r>
      <w:rPr/>
      <w:fldChar w:fldCharType="separate" w:fldLock="0"/>
    </w:r>
    <w:r>
      <w:t>1</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tab/>
      <w:tab/>
    </w:r>
    <w:r>
      <w:rPr/>
      <w:fldChar w:fldCharType="begin" w:fldLock="0"/>
    </w:r>
    <w:r>
      <w:instrText xml:space="preserve"> DATE \@ "dddd, MMMM d, y" </w:instrText>
    </w:r>
    <w:r>
      <w:rPr/>
      <w:fldChar w:fldCharType="separate" w:fldLock="0"/>
    </w:r>
    <w:r>
      <w:rPr>
        <w:rtl w:val="0"/>
        <w:lang w:val="en-US"/>
      </w:rPr>
      <w:t>Monday, February 22, 2016</w:t>
    </w:r>
    <w:r>
      <w:rPr/>
      <w:fldChar w:fldCharType="end" w:fldLock="1"/>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w:abstractNum>
  <w:abstractNum w:abstractNumId="1">
    <w:multiLevelType w:val="hybridMultilevel"/>
    <w:styleLink w:val="Bullet"/>
    <w:lvl w:ilvl="0">
      <w:start w:val="1"/>
      <w:numFmt w:val="bullet"/>
      <w:suff w:val="tab"/>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Title">
    <w:name w:val="Title"/>
    <w:next w:val="Body 2"/>
    <w:pPr>
      <w:keepNext w:val="1"/>
      <w:keepLines w:val="0"/>
      <w:pageBreakBefore w:val="0"/>
      <w:widowControl w:val="1"/>
      <w:shd w:val="clear" w:color="auto" w:fill="auto"/>
      <w:suppressAutoHyphens w:val="0"/>
      <w:bidi w:val="0"/>
      <w:spacing w:before="200" w:after="200" w:line="240" w:lineRule="auto"/>
      <w:ind w:left="0" w:right="0" w:firstLine="0"/>
      <w:jc w:val="left"/>
      <w:outlineLvl w:val="1"/>
    </w:pPr>
    <w:rPr>
      <w:rFonts w:ascii="Helvetica" w:cs="Arial Unicode MS" w:hAnsi="Helvetica" w:eastAsia="Arial Unicode MS"/>
      <w:b w:val="1"/>
      <w:bCs w:val="1"/>
      <w:i w:val="0"/>
      <w:iCs w:val="0"/>
      <w:caps w:val="0"/>
      <w:smallCaps w:val="0"/>
      <w:strike w:val="0"/>
      <w:dstrike w:val="0"/>
      <w:outline w:val="0"/>
      <w:color w:val="434343"/>
      <w:spacing w:val="0"/>
      <w:kern w:val="0"/>
      <w:position w:val="0"/>
      <w:sz w:val="36"/>
      <w:szCs w:val="36"/>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Subject">
    <w:name w:val="Subject"/>
    <w:next w:val="Body"/>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Arial Unicode MS" w:hAnsi="Helvetica Light" w:eastAsia="Arial Unicode MS"/>
      <w:b w:val="0"/>
      <w:bCs w:val="0"/>
      <w:i w:val="0"/>
      <w:iCs w:val="0"/>
      <w:caps w:val="0"/>
      <w:smallCaps w:val="0"/>
      <w:strike w:val="0"/>
      <w:dstrike w:val="0"/>
      <w:outline w:val="0"/>
      <w:color w:val="000000"/>
      <w:spacing w:val="5"/>
      <w:kern w:val="0"/>
      <w:position w:val="0"/>
      <w:sz w:val="28"/>
      <w:szCs w:val="28"/>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numbering" w:styleId="Bullet">
    <w:name w:val="Bullet"/>
    <w:pPr>
      <w:numPr>
        <w:numId w:val="1"/>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3.tif"/><Relationship Id="rId7" Type="http://schemas.openxmlformats.org/officeDocument/2006/relationships/image" Target="media/image4.tif"/><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numbering" Target="numbering.xml"/><Relationship Id="rId1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00_Note-taking">
  <a:themeElements>
    <a:clrScheme name="00_Note-taking">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00_Note-taking">
      <a:majorFont>
        <a:latin typeface="Helvetica"/>
        <a:ea typeface="Helvetica"/>
        <a:cs typeface="Helvetica"/>
      </a:majorFont>
      <a:minorFont>
        <a:latin typeface="Helvetica Light"/>
        <a:ea typeface="Helvetica Light"/>
        <a:cs typeface="Helvetica Light"/>
      </a:minorFont>
    </a:fontScheme>
    <a:fmtScheme name="00_Note-taking">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