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rFonts w:ascii="Times New Roman" w:cs="Times New Roman" w:eastAsia="Times New Roman" w:hAnsi="Times New Roman"/>
          <w:b w:val="1"/>
          <w:bCs w:val="1"/>
          <w:sz w:val="24"/>
          <w:szCs w:val="24"/>
        </w:rPr>
      </w:pPr>
      <w:bookmarkStart w:colFirst="0" w:colLast="0" w:name="_ib08lpkr90ek" w:id="0"/>
      <w:bookmarkEnd w:id="0"/>
      <w:r w:rsidDel="00000000" w:rsidR="00000000" w:rsidRPr="00000000">
        <w:rPr>
          <w:rFonts w:ascii="Times New Roman" w:cs="Times New Roman" w:eastAsia="Times New Roman" w:hAnsi="Times New Roman"/>
          <w:b w:val="1"/>
          <w:bCs w:val="1"/>
          <w:sz w:val="24"/>
          <w:szCs w:val="24"/>
          <w:rtl w:val="0"/>
        </w:rPr>
        <w:t xml:space="preserve">CHAPTER I</w:t>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CONTEXT AND RESEARCH DESIGN</w:t>
      </w:r>
    </w:p>
    <w:p w:rsidR="00000000" w:rsidDel="00000000" w:rsidP="00000000" w:rsidRDefault="00000000" w:rsidRPr="00000000" w14:paraId="00000003">
      <w:pPr>
        <w:pStyle w:val="Heading2"/>
        <w:spacing w:line="480" w:lineRule="auto"/>
        <w:jc w:val="both"/>
        <w:rPr>
          <w:rFonts w:ascii="Times New Roman" w:cs="Times New Roman" w:eastAsia="Times New Roman" w:hAnsi="Times New Roman"/>
          <w:b w:val="1"/>
          <w:bCs w:val="1"/>
          <w:sz w:val="24"/>
          <w:szCs w:val="24"/>
        </w:rPr>
      </w:pPr>
      <w:bookmarkStart w:colFirst="0" w:colLast="0" w:name="_ayccr1tn1yj" w:id="1"/>
      <w:bookmarkEnd w:id="1"/>
      <w:r w:rsidDel="00000000" w:rsidR="00000000" w:rsidRPr="00000000">
        <w:rPr>
          <w:rFonts w:ascii="Times New Roman" w:cs="Times New Roman" w:eastAsia="Times New Roman" w:hAnsi="Times New Roman"/>
          <w:b w:val="1"/>
          <w:bCs w:val="1"/>
          <w:sz w:val="24"/>
          <w:szCs w:val="24"/>
          <w:rtl w:val="0"/>
        </w:rPr>
        <w:t xml:space="preserve">Rationale of the Study</w:t>
      </w:r>
    </w:p>
    <w:p w:rsidR="00000000" w:rsidDel="00000000" w:rsidP="00000000" w:rsidRDefault="00000000" w:rsidRPr="00000000" w14:paraId="0000000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 use decisions shape the safety, sustainability, and future of every community. In Cebu City, the agency responsible for ensuring those decisions are made responsibly is the Community Environment and Natural Resources Office (CENRO), located at Pier 3, Cebu City, a field office of the Department of Environment and Natural Resources (DENR) that processes tree cutting permits, land clearing permits, and development clearances for the entire city. Situated in one of the most rapidly urbanizing and disaster-exposed provinces in the Philippines, CENRO handles applications involving land areas that may overlap with flood zones, landslide-prone slopes, protected forests, and legally mandated river easements, making the accuracy and consistency of every permit decision a matter of genuine public consequence.</w:t>
      </w:r>
    </w:p>
    <w:p w:rsidR="00000000" w:rsidDel="00000000" w:rsidP="00000000" w:rsidRDefault="00000000" w:rsidRPr="00000000" w14:paraId="0000000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significance of its mandate, the office currently utilizes a predominantly manual and paper-based permit evaluation process which, while functional, has not yet fully incorporated digital and geospatial tools that can enhance environmental risk assessment. Applications are submitted and processed through traditional workflows, and site evaluations are conducted without an automated system for verifying whether locations intersect with hazard or restricted zones (Calo Juros &amp; Lim, 2025). Although spatial risk data is available from agencies such as NAMRIA, MGB, and PAGASA, its application remains dependent on the evaluating officer’s experience and familiarity with local conditions rather than a standardized geospatial analysis framework (Lagmay et al., 2017). There is also no unified digital platform to centralize records, standardize hazard assessments, or maintain a fully traceable history of permit decisions.</w:t>
      </w:r>
    </w:p>
    <w:p w:rsidR="00000000" w:rsidDel="00000000" w:rsidP="00000000" w:rsidRDefault="00000000" w:rsidRPr="00000000" w14:paraId="0000000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challenge of integrating geospatial hazard data into regulatory permit workflows is widely documented. Even in well-resourced planning contexts, spatial decision support systems remain largely research-oriented rather than operational tools embedded in day-to-day government processes (Esmail and Geneletti, 2020). Across municipalities in multiple countries, most building permit systems have not integrated GIS-based spatial compliance checks into their workflows, resulting in decisions that remain dependent on manual assessment, a condition associated with longer processing times, inconsistent outcomes, and limited audit accountability (Aljobaly, Abdulaal, and Maatouk, 2025). Furthermore, without automated spatial hazard classification embedded in permit processing, risk-based land-use decisions are difficult to standardize and defend (Mohammed, Hussein, and Abood, 2024; Parsian et al., 2021).</w:t>
      </w:r>
    </w:p>
    <w:p w:rsidR="00000000" w:rsidDel="00000000" w:rsidP="00000000" w:rsidRDefault="00000000" w:rsidRPr="00000000" w14:paraId="0000000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establish that the gap between available geospatial technology and its operational use in permit evaluation is a recognized global challenge in environmental governance.</w:t>
      </w:r>
    </w:p>
    <w:p w:rsidR="00000000" w:rsidDel="00000000" w:rsidP="00000000" w:rsidRDefault="00000000" w:rsidRPr="00000000" w14:paraId="0000000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Philippines, this gap is equally present despite national investments in geospatial infrastructure. Through Project NOAH, LiDAR-derived hazard maps have been produced and disseminated across the archipelago; however, their application within frontline permit evaluation at the local government level remains limited and largely manual (Lagmay et al., 2017). At the CENRO level, even in offices that have adopted digital land records management systems, spatial risk data from NAMRIA is not systematically applied to individual permit applications. Instead, decisions continue to rely on officers’ familiarity with local conditions rather than a standardized geospatial analysis framework (Calo-Juros and Lim, 2025). This results in processing times that vary across applications, inconsistent risk assessments, and permit records that are difficult to audit or defend (Calo-Juros &amp; Lim, 2025; Lagmay et al., 2017).</w:t>
      </w:r>
    </w:p>
    <w:p w:rsidR="00000000" w:rsidDel="00000000" w:rsidP="00000000" w:rsidRDefault="00000000" w:rsidRPr="00000000" w14:paraId="0000000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local level, CENRO Cebu City operates an established permit evaluation process that is compliant with existing regulatory requirements. However, the process relies on manual, paper-based workflows in which permit applications are submitted physically, evaluated without automated spatial verification, and tracked through non-digitized records. Each application requires the evaluating officer to manually cross-check the proposed project location against known hazard conditions, a process dependent on individual knowledge rather than a standardized system, resulting in longer processing times (Calo-Juros &amp; Lim, 2025). Applications that could be immediately flagged by an automated hazard classification system instead await manual review, while the absence of a centralized digital platform leaves records, evaluation histories, and decision trails fragmented and difficult to consolidate. The increasing frequency of flooding and landslide events in Cebu and nearby provinces in 2022 and 2024, which resulted in casualties and displacement, further underscores the urgency of addressing this gap (ReliefWeb, 2024; Pacheco et al., 2025).</w:t>
      </w:r>
    </w:p>
    <w:p w:rsidR="00000000" w:rsidDel="00000000" w:rsidP="00000000" w:rsidRDefault="00000000" w:rsidRPr="00000000" w14:paraId="0000000A">
      <w:pPr>
        <w:spacing w:after="240" w:before="240" w:line="480" w:lineRule="auto"/>
        <w:ind w:firstLine="72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4"/>
          <w:szCs w:val="24"/>
          <w:rtl w:val="0"/>
        </w:rPr>
        <w:t xml:space="preserve">It is in response to this gap, observed across international, national, and local contexts, that GeoPermit was developed. GeoPermit is a web-based geospatial land permit evaluation system designed to complement and strengthen the existing process at CENRO. By digitizing the permit submission workflow, automating spatial hazard cross-referencing, and providing a centralized evaluation dashboard with audit trails and spatial reports, GeoPermit addresses key limitations: prolonged processing time, variability in assessment, and fragmented record-keeping. With GeoPermit, a permit application that would otherwise take hours or days to manually screen against hazard data can be classified within seconds of coordinate submission, reducing workload, shortening processing time, and producing a documented and traceable permit decision record.</w:t>
      </w:r>
      <w:r w:rsidDel="00000000" w:rsidR="00000000" w:rsidRPr="00000000">
        <w:rPr>
          <w:rtl w:val="0"/>
        </w:rPr>
      </w:r>
    </w:p>
    <w:p w:rsidR="00000000" w:rsidDel="00000000" w:rsidP="00000000" w:rsidRDefault="00000000" w:rsidRPr="00000000" w14:paraId="0000000B">
      <w:pPr>
        <w:pStyle w:val="Heading2"/>
        <w:spacing w:line="360" w:lineRule="auto"/>
        <w:jc w:val="both"/>
        <w:rPr>
          <w:rFonts w:ascii="Times New Roman" w:cs="Times New Roman" w:eastAsia="Times New Roman" w:hAnsi="Times New Roman"/>
          <w:b w:val="1"/>
          <w:bCs w:val="1"/>
          <w:sz w:val="24"/>
          <w:szCs w:val="24"/>
        </w:rPr>
      </w:pPr>
      <w:bookmarkStart w:colFirst="0" w:colLast="0" w:name="_lkbhbmqv92bt" w:id="2"/>
      <w:bookmarkEnd w:id="2"/>
      <w:r w:rsidDel="00000000" w:rsidR="00000000" w:rsidRPr="00000000">
        <w:rPr>
          <w:rFonts w:ascii="Times New Roman" w:cs="Times New Roman" w:eastAsia="Times New Roman" w:hAnsi="Times New Roman"/>
          <w:b w:val="1"/>
          <w:bCs w:val="1"/>
          <w:sz w:val="24"/>
          <w:szCs w:val="24"/>
          <w:rtl w:val="0"/>
        </w:rPr>
        <w:t xml:space="preserve">Background of the Study</w:t>
      </w:r>
    </w:p>
    <w:p w:rsidR="00000000" w:rsidDel="00000000" w:rsidP="00000000" w:rsidRDefault="00000000" w:rsidRPr="00000000" w14:paraId="0000000C">
      <w:pPr>
        <w:spacing w:after="20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management of land use and environmental permits is among the most critical responsibilities of local government units in the Philippines. As the country continues to experience rapid urbanization, particularly in highly exposed provinces like Cebu, the demand for a permit evaluation process that is both efficient and environmentally responsive has grown significantly. CENRO, as a field unit of the DENR, sits at the center of this responsibility. CENRO is mandated to evaluate and approve land-use permit applications, including tree cutting permits, land clearing permits, and development clearances, ensuring that each approved activity complies with environmental regulations, particularly in areas that are ecologically sensitive or prone to natural hazards (DENR, 2022).</w:t>
      </w:r>
    </w:p>
    <w:p w:rsidR="00000000" w:rsidDel="00000000" w:rsidP="00000000" w:rsidRDefault="00000000" w:rsidRPr="00000000" w14:paraId="0000000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CENRO handles these applications through a manual, paper-based evaluation process. Applicants need to submit physical documents and personally coordinate with the office, while CENRO personnel review the requirements and conduct on-site inspections when necessary. Although this process is functional and follows existing regulatory requirements, it does not use an integrated digital system for spatial data management and automated hazard analysis. These capabilities have become increasingly important as the number of permit applications continues to grow and the risks of uninformed land-use approvals become more evident (RA No. 10121, 2010). The process has no automated way to compare proposed project locations with official hazard boundary datasets. As a result, each risk assessment often depends on the evaluating officer’s knowledge and familiarity with local conditions rather than a standardized geospatial framework (Calo-Juros &amp; Lim, 2025). This reliance can lead to inconsistent evaluations and longer processing times compared to what an automated system could provide (Aljobaly et al., 2025).</w:t>
      </w:r>
    </w:p>
    <w:p w:rsidR="00000000" w:rsidDel="00000000" w:rsidP="00000000" w:rsidRDefault="00000000" w:rsidRPr="00000000" w14:paraId="0000000E">
      <w:pPr>
        <w:spacing w:after="20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limitations of manual permit evaluation workflows are not unique to CENRO Cebu City, they reflect a documented pattern observed at both national and international levels. Even in CENRO offices that have adopted digital land records management systems, spatial risk data from national agencies such as NAMRIA and the Mines and Geosciences Bureau (MGB) remains systematically unused in individual permit evaluations, with decisions continuing to rely on officer judgment rather than validated geospatial datasets (Calo-Juros and Lim, 2025). Across municipalities in multiple countries, most building permit systems have not meaningfully integrated GIS-based spatial compliance checks into their evaluation workflows, a gap consistently associated with longer processing times, inconsistent outcomes, and limited audit accountability (Aljobaly, Abdulaal, and Maatouk, 2025).  These findings confirm that the challenges facing CENRO Cebu City are part of a broader, well-documented gap between available geospatial technology and its operational use in regulatory permit processes.</w:t>
      </w:r>
    </w:p>
    <w:p w:rsidR="00000000" w:rsidDel="00000000" w:rsidP="00000000" w:rsidRDefault="00000000" w:rsidRPr="00000000" w14:paraId="0000000F">
      <w:pPr>
        <w:spacing w:after="20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urgency of addressing this gap is underscored by the increasing frequency and intensity of natural disasters in the Philippines. Cebu City and its surrounding areas have experienced repeated flooding and landslide incidents, including severe events in 2022 and 2024 that resulted in casualties and widespread displacement (ReliefWeb, 2024). These incidents highlight the real-world consequences of permit decisions made without adequate spatial risk assessment developments approved in hazard-prone or ecologically restricted areas that later become sources of vulnerability for the communities that inhabit them. The recurrence of such events in the Philippines reflects systemic gaps in land-use governance that must be addressed through more systematic, data-driven approaches to permit evaluation at the local government level (Pacheco et al., 2025). </w:t>
      </w:r>
    </w:p>
    <w:p w:rsidR="00000000" w:rsidDel="00000000" w:rsidP="00000000" w:rsidRDefault="00000000" w:rsidRPr="00000000" w14:paraId="00000010">
      <w:pPr>
        <w:spacing w:after="20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response to these challenges, Geographic Information Systems (GIS) have emerged as powerful and proven tools for improving environmental decision-making in regulatory contexts. GIS enables the integration, visualization, and analysis of geographic data, providing planners and regulators with objective, spatially explicit insights that manual review processes cannot consistently produce. The integration of remote sensing and GIS technologies has significantly enhanced environmental assessment by offering near-real-time data on land cover, hazard susceptibility, and ecological conditions (Singh &amp; Bhadauria, 2024). Web-based GIS platforms in particular offer accessible and scalable solutions that allow real-time spatial analysis without requiring specialized desktop software, making them well-suited for integration into frontline government permit workflows (Lagmay et al., 2017). Technologies such as Leaflet.js, OpenStreetMap, PostgreSQL with PostGIS, Turf.js, and GeoJSON have made it possible to develop full-featured geospatial systems within standard web environments, with recent studies confirming the effectiveness of spatial data-driven screening in environmental decision-making (Cilliers et al., 2022).</w:t>
      </w:r>
    </w:p>
    <w:p w:rsidR="00000000" w:rsidDel="00000000" w:rsidP="00000000" w:rsidRDefault="00000000" w:rsidRPr="00000000" w14:paraId="00000011">
      <w:pPr>
        <w:spacing w:after="200" w:before="24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It is within this context that GeoPermit was conceived and developed. GeoPermit: An Intelligent Geospatial-Based Land Permit Evaluation and Automated Hazard Classification System for Environmental Risk Management is a web-based geospatial platform designed to modernize and strengthen the land-use permit evaluation process of CENRO Cebu City by building upon, not replacing the established workflows already in place. The system enables applicants to submit permit applications digitally and identify project locations through an interactive map interface. Once coordinates are submitted, GeoPermit automatically analyzes them against official hazard and environmental restriction datasets, including flood zones, landslide-prone areas, protected forests, and river easements, and generates a color-coded risk classification of Low, Moderate, or High Risk (Nilo et al., 2023; Balistoy et al., 2022). Applications identified as restricted are automatically flagged, while eligible submissions are routed to a dedicated CENRO officer evaluation dashboard complete with spatial reports, audit trail records, and a full history of how each permit decision was reached (UP NOAH Center, 2017). By automating the most time-consuming and inconsistency-prone step in the current workflow, the spatial risk assessment, GeoPermit directly reduces processing time, lessens the administrative workload of evaluating officers, and provides the standardized, traceable, and defensible permit evaluation process that CENRO Cebu City and the communities it serves require.</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