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1DEBF" w14:textId="625ABB19" w:rsidR="00CA32A5" w:rsidRPr="003E078E" w:rsidRDefault="006F55FD" w:rsidP="003E078E">
      <w:pPr>
        <w:jc w:val="both"/>
        <w:rPr>
          <w:rFonts w:ascii="Times New Roman" w:hAnsi="Times New Roman" w:cs="Times New Roman"/>
          <w:sz w:val="26"/>
          <w:szCs w:val="26"/>
        </w:rPr>
      </w:pPr>
      <w:r w:rsidRPr="003E078E">
        <w:rPr>
          <w:rFonts w:ascii="Times New Roman" w:hAnsi="Times New Roman" w:cs="Times New Roman"/>
          <w:sz w:val="26"/>
          <w:szCs w:val="26"/>
        </w:rPr>
        <w:drawing>
          <wp:inline distT="0" distB="0" distL="0" distR="0" wp14:anchorId="22494418" wp14:editId="4024E465">
            <wp:extent cx="5731510" cy="2921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21000"/>
                    </a:xfrm>
                    <a:prstGeom prst="rect">
                      <a:avLst/>
                    </a:prstGeom>
                  </pic:spPr>
                </pic:pic>
              </a:graphicData>
            </a:graphic>
          </wp:inline>
        </w:drawing>
      </w:r>
    </w:p>
    <w:p w14:paraId="4DC8A811" w14:textId="5C458425" w:rsidR="006F55FD" w:rsidRPr="003E078E" w:rsidRDefault="006F55FD" w:rsidP="003E078E">
      <w:pPr>
        <w:jc w:val="both"/>
        <w:rPr>
          <w:rFonts w:ascii="Times New Roman" w:hAnsi="Times New Roman" w:cs="Times New Roman"/>
          <w:b/>
          <w:bCs/>
          <w:sz w:val="26"/>
          <w:szCs w:val="26"/>
        </w:rPr>
      </w:pPr>
      <w:r w:rsidRPr="003E078E">
        <w:rPr>
          <w:rFonts w:ascii="Times New Roman" w:hAnsi="Times New Roman" w:cs="Times New Roman"/>
          <w:b/>
          <w:bCs/>
          <w:sz w:val="26"/>
          <w:szCs w:val="26"/>
        </w:rPr>
        <w:t xml:space="preserve">       </w:t>
      </w:r>
      <w:proofErr w:type="gramStart"/>
      <w:r w:rsidRPr="003E078E">
        <w:rPr>
          <w:rFonts w:ascii="Times New Roman" w:hAnsi="Times New Roman" w:cs="Times New Roman"/>
          <w:b/>
          <w:bCs/>
          <w:sz w:val="26"/>
          <w:szCs w:val="26"/>
        </w:rPr>
        <w:t>Name :</w:t>
      </w:r>
      <w:proofErr w:type="gramEnd"/>
      <w:r w:rsidRPr="003E078E">
        <w:rPr>
          <w:rFonts w:ascii="Times New Roman" w:hAnsi="Times New Roman" w:cs="Times New Roman"/>
          <w:b/>
          <w:bCs/>
          <w:sz w:val="26"/>
          <w:szCs w:val="26"/>
        </w:rPr>
        <w:t xml:space="preserve"> Rishabh Kumar Rai</w:t>
      </w:r>
    </w:p>
    <w:p w14:paraId="23892D2C" w14:textId="53990F32" w:rsidR="006F55FD" w:rsidRPr="003E078E" w:rsidRDefault="006F55FD" w:rsidP="003E078E">
      <w:pPr>
        <w:jc w:val="both"/>
        <w:rPr>
          <w:rFonts w:ascii="Times New Roman" w:hAnsi="Times New Roman" w:cs="Times New Roman"/>
          <w:b/>
          <w:bCs/>
          <w:sz w:val="26"/>
          <w:szCs w:val="26"/>
        </w:rPr>
      </w:pPr>
      <w:r w:rsidRPr="003E078E">
        <w:rPr>
          <w:rFonts w:ascii="Times New Roman" w:hAnsi="Times New Roman" w:cs="Times New Roman"/>
          <w:b/>
          <w:bCs/>
          <w:sz w:val="26"/>
          <w:szCs w:val="26"/>
        </w:rPr>
        <w:t xml:space="preserve">       Reg </w:t>
      </w:r>
      <w:proofErr w:type="gramStart"/>
      <w:r w:rsidRPr="003E078E">
        <w:rPr>
          <w:rFonts w:ascii="Times New Roman" w:hAnsi="Times New Roman" w:cs="Times New Roman"/>
          <w:b/>
          <w:bCs/>
          <w:sz w:val="26"/>
          <w:szCs w:val="26"/>
        </w:rPr>
        <w:t>No. :</w:t>
      </w:r>
      <w:proofErr w:type="gramEnd"/>
      <w:r w:rsidRPr="003E078E">
        <w:rPr>
          <w:rFonts w:ascii="Times New Roman" w:hAnsi="Times New Roman" w:cs="Times New Roman"/>
          <w:b/>
          <w:bCs/>
          <w:sz w:val="26"/>
          <w:szCs w:val="26"/>
        </w:rPr>
        <w:t xml:space="preserve"> 20BKT0076</w:t>
      </w:r>
    </w:p>
    <w:p w14:paraId="31E8C29D" w14:textId="79AAA5B9" w:rsidR="006F55FD" w:rsidRPr="003E078E" w:rsidRDefault="006F55FD" w:rsidP="003E078E">
      <w:pPr>
        <w:jc w:val="both"/>
        <w:rPr>
          <w:rFonts w:ascii="Times New Roman" w:hAnsi="Times New Roman" w:cs="Times New Roman"/>
          <w:sz w:val="26"/>
          <w:szCs w:val="26"/>
        </w:rPr>
      </w:pPr>
      <w:r w:rsidRPr="003E078E">
        <w:rPr>
          <w:rFonts w:ascii="Times New Roman" w:hAnsi="Times New Roman" w:cs="Times New Roman"/>
          <w:b/>
          <w:bCs/>
          <w:sz w:val="26"/>
          <w:szCs w:val="26"/>
          <w:u w:val="single"/>
        </w:rPr>
        <w:t>--------------------------------------------------------------------------------------------------------------------------</w:t>
      </w:r>
    </w:p>
    <w:p w14:paraId="22A4AB3C" w14:textId="52758EE2" w:rsidR="006F55FD" w:rsidRPr="003E078E" w:rsidRDefault="006F55FD" w:rsidP="003E078E">
      <w:pPr>
        <w:jc w:val="both"/>
        <w:rPr>
          <w:rFonts w:ascii="Times New Roman" w:hAnsi="Times New Roman" w:cs="Times New Roman"/>
          <w:sz w:val="26"/>
          <w:szCs w:val="26"/>
        </w:rPr>
      </w:pPr>
    </w:p>
    <w:p w14:paraId="02F762ED" w14:textId="051BFA19" w:rsidR="006F55FD" w:rsidRPr="003E078E" w:rsidRDefault="006F55FD" w:rsidP="003E078E">
      <w:pPr>
        <w:jc w:val="both"/>
        <w:rPr>
          <w:rFonts w:ascii="Times New Roman" w:hAnsi="Times New Roman" w:cs="Times New Roman"/>
          <w:sz w:val="26"/>
          <w:szCs w:val="26"/>
        </w:rPr>
      </w:pPr>
      <w:r w:rsidRPr="003E078E">
        <w:rPr>
          <w:rFonts w:ascii="Times New Roman" w:hAnsi="Times New Roman" w:cs="Times New Roman"/>
          <w:sz w:val="26"/>
          <w:szCs w:val="26"/>
        </w:rPr>
        <w:t xml:space="preserve">Q) </w:t>
      </w:r>
      <w:r w:rsidRPr="003E078E">
        <w:rPr>
          <w:rFonts w:ascii="Times New Roman" w:hAnsi="Times New Roman" w:cs="Times New Roman"/>
          <w:sz w:val="26"/>
          <w:szCs w:val="26"/>
        </w:rPr>
        <w:t>Considerations for applying the Distributed Ledger Technology as a technical infrastructure for securities transactions settlement. Examine any one of the technologies to enhance the efficiency and facilitates the process of transaction settlement in private ledger with example</w:t>
      </w:r>
    </w:p>
    <w:p w14:paraId="1D564FA6" w14:textId="6ADCB4A3" w:rsidR="006F55FD" w:rsidRPr="003E078E" w:rsidRDefault="006F55FD" w:rsidP="003E078E">
      <w:pPr>
        <w:jc w:val="both"/>
        <w:rPr>
          <w:rFonts w:ascii="Times New Roman" w:hAnsi="Times New Roman" w:cs="Times New Roman"/>
          <w:color w:val="333333"/>
          <w:sz w:val="26"/>
          <w:szCs w:val="26"/>
          <w:shd w:val="clear" w:color="auto" w:fill="FCFCFC"/>
        </w:rPr>
      </w:pPr>
      <w:r w:rsidRPr="003E078E">
        <w:rPr>
          <w:rFonts w:ascii="Times New Roman" w:hAnsi="Times New Roman" w:cs="Times New Roman"/>
          <w:color w:val="333333"/>
          <w:sz w:val="26"/>
          <w:szCs w:val="26"/>
          <w:shd w:val="clear" w:color="auto" w:fill="FCFCFC"/>
        </w:rPr>
        <w:t>Distributed ledger technology (DLT), of which the blockchain technology</w:t>
      </w:r>
      <w:hyperlink r:id="rId5" w:anchor="Fn1" w:history="1">
        <w:r w:rsidRPr="003E078E">
          <w:rPr>
            <w:rStyle w:val="u-visually-hidden"/>
            <w:rFonts w:ascii="Times New Roman" w:hAnsi="Times New Roman" w:cs="Times New Roman"/>
            <w:color w:val="004B83"/>
            <w:sz w:val="26"/>
            <w:szCs w:val="26"/>
            <w:u w:val="single"/>
            <w:bdr w:val="none" w:sz="0" w:space="0" w:color="auto" w:frame="1"/>
            <w:vertAlign w:val="superscript"/>
          </w:rPr>
          <w:t>Footnote</w:t>
        </w:r>
        <w:r w:rsidRPr="003E078E">
          <w:rPr>
            <w:rStyle w:val="Hyperlink"/>
            <w:rFonts w:ascii="Times New Roman" w:hAnsi="Times New Roman" w:cs="Times New Roman"/>
            <w:color w:val="004B83"/>
            <w:sz w:val="26"/>
            <w:szCs w:val="26"/>
            <w:vertAlign w:val="superscript"/>
          </w:rPr>
          <w:t>1</w:t>
        </w:r>
      </w:hyperlink>
      <w:r w:rsidRPr="003E078E">
        <w:rPr>
          <w:rFonts w:ascii="Times New Roman" w:hAnsi="Times New Roman" w:cs="Times New Roman"/>
          <w:color w:val="333333"/>
          <w:sz w:val="26"/>
          <w:szCs w:val="26"/>
          <w:shd w:val="clear" w:color="auto" w:fill="FCFCFC"/>
        </w:rPr>
        <w:t xml:space="preserve"> is the best known example, has attracted significant interest from the financial industry and academia. DLT gained notoriety by being used for the trading of cryptocurrencies, such as Bitcoins, which are issued and validated by the system users rather than by a central authority. Since the deployment of virtual currencies, the financial industry has been investigating whether this technology can be applied to securities markets </w:t>
      </w:r>
      <w:proofErr w:type="gramStart"/>
      <w:r w:rsidRPr="003E078E">
        <w:rPr>
          <w:rFonts w:ascii="Times New Roman" w:hAnsi="Times New Roman" w:cs="Times New Roman"/>
          <w:color w:val="333333"/>
          <w:sz w:val="26"/>
          <w:szCs w:val="26"/>
          <w:shd w:val="clear" w:color="auto" w:fill="FCFCFC"/>
        </w:rPr>
        <w:t>in order to</w:t>
      </w:r>
      <w:proofErr w:type="gramEnd"/>
      <w:r w:rsidRPr="003E078E">
        <w:rPr>
          <w:rFonts w:ascii="Times New Roman" w:hAnsi="Times New Roman" w:cs="Times New Roman"/>
          <w:color w:val="333333"/>
          <w:sz w:val="26"/>
          <w:szCs w:val="26"/>
          <w:shd w:val="clear" w:color="auto" w:fill="FCFCFC"/>
        </w:rPr>
        <w:t xml:space="preserve"> create a more efficient market, compared to the usage of ledgers based on classical double-entry bookkeeping.</w:t>
      </w:r>
    </w:p>
    <w:p w14:paraId="300AC43B" w14:textId="52606DA8" w:rsidR="006F55FD" w:rsidRPr="003E078E" w:rsidRDefault="006F55FD" w:rsidP="003E078E">
      <w:pPr>
        <w:jc w:val="both"/>
        <w:rPr>
          <w:rFonts w:ascii="Times New Roman" w:hAnsi="Times New Roman" w:cs="Times New Roman"/>
          <w:color w:val="333333"/>
          <w:sz w:val="26"/>
          <w:szCs w:val="26"/>
          <w:shd w:val="clear" w:color="auto" w:fill="FCFCFC"/>
        </w:rPr>
      </w:pPr>
      <w:r w:rsidRPr="003E078E">
        <w:rPr>
          <w:rFonts w:ascii="Times New Roman" w:hAnsi="Times New Roman" w:cs="Times New Roman"/>
          <w:color w:val="333333"/>
          <w:sz w:val="26"/>
          <w:szCs w:val="26"/>
          <w:shd w:val="clear" w:color="auto" w:fill="FCFCFC"/>
        </w:rPr>
        <w:t>According to Goldman Sachs (</w:t>
      </w:r>
      <w:hyperlink r:id="rId6" w:anchor="ref-CR36" w:tooltip="Goldman Sachs (2016) Blockchain: Putting theory in practice. In: Equity Research &#10;https://github.com/bellaj/Blockchain/blob/master/Goldman-Sachs-Blockchain-Putting-Theory -into-Practice.pdf&#10;&#10; Accessed 30 November 2017" w:history="1">
        <w:r w:rsidRPr="003E078E">
          <w:rPr>
            <w:rStyle w:val="Hyperlink"/>
            <w:rFonts w:ascii="Times New Roman" w:hAnsi="Times New Roman" w:cs="Times New Roman"/>
            <w:color w:val="004B83"/>
            <w:sz w:val="26"/>
            <w:szCs w:val="26"/>
            <w:shd w:val="clear" w:color="auto" w:fill="FCFCFC"/>
          </w:rPr>
          <w:t>2016</w:t>
        </w:r>
      </w:hyperlink>
      <w:r w:rsidRPr="003E078E">
        <w:rPr>
          <w:rFonts w:ascii="Times New Roman" w:hAnsi="Times New Roman" w:cs="Times New Roman"/>
          <w:color w:val="333333"/>
          <w:sz w:val="26"/>
          <w:szCs w:val="26"/>
          <w:shd w:val="clear" w:color="auto" w:fill="FCFCFC"/>
        </w:rPr>
        <w:t xml:space="preserve">), DLT </w:t>
      </w:r>
      <w:r w:rsidRPr="003E078E">
        <w:rPr>
          <w:rFonts w:ascii="Times New Roman" w:hAnsi="Times New Roman" w:cs="Times New Roman"/>
          <w:color w:val="333333"/>
          <w:sz w:val="26"/>
          <w:szCs w:val="26"/>
        </w:rPr>
        <w:t>could reduce transaction costs of insurance underwritings by $2–4 billion in the USA alone and the costs related to securities clearing and settlement would decrease by $11–12 billion. An analysis of Banco Santander, Oliver Wyman, and Anthemis Group (</w:t>
      </w:r>
      <w:hyperlink r:id="rId7" w:anchor="ref-CR4" w:tooltip="Banco Santander, Oliver Wyman, and Anthemis Group (2015) The FinTech 2.0 paper: Rebooting financial services. &#10;http://santanderinnoventures.com/wp-content/uploads/2015/06/The-Fintech-2-0-Paper.pdf&#10;&#10;. Accessed 6 December 2017" w:history="1">
        <w:r w:rsidRPr="003E078E">
          <w:rPr>
            <w:rStyle w:val="Hyperlink"/>
            <w:rFonts w:ascii="Times New Roman" w:hAnsi="Times New Roman" w:cs="Times New Roman"/>
            <w:color w:val="004B83"/>
            <w:sz w:val="26"/>
            <w:szCs w:val="26"/>
          </w:rPr>
          <w:t>2015</w:t>
        </w:r>
      </w:hyperlink>
      <w:r w:rsidRPr="003E078E">
        <w:rPr>
          <w:rFonts w:ascii="Times New Roman" w:hAnsi="Times New Roman" w:cs="Times New Roman"/>
          <w:color w:val="333333"/>
          <w:sz w:val="26"/>
          <w:szCs w:val="26"/>
        </w:rPr>
        <w:t>) suggests that DLT could reduce banks’ infrastructure costs attributable to cross-border payments and trading of securities by $15–$20 billion. The World Economic Forum (</w:t>
      </w:r>
      <w:hyperlink r:id="rId8" w:anchor="ref-CR77" w:tooltip="World Economic Forum (2015) The future of financial services: How disruptive innovations are reshaping the way financial services are structured, provisioned and consumed. &#10;http://www3.weforum.org/docs/WEF_The_future__of_financial_services.pdf&#10;&#10; Accessed 25 June 2018" w:history="1">
        <w:r w:rsidRPr="003E078E">
          <w:rPr>
            <w:rStyle w:val="Hyperlink"/>
            <w:rFonts w:ascii="Times New Roman" w:hAnsi="Times New Roman" w:cs="Times New Roman"/>
            <w:color w:val="004B83"/>
            <w:sz w:val="26"/>
            <w:szCs w:val="26"/>
          </w:rPr>
          <w:t>2015</w:t>
        </w:r>
      </w:hyperlink>
      <w:r w:rsidRPr="003E078E">
        <w:rPr>
          <w:rFonts w:ascii="Times New Roman" w:hAnsi="Times New Roman" w:cs="Times New Roman"/>
          <w:color w:val="333333"/>
          <w:sz w:val="26"/>
          <w:szCs w:val="26"/>
        </w:rPr>
        <w:t>) even estimates that by 2027, up to 10% of the value of the global GDP will be stored on blockchains.</w:t>
      </w:r>
    </w:p>
    <w:p w14:paraId="585B9E4C" w14:textId="2FCABD8D" w:rsidR="006F55FD" w:rsidRPr="003E078E" w:rsidRDefault="006F55FD" w:rsidP="003E078E">
      <w:pPr>
        <w:jc w:val="both"/>
        <w:rPr>
          <w:rFonts w:ascii="Times New Roman" w:hAnsi="Times New Roman" w:cs="Times New Roman"/>
          <w:color w:val="333333"/>
          <w:sz w:val="26"/>
          <w:szCs w:val="26"/>
          <w:shd w:val="clear" w:color="auto" w:fill="FCFCFC"/>
        </w:rPr>
      </w:pPr>
      <w:r w:rsidRPr="003E078E">
        <w:rPr>
          <w:rFonts w:ascii="Times New Roman" w:hAnsi="Times New Roman" w:cs="Times New Roman"/>
          <w:color w:val="333333"/>
          <w:sz w:val="26"/>
          <w:szCs w:val="26"/>
          <w:shd w:val="clear" w:color="auto" w:fill="FCFCFC"/>
        </w:rPr>
        <w:lastRenderedPageBreak/>
        <w:t>Although financial institutions have yet to demonstrate that DLT is a viable and sustainable solution to cover the complete securities trade cycle (i.e. trading, clearing, and settlement), they developed several proofs of concept in particular niches</w:t>
      </w:r>
      <w:hyperlink r:id="rId9" w:anchor="Fn2" w:history="1">
        <w:r w:rsidRPr="003E078E">
          <w:rPr>
            <w:rStyle w:val="u-visually-hidden"/>
            <w:rFonts w:ascii="Times New Roman" w:hAnsi="Times New Roman" w:cs="Times New Roman"/>
            <w:color w:val="004B83"/>
            <w:sz w:val="26"/>
            <w:szCs w:val="26"/>
            <w:u w:val="single"/>
            <w:bdr w:val="none" w:sz="0" w:space="0" w:color="auto" w:frame="1"/>
            <w:vertAlign w:val="superscript"/>
          </w:rPr>
          <w:t>Footnote</w:t>
        </w:r>
        <w:r w:rsidRPr="003E078E">
          <w:rPr>
            <w:rStyle w:val="Hyperlink"/>
            <w:rFonts w:ascii="Times New Roman" w:hAnsi="Times New Roman" w:cs="Times New Roman"/>
            <w:color w:val="004B83"/>
            <w:sz w:val="26"/>
            <w:szCs w:val="26"/>
            <w:vertAlign w:val="superscript"/>
          </w:rPr>
          <w:t>2</w:t>
        </w:r>
      </w:hyperlink>
      <w:r w:rsidRPr="003E078E">
        <w:rPr>
          <w:rFonts w:ascii="Times New Roman" w:hAnsi="Times New Roman" w:cs="Times New Roman"/>
          <w:color w:val="333333"/>
          <w:sz w:val="26"/>
          <w:szCs w:val="26"/>
          <w:shd w:val="clear" w:color="auto" w:fill="FCFCFC"/>
        </w:rPr>
        <w:t> of the trading and post-trading ecosystem. A non-exhaustive list of examples: the Australian Stock Exchange cooperated with Digital Assets to use DLT for the clearing and settlement of equity transactions (McDowell </w:t>
      </w:r>
      <w:hyperlink r:id="rId10" w:anchor="ref-CR51" w:tooltip="McDowell H (2017) ASX to replace equity post-trade systems with blockchain. In: Global Custodian &#10;https://www.globalcustodian.com/asx-to-replace-equity-post-trade-systems-with-blockchain/&#10;&#10; accessed 25 June 2018" w:history="1">
        <w:r w:rsidRPr="003E078E">
          <w:rPr>
            <w:rStyle w:val="Hyperlink"/>
            <w:rFonts w:ascii="Times New Roman" w:hAnsi="Times New Roman" w:cs="Times New Roman"/>
            <w:color w:val="004B83"/>
            <w:sz w:val="26"/>
            <w:szCs w:val="26"/>
            <w:shd w:val="clear" w:color="auto" w:fill="FCFCFC"/>
          </w:rPr>
          <w:t>2017</w:t>
        </w:r>
      </w:hyperlink>
      <w:r w:rsidRPr="003E078E">
        <w:rPr>
          <w:rFonts w:ascii="Times New Roman" w:hAnsi="Times New Roman" w:cs="Times New Roman"/>
          <w:color w:val="333333"/>
          <w:sz w:val="26"/>
          <w:szCs w:val="26"/>
          <w:shd w:val="clear" w:color="auto" w:fill="FCFCFC"/>
        </w:rPr>
        <w:t>); Nasdaq and SEB constructed a mutual fund trading platform based on the blockchain technology (Parsons </w:t>
      </w:r>
      <w:hyperlink r:id="rId11" w:anchor="ref-CR60" w:tooltip="Parsons J (2017) Nasdaq and SEB to build blockchain platform for mutual funds. In: Global Custodian &#10;https://www.globalcustodian.com/nasdaq-and-seb-to-build-blockchain-platform-for-mutual-funds/&#10;&#10; accessed 25 June 2018" w:history="1">
        <w:r w:rsidRPr="003E078E">
          <w:rPr>
            <w:rStyle w:val="Hyperlink"/>
            <w:rFonts w:ascii="Times New Roman" w:hAnsi="Times New Roman" w:cs="Times New Roman"/>
            <w:color w:val="004B83"/>
            <w:sz w:val="26"/>
            <w:szCs w:val="26"/>
            <w:shd w:val="clear" w:color="auto" w:fill="FCFCFC"/>
          </w:rPr>
          <w:t>2017</w:t>
        </w:r>
      </w:hyperlink>
      <w:r w:rsidRPr="003E078E">
        <w:rPr>
          <w:rFonts w:ascii="Times New Roman" w:hAnsi="Times New Roman" w:cs="Times New Roman"/>
          <w:color w:val="333333"/>
          <w:sz w:val="26"/>
          <w:szCs w:val="26"/>
          <w:shd w:val="clear" w:color="auto" w:fill="FCFCFC"/>
        </w:rPr>
        <w:t>); Overstock.com launched a closed-system trading platform for the sale of its own proprietary blockchain (Ryan and Donohue, </w:t>
      </w:r>
      <w:hyperlink r:id="rId12" w:anchor="ref-CR71" w:tooltip="Ryan R, Donohue M (2017) Securities on blockchain. Business Lawyer 73(1):85–108" w:history="1">
        <w:r w:rsidRPr="003E078E">
          <w:rPr>
            <w:rStyle w:val="Hyperlink"/>
            <w:rFonts w:ascii="Times New Roman" w:hAnsi="Times New Roman" w:cs="Times New Roman"/>
            <w:color w:val="004B83"/>
            <w:sz w:val="26"/>
            <w:szCs w:val="26"/>
            <w:shd w:val="clear" w:color="auto" w:fill="FCFCFC"/>
          </w:rPr>
          <w:t>2017</w:t>
        </w:r>
      </w:hyperlink>
      <w:r w:rsidRPr="003E078E">
        <w:rPr>
          <w:rFonts w:ascii="Times New Roman" w:hAnsi="Times New Roman" w:cs="Times New Roman"/>
          <w:color w:val="333333"/>
          <w:sz w:val="26"/>
          <w:szCs w:val="26"/>
          <w:shd w:val="clear" w:color="auto" w:fill="FCFCFC"/>
        </w:rPr>
        <w:t xml:space="preserve">), Nasdaq launched </w:t>
      </w:r>
      <w:proofErr w:type="spellStart"/>
      <w:r w:rsidRPr="003E078E">
        <w:rPr>
          <w:rFonts w:ascii="Times New Roman" w:hAnsi="Times New Roman" w:cs="Times New Roman"/>
          <w:color w:val="333333"/>
          <w:sz w:val="26"/>
          <w:szCs w:val="26"/>
          <w:shd w:val="clear" w:color="auto" w:fill="FCFCFC"/>
        </w:rPr>
        <w:t>Linq</w:t>
      </w:r>
      <w:proofErr w:type="spellEnd"/>
      <w:r w:rsidRPr="003E078E">
        <w:rPr>
          <w:rFonts w:ascii="Times New Roman" w:hAnsi="Times New Roman" w:cs="Times New Roman"/>
          <w:color w:val="333333"/>
          <w:sz w:val="26"/>
          <w:szCs w:val="26"/>
          <w:shd w:val="clear" w:color="auto" w:fill="FCFCFC"/>
        </w:rPr>
        <w:t xml:space="preserve"> to enable private securities issuance (Peter and </w:t>
      </w:r>
      <w:proofErr w:type="spellStart"/>
      <w:r w:rsidRPr="003E078E">
        <w:rPr>
          <w:rFonts w:ascii="Times New Roman" w:hAnsi="Times New Roman" w:cs="Times New Roman"/>
          <w:color w:val="333333"/>
          <w:sz w:val="26"/>
          <w:szCs w:val="26"/>
          <w:shd w:val="clear" w:color="auto" w:fill="FCFCFC"/>
        </w:rPr>
        <w:t>Vishnia</w:t>
      </w:r>
      <w:proofErr w:type="spellEnd"/>
      <w:r w:rsidRPr="003E078E">
        <w:rPr>
          <w:rFonts w:ascii="Times New Roman" w:hAnsi="Times New Roman" w:cs="Times New Roman"/>
          <w:color w:val="333333"/>
          <w:sz w:val="26"/>
          <w:szCs w:val="26"/>
          <w:shd w:val="clear" w:color="auto" w:fill="FCFCFC"/>
        </w:rPr>
        <w:t>, </w:t>
      </w:r>
      <w:hyperlink r:id="rId13" w:anchor="ref-CR64" w:tooltip="Peters G.W and Vishnia G.R (2016) Overview of emerging blockchain architectures and platforms for electronic trading exchanges. SSRN working paper. &#10;https://researchportal.hw.ac.uk/en/publications/overview-of-emerging-blockchain-architectures-and-platforms-for-e&#10;&#10; Accessed 8 July 2019" w:history="1">
        <w:r w:rsidRPr="003E078E">
          <w:rPr>
            <w:rStyle w:val="Hyperlink"/>
            <w:rFonts w:ascii="Times New Roman" w:hAnsi="Times New Roman" w:cs="Times New Roman"/>
            <w:color w:val="004B83"/>
            <w:sz w:val="26"/>
            <w:szCs w:val="26"/>
            <w:shd w:val="clear" w:color="auto" w:fill="FCFCFC"/>
          </w:rPr>
          <w:t>2016</w:t>
        </w:r>
      </w:hyperlink>
      <w:r w:rsidRPr="003E078E">
        <w:rPr>
          <w:rFonts w:ascii="Times New Roman" w:hAnsi="Times New Roman" w:cs="Times New Roman"/>
          <w:color w:val="333333"/>
          <w:sz w:val="26"/>
          <w:szCs w:val="26"/>
          <w:shd w:val="clear" w:color="auto" w:fill="FCFCFC"/>
        </w:rPr>
        <w:t>), the French central securities depository (CSD) ‘ID2S’ applies the blockchain technology to issue French commercial paper, and the Canadian Securities Exchange developed a DLT securities clearing and settlement platform to allow companies to issue equity and fixed income securities via security token offerings (McDowell </w:t>
      </w:r>
      <w:hyperlink r:id="rId14" w:anchor="ref-CR52" w:tooltip="McDowell H (2018) Canadian securities exchange releases blockchain clearing platform. In: Global Custodian &#10;https://www.globalcustodian.com/canadian-securities-exchange-releases-blockchain-clearing-platform/&#10;&#10; accessed 25 June 2018" w:history="1">
        <w:r w:rsidRPr="003E078E">
          <w:rPr>
            <w:rStyle w:val="Hyperlink"/>
            <w:rFonts w:ascii="Times New Roman" w:hAnsi="Times New Roman" w:cs="Times New Roman"/>
            <w:color w:val="004B83"/>
            <w:sz w:val="26"/>
            <w:szCs w:val="26"/>
            <w:shd w:val="clear" w:color="auto" w:fill="FCFCFC"/>
          </w:rPr>
          <w:t>2018</w:t>
        </w:r>
      </w:hyperlink>
      <w:r w:rsidRPr="003E078E">
        <w:rPr>
          <w:rFonts w:ascii="Times New Roman" w:hAnsi="Times New Roman" w:cs="Times New Roman"/>
          <w:color w:val="333333"/>
          <w:sz w:val="26"/>
          <w:szCs w:val="26"/>
          <w:shd w:val="clear" w:color="auto" w:fill="FCFCFC"/>
        </w:rPr>
        <w:t>).</w:t>
      </w:r>
    </w:p>
    <w:p w14:paraId="0FD6A018" w14:textId="37C87257" w:rsidR="003E078E" w:rsidRPr="003E078E" w:rsidRDefault="003E078E" w:rsidP="003E078E">
      <w:pPr>
        <w:jc w:val="both"/>
        <w:rPr>
          <w:rFonts w:ascii="Times New Roman" w:hAnsi="Times New Roman" w:cs="Times New Roman"/>
          <w:color w:val="333333"/>
          <w:sz w:val="26"/>
          <w:szCs w:val="26"/>
          <w:shd w:val="clear" w:color="auto" w:fill="FCFCFC"/>
        </w:rPr>
      </w:pPr>
    </w:p>
    <w:p w14:paraId="38415F01" w14:textId="77777777" w:rsidR="003E078E" w:rsidRPr="003E078E" w:rsidRDefault="003E078E" w:rsidP="003E078E">
      <w:pPr>
        <w:jc w:val="both"/>
        <w:rPr>
          <w:rFonts w:ascii="Times New Roman" w:hAnsi="Times New Roman" w:cs="Times New Roman"/>
          <w:sz w:val="26"/>
          <w:szCs w:val="26"/>
        </w:rPr>
      </w:pPr>
      <w:r w:rsidRPr="003E078E">
        <w:rPr>
          <w:rFonts w:ascii="Times New Roman" w:hAnsi="Times New Roman" w:cs="Times New Roman"/>
          <w:sz w:val="26"/>
          <w:szCs w:val="26"/>
        </w:rPr>
        <w:t xml:space="preserve">Settlement issues </w:t>
      </w:r>
    </w:p>
    <w:p w14:paraId="2C49F34E" w14:textId="77777777" w:rsidR="003E078E" w:rsidRPr="003E078E" w:rsidRDefault="003E078E" w:rsidP="003E078E">
      <w:pPr>
        <w:jc w:val="both"/>
        <w:rPr>
          <w:rFonts w:ascii="Times New Roman" w:hAnsi="Times New Roman" w:cs="Times New Roman"/>
          <w:sz w:val="26"/>
          <w:szCs w:val="26"/>
        </w:rPr>
      </w:pPr>
      <w:r w:rsidRPr="003E078E">
        <w:rPr>
          <w:rFonts w:ascii="Times New Roman" w:hAnsi="Times New Roman" w:cs="Times New Roman"/>
          <w:sz w:val="26"/>
          <w:szCs w:val="26"/>
        </w:rPr>
        <w:t xml:space="preserve">An often-cited benefit of DLT is the ability to shorten the end-to-end processing of financial transactions (see Section 3.2.1 on speed of end-to-end processing). In addition to affecting the efficiency of payment, clearing and settlement, DLT also has the capacity to affect safety. In this respect, it is useful to consider key components of settlement: the settlement asset, how settlement is achieved operationally and how settlement finality is achieved for legal purposes. </w:t>
      </w:r>
    </w:p>
    <w:p w14:paraId="41A30C06" w14:textId="77777777" w:rsidR="003E078E" w:rsidRPr="003E078E" w:rsidRDefault="003E078E" w:rsidP="003E078E">
      <w:pPr>
        <w:jc w:val="both"/>
        <w:rPr>
          <w:rFonts w:ascii="Times New Roman" w:hAnsi="Times New Roman" w:cs="Times New Roman"/>
          <w:sz w:val="26"/>
          <w:szCs w:val="26"/>
        </w:rPr>
      </w:pPr>
      <w:r w:rsidRPr="003E078E">
        <w:rPr>
          <w:rFonts w:ascii="Times New Roman" w:hAnsi="Times New Roman" w:cs="Times New Roman"/>
          <w:b/>
          <w:bCs/>
          <w:sz w:val="26"/>
          <w:szCs w:val="26"/>
        </w:rPr>
        <w:t>Settlement asset.</w:t>
      </w:r>
      <w:r w:rsidRPr="003E078E">
        <w:rPr>
          <w:rFonts w:ascii="Times New Roman" w:hAnsi="Times New Roman" w:cs="Times New Roman"/>
          <w:sz w:val="26"/>
          <w:szCs w:val="26"/>
        </w:rPr>
        <w:t xml:space="preserve"> Some arrangements are based on updating balances in the ledger (that is, the ledger is recording positions through debits and credits). Some arrangements are based on transferring digital assets in the ledger (that is, the ledger is recording the transfer of ownership of a specific digital asset that exists only on the ledger). Yet other arrangements are based on transferring digital representations of a physical asset that is held in custody (</w:t>
      </w:r>
      <w:proofErr w:type="spellStart"/>
      <w:proofErr w:type="gramStart"/>
      <w:r w:rsidRPr="003E078E">
        <w:rPr>
          <w:rFonts w:ascii="Times New Roman" w:hAnsi="Times New Roman" w:cs="Times New Roman"/>
          <w:sz w:val="26"/>
          <w:szCs w:val="26"/>
        </w:rPr>
        <w:t>ie</w:t>
      </w:r>
      <w:proofErr w:type="spellEnd"/>
      <w:proofErr w:type="gramEnd"/>
      <w:r w:rsidRPr="003E078E">
        <w:rPr>
          <w:rFonts w:ascii="Times New Roman" w:hAnsi="Times New Roman" w:cs="Times New Roman"/>
          <w:sz w:val="26"/>
          <w:szCs w:val="26"/>
        </w:rPr>
        <w:t xml:space="preserve"> the ledger is recording transfers of assets held elsewhere). In the context of a payment system, for example, an arrangement could be updating a balance, transferring digital </w:t>
      </w:r>
      <w:proofErr w:type="gramStart"/>
      <w:r w:rsidRPr="003E078E">
        <w:rPr>
          <w:rFonts w:ascii="Times New Roman" w:hAnsi="Times New Roman" w:cs="Times New Roman"/>
          <w:sz w:val="26"/>
          <w:szCs w:val="26"/>
        </w:rPr>
        <w:t>currency</w:t>
      </w:r>
      <w:proofErr w:type="gramEnd"/>
      <w:r w:rsidRPr="003E078E">
        <w:rPr>
          <w:rFonts w:ascii="Times New Roman" w:hAnsi="Times New Roman" w:cs="Times New Roman"/>
          <w:sz w:val="26"/>
          <w:szCs w:val="26"/>
        </w:rPr>
        <w:t xml:space="preserve"> or updating an account balance reflecting monies held at a custodian bank. </w:t>
      </w:r>
    </w:p>
    <w:p w14:paraId="29755685" w14:textId="77777777" w:rsidR="003E078E" w:rsidRPr="003E078E" w:rsidRDefault="003E078E" w:rsidP="003E078E">
      <w:pPr>
        <w:jc w:val="both"/>
        <w:rPr>
          <w:rFonts w:ascii="Times New Roman" w:hAnsi="Times New Roman" w:cs="Times New Roman"/>
          <w:sz w:val="26"/>
          <w:szCs w:val="26"/>
        </w:rPr>
      </w:pPr>
      <w:r w:rsidRPr="003E078E">
        <w:rPr>
          <w:rFonts w:ascii="Times New Roman" w:hAnsi="Times New Roman" w:cs="Times New Roman"/>
          <w:b/>
          <w:bCs/>
          <w:sz w:val="26"/>
          <w:szCs w:val="26"/>
        </w:rPr>
        <w:t>Operational settlement.</w:t>
      </w:r>
      <w:r w:rsidRPr="003E078E">
        <w:rPr>
          <w:rFonts w:ascii="Times New Roman" w:hAnsi="Times New Roman" w:cs="Times New Roman"/>
          <w:sz w:val="26"/>
          <w:szCs w:val="26"/>
        </w:rPr>
        <w:t xml:space="preserve"> In some DLT arrangements, it can take some time to update and synchronise state changes to a ledger. The first instance of an update, for example, may not represent operational settlement because it may take time for consensus to be achieved across the nodes in the synchronisation of ledgers. In arrangements that use a proof-of-work23 model, settlement is probabilistic. That is, the more times the transaction is confirmed in the ledger, the less likely it will be revoked. Operational settlement becomes more complex if it involves the delivery of one asset against another, for example, the exchange of securities against the corresponding cash amounts </w:t>
      </w:r>
      <w:r w:rsidRPr="003E078E">
        <w:rPr>
          <w:rFonts w:ascii="Times New Roman" w:hAnsi="Times New Roman" w:cs="Times New Roman"/>
          <w:sz w:val="26"/>
          <w:szCs w:val="26"/>
        </w:rPr>
        <w:lastRenderedPageBreak/>
        <w:t>or exchange of one currency</w:t>
      </w:r>
      <w:r w:rsidRPr="003E078E">
        <w:rPr>
          <w:rFonts w:ascii="Times New Roman" w:hAnsi="Times New Roman" w:cs="Times New Roman"/>
          <w:sz w:val="26"/>
          <w:szCs w:val="26"/>
        </w:rPr>
        <w:t xml:space="preserve"> </w:t>
      </w:r>
      <w:r w:rsidRPr="003E078E">
        <w:rPr>
          <w:rFonts w:ascii="Times New Roman" w:hAnsi="Times New Roman" w:cs="Times New Roman"/>
          <w:sz w:val="26"/>
          <w:szCs w:val="26"/>
        </w:rPr>
        <w:t xml:space="preserve">for another. In many arrangements involving an exchange of value, another financial market infrastructure is typically involved. </w:t>
      </w:r>
    </w:p>
    <w:p w14:paraId="554C17E4" w14:textId="2B1D98A2" w:rsidR="003E078E" w:rsidRPr="003E078E" w:rsidRDefault="003E078E" w:rsidP="003E078E">
      <w:pPr>
        <w:jc w:val="both"/>
        <w:rPr>
          <w:rFonts w:ascii="Times New Roman" w:hAnsi="Times New Roman" w:cs="Times New Roman"/>
          <w:sz w:val="26"/>
          <w:szCs w:val="26"/>
        </w:rPr>
      </w:pPr>
      <w:r w:rsidRPr="003E078E">
        <w:rPr>
          <w:rFonts w:ascii="Times New Roman" w:hAnsi="Times New Roman" w:cs="Times New Roman"/>
          <w:b/>
          <w:bCs/>
          <w:sz w:val="26"/>
          <w:szCs w:val="26"/>
        </w:rPr>
        <w:t xml:space="preserve">Legal settlement finality. </w:t>
      </w:r>
      <w:r w:rsidRPr="003E078E">
        <w:rPr>
          <w:rFonts w:ascii="Times New Roman" w:hAnsi="Times New Roman" w:cs="Times New Roman"/>
          <w:sz w:val="26"/>
          <w:szCs w:val="26"/>
        </w:rPr>
        <w:t>Settlement finality is the legally defined moment at which the transfer of an asset or financial instrument, or the discharge of an obligation, is irrevocable and unconditional and not susceptible to being unwound following the bankruptcy or insolvency of a participant. In traditional systems, settlement finality is a clear and well-defined point in time, backed by a strong legal basis. For DLT arrangements, settlement finality may not be as clear. In arrangements that rely on a consensus algorithm to effect settlement finality, there may not necessarily be a single point of settlement finality. Further, the applicable legal framework may not expressly support finality in such cases.</w:t>
      </w:r>
    </w:p>
    <w:p w14:paraId="572E4E2E" w14:textId="77777777" w:rsidR="003E078E" w:rsidRPr="003E078E" w:rsidRDefault="003E078E" w:rsidP="003E078E">
      <w:pPr>
        <w:jc w:val="both"/>
        <w:rPr>
          <w:rFonts w:ascii="Times New Roman" w:hAnsi="Times New Roman" w:cs="Times New Roman"/>
          <w:sz w:val="26"/>
          <w:szCs w:val="26"/>
        </w:rPr>
      </w:pPr>
    </w:p>
    <w:sectPr w:rsidR="003E078E" w:rsidRPr="003E0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FD"/>
    <w:rsid w:val="003E078E"/>
    <w:rsid w:val="005F3138"/>
    <w:rsid w:val="006F55FD"/>
    <w:rsid w:val="00CA32A5"/>
    <w:rsid w:val="00E14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82F7F"/>
  <w15:chartTrackingRefBased/>
  <w15:docId w15:val="{3BBC2BB5-0165-4523-99C5-81E9C148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55FD"/>
    <w:rPr>
      <w:color w:val="0000FF"/>
      <w:u w:val="single"/>
    </w:rPr>
  </w:style>
  <w:style w:type="character" w:customStyle="1" w:styleId="u-visually-hidden">
    <w:name w:val="u-visually-hidden"/>
    <w:basedOn w:val="DefaultParagraphFont"/>
    <w:rsid w:val="006F5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fin-swufe.springeropen.com/articles/10.1186/s40854-019-0169-6" TargetMode="External"/><Relationship Id="rId13" Type="http://schemas.openxmlformats.org/officeDocument/2006/relationships/hyperlink" Target="https://jfin-swufe.springeropen.com/articles/10.1186/s40854-019-0169-6" TargetMode="External"/><Relationship Id="rId3" Type="http://schemas.openxmlformats.org/officeDocument/2006/relationships/webSettings" Target="webSettings.xml"/><Relationship Id="rId7" Type="http://schemas.openxmlformats.org/officeDocument/2006/relationships/hyperlink" Target="https://jfin-swufe.springeropen.com/articles/10.1186/s40854-019-0169-6" TargetMode="External"/><Relationship Id="rId12" Type="http://schemas.openxmlformats.org/officeDocument/2006/relationships/hyperlink" Target="https://jfin-swufe.springeropen.com/articles/10.1186/s40854-019-0169-6"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jfin-swufe.springeropen.com/articles/10.1186/s40854-019-0169-6" TargetMode="External"/><Relationship Id="rId11" Type="http://schemas.openxmlformats.org/officeDocument/2006/relationships/hyperlink" Target="https://jfin-swufe.springeropen.com/articles/10.1186/s40854-019-0169-6" TargetMode="External"/><Relationship Id="rId5" Type="http://schemas.openxmlformats.org/officeDocument/2006/relationships/hyperlink" Target="https://jfin-swufe.springeropen.com/articles/10.1186/s40854-019-0169-6" TargetMode="External"/><Relationship Id="rId15" Type="http://schemas.openxmlformats.org/officeDocument/2006/relationships/fontTable" Target="fontTable.xml"/><Relationship Id="rId10" Type="http://schemas.openxmlformats.org/officeDocument/2006/relationships/hyperlink" Target="https://jfin-swufe.springeropen.com/articles/10.1186/s40854-019-0169-6" TargetMode="External"/><Relationship Id="rId4" Type="http://schemas.openxmlformats.org/officeDocument/2006/relationships/image" Target="media/image1.png"/><Relationship Id="rId9" Type="http://schemas.openxmlformats.org/officeDocument/2006/relationships/hyperlink" Target="https://jfin-swufe.springeropen.com/articles/10.1186/s40854-019-0169-6" TargetMode="External"/><Relationship Id="rId14" Type="http://schemas.openxmlformats.org/officeDocument/2006/relationships/hyperlink" Target="https://jfin-swufe.springeropen.com/articles/10.1186/s40854-019-016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3</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CPRISB01@GMAIL.COM</dc:creator>
  <cp:keywords/>
  <dc:description/>
  <cp:lastModifiedBy>CPRISB01@GMAIL.COM</cp:lastModifiedBy>
  <cp:revision>1</cp:revision>
  <dcterms:created xsi:type="dcterms:W3CDTF">2022-10-09T16:12:00Z</dcterms:created>
  <dcterms:modified xsi:type="dcterms:W3CDTF">2022-10-10T13:08:00Z</dcterms:modified>
</cp:coreProperties>
</file>