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4646"/>
          <w:sz w:val="22"/>
        </w:rPr>
        <w:t>VECTAETOS</w:t>
      </w:r>
    </w:p>
    <w:p>
      <w:pPr>
        <w:pStyle w:val="Title"/>
        <w:jc w:val="center"/>
      </w:pPr>
      <w:r>
        <w:t>Právna a governance vrstva</w:t>
      </w:r>
    </w:p>
    <w:p>
      <w:pPr>
        <w:jc w:val="center"/>
      </w:pPr>
      <w:r>
        <w:rPr>
          <w:i/>
          <w:color w:val="5A5A5A"/>
          <w:sz w:val="22"/>
        </w:rPr>
        <w:t>Návrh licenčného, IP, bezpečnostného a revízneho rámca pre VECTAETOS</w:t>
      </w:r>
    </w:p>
    <w:p/>
    <w:tbl>
      <w:tblPr>
        <w:tblStyle w:val="TableGrid"/>
        <w:tblW w:type="auto" w:w="0"/>
        <w:jc w:val="center"/>
        <w:tblLook w:firstColumn="1" w:firstRow="1" w:lastColumn="0" w:lastRow="0" w:noHBand="0" w:noVBand="1" w:val="04A0"/>
      </w:tblPr>
      <w:tblGrid>
        <w:gridCol w:w="4896"/>
        <w:gridCol w:w="4896"/>
      </w:tblGrid>
      <w:tr>
        <w:tc>
          <w:tcPr>
            <w:tcW w:type="dxa" w:w="4896"/>
            <w:shd w:fill="EAF2F8"/>
            <w:vAlign w:val="center"/>
          </w:tcPr>
          <w:p>
            <w:pPr>
              <w:pStyle w:val="BoxText"/>
            </w:pPr>
            <w:r>
              <w:t>Status</w:t>
            </w:r>
          </w:p>
        </w:tc>
        <w:tc>
          <w:tcPr>
            <w:tcW w:type="dxa" w:w="4896"/>
            <w:vAlign w:val="center"/>
          </w:tcPr>
          <w:p>
            <w:pPr>
              <w:pStyle w:val="BoxText"/>
            </w:pPr>
            <w:r>
              <w:t>DRAFT - právna revízia odporúčaná</w:t>
            </w:r>
          </w:p>
        </w:tc>
      </w:tr>
      <w:tr>
        <w:tc>
          <w:tcPr>
            <w:tcW w:type="dxa" w:w="4896"/>
            <w:shd w:fill="EAF2F8"/>
            <w:vAlign w:val="center"/>
          </w:tcPr>
          <w:p>
            <w:pPr>
              <w:pStyle w:val="BoxText"/>
            </w:pPr>
            <w:r>
              <w:t>Verzia</w:t>
            </w:r>
          </w:p>
        </w:tc>
        <w:tc>
          <w:tcPr>
            <w:tcW w:type="dxa" w:w="4896"/>
            <w:vAlign w:val="center"/>
          </w:tcPr>
          <w:p>
            <w:pPr>
              <w:pStyle w:val="BoxText"/>
            </w:pPr>
            <w:r>
              <w:t>v0.1 / 2026-05-19</w:t>
            </w:r>
          </w:p>
        </w:tc>
      </w:tr>
      <w:tr>
        <w:tc>
          <w:tcPr>
            <w:tcW w:type="dxa" w:w="4896"/>
            <w:shd w:fill="EAF2F8"/>
            <w:vAlign w:val="center"/>
          </w:tcPr>
          <w:p>
            <w:pPr>
              <w:pStyle w:val="BoxText"/>
            </w:pPr>
            <w:r>
              <w:t>Typ dokumentu</w:t>
            </w:r>
          </w:p>
        </w:tc>
        <w:tc>
          <w:tcPr>
            <w:tcW w:type="dxa" w:w="4896"/>
            <w:vAlign w:val="center"/>
          </w:tcPr>
          <w:p>
            <w:pPr>
              <w:pStyle w:val="BoxText"/>
            </w:pPr>
            <w:r>
              <w:t>Legal governance protocol / licensing and contributor framework</w:t>
            </w:r>
          </w:p>
        </w:tc>
      </w:tr>
      <w:tr>
        <w:tc>
          <w:tcPr>
            <w:tcW w:type="dxa" w:w="4896"/>
            <w:shd w:fill="EAF2F8"/>
            <w:vAlign w:val="center"/>
          </w:tcPr>
          <w:p>
            <w:pPr>
              <w:pStyle w:val="BoxText"/>
            </w:pPr>
            <w:r>
              <w:t>Jazyk</w:t>
            </w:r>
          </w:p>
        </w:tc>
        <w:tc>
          <w:tcPr>
            <w:tcW w:type="dxa" w:w="4896"/>
            <w:vAlign w:val="center"/>
          </w:tcPr>
          <w:p>
            <w:pPr>
              <w:pStyle w:val="BoxText"/>
            </w:pPr>
            <w:r>
              <w:t>Slovenčina</w:t>
            </w:r>
          </w:p>
        </w:tc>
      </w:tr>
      <w:tr>
        <w:tc>
          <w:tcPr>
            <w:tcW w:type="dxa" w:w="4896"/>
            <w:shd w:fill="EAF2F8"/>
            <w:vAlign w:val="center"/>
          </w:tcPr>
          <w:p>
            <w:pPr>
              <w:pStyle w:val="BoxText"/>
            </w:pPr>
            <w:r>
              <w:t>Poznámka</w:t>
            </w:r>
          </w:p>
        </w:tc>
        <w:tc>
          <w:tcPr>
            <w:tcW w:type="dxa" w:w="4896"/>
            <w:vAlign w:val="center"/>
          </w:tcPr>
          <w:p>
            <w:pPr>
              <w:pStyle w:val="BoxText"/>
            </w:pPr>
            <w:r>
              <w:t>Návrh na odbornú a právnu revíziu; nejde o individuálne právne poradenstvo.</w:t>
            </w:r>
          </w:p>
        </w:tc>
      </w:tr>
    </w:tbl>
    <w:p/>
    <w:p>
      <w:pPr>
        <w:jc w:val="center"/>
      </w:pPr>
      <w:r>
        <w:rPr>
          <w:color w:val="505050"/>
          <w:sz w:val="18"/>
        </w:rPr>
        <w:t>Pracovný návrh pripravený pre projektové použitie, pripomienkovanie a následnú právnu finalizáciu.</w:t>
      </w:r>
    </w:p>
    <w:p>
      <w:r>
        <w:br w:type="page"/>
      </w:r>
    </w:p>
    <w:tbl>
      <w:tblPr>
        <w:tblW w:type="auto" w:w="0"/>
        <w:jc w:val="center"/>
        <w:tblLook w:firstColumn="1" w:firstRow="1" w:lastColumn="0" w:lastRow="0" w:noHBand="0" w:noVBand="1" w:val="04A0"/>
      </w:tblPr>
      <w:tblGrid>
        <w:gridCol w:w="9792"/>
      </w:tblGrid>
      <w:tr>
        <w:tc>
          <w:tcPr>
            <w:tcW w:type="dxa" w:w="9792"/>
            <w:shd w:fill="FFF8E5"/>
            <w:tcBorders>
              <w:top w:val="single" w:sz="8" w:color="D6B656"/>
              <w:left w:val="single" w:sz="8" w:color="D6B656"/>
              <w:bottom w:val="single" w:sz="8" w:color="D6B656"/>
              <w:right w:val="single" w:sz="8" w:color="D6B656"/>
            </w:tcBorders>
          </w:tcPr>
          <w:p>
            <w:r>
              <w:rPr>
                <w:b/>
                <w:sz w:val="19"/>
              </w:rPr>
              <w:t>Právna poznámka</w:t>
            </w:r>
          </w:p>
          <w:p>
            <w:pPr>
              <w:pStyle w:val="BoxText"/>
            </w:pPr>
            <w:r>
              <w:t>Tento dokument je návrh governance vrstvy a licenčného rámca. Nie je individuálnym právnym poradenstvom.</w:t>
            </w:r>
          </w:p>
          <w:p>
            <w:pPr>
              <w:pStyle w:val="BoxText"/>
            </w:pPr>
            <w:r>
              <w:t>Pred verejným vydaním, podpisom, komerčným použitím alebo začlenením do licencie ho musí skontrolovať právnik podľa jurisdikcie a účelu použitia.</w:t>
            </w:r>
          </w:p>
          <w:p>
            <w:pPr>
              <w:pStyle w:val="BoxText"/>
            </w:pPr>
            <w:r>
              <w:t>Dokument zámerne oddeľuje ontologickú podmienku VECTAETOS od právne vymáhateľných licenčných ustanovení.</w:t>
            </w:r>
          </w:p>
        </w:tc>
      </w:tr>
    </w:tbl>
    <w:p/>
    <w:p>
      <w:pPr>
        <w:pStyle w:val="Heading1"/>
      </w:pPr>
      <w:r>
        <w:t>1. Účel právno-governance vrstvy</w:t>
      </w:r>
    </w:p>
    <w:p>
      <w:r>
        <w:t>Účelom tejto vrstvy je vytvoriť použiteľný právny a organizačný rámec pre výskum, dokumentáciu, implementačné prototypy, príspevky, licencovanie, obmedzenie zneužitia a správu verzií projektu VECTAETOS.</w:t>
      </w:r>
    </w:p>
    <w:p>
      <w:r>
        <w:t>Táto vrstva nemá vytvoriť autoritu nad VECTAETOS. Má len znížiť riziko právneho zmätku, privlastnenia, škodlivého použitia, implementačného driftu a falošných tvrdení o pravde, bezpečnosti alebo úplnosti.</w:t>
      </w:r>
    </w:p>
    <w:p>
      <w:pPr>
        <w:pStyle w:val="Heading1"/>
      </w:pPr>
      <w:r>
        <w:t>2. Hierarchia dokumentov</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pPr>
              <w:pStyle w:val="BoxText"/>
            </w:pPr>
            <w:r>
              <w:rPr>
                <w:b/>
              </w:rPr>
              <w:t>Vrstva</w:t>
            </w:r>
          </w:p>
        </w:tc>
        <w:tc>
          <w:tcPr>
            <w:tcW w:type="dxa" w:w="3264"/>
            <w:shd w:fill="D9EAF7"/>
          </w:tcPr>
          <w:p>
            <w:pPr>
              <w:pStyle w:val="BoxText"/>
            </w:pPr>
            <w:r>
              <w:rPr>
                <w:b/>
              </w:rPr>
              <w:t>Funkcia</w:t>
            </w:r>
          </w:p>
        </w:tc>
        <w:tc>
          <w:tcPr>
            <w:tcW w:type="dxa" w:w="3264"/>
            <w:shd w:fill="D9EAF7"/>
          </w:tcPr>
          <w:p>
            <w:pPr>
              <w:pStyle w:val="BoxText"/>
            </w:pPr>
            <w:r>
              <w:rPr>
                <w:b/>
              </w:rPr>
              <w:t>Limit</w:t>
            </w:r>
          </w:p>
        </w:tc>
      </w:tr>
      <w:tr>
        <w:tc>
          <w:tcPr>
            <w:tcW w:type="dxa" w:w="3264"/>
          </w:tcPr>
          <w:p>
            <w:pPr>
              <w:pStyle w:val="BoxText"/>
            </w:pPr>
            <w:r>
              <w:t>Ontologické jadro</w:t>
            </w:r>
          </w:p>
        </w:tc>
        <w:tc>
          <w:tcPr>
            <w:tcW w:type="dxa" w:w="3264"/>
          </w:tcPr>
          <w:p>
            <w:pPr>
              <w:pStyle w:val="BoxText"/>
            </w:pPr>
            <w:r>
              <w:t>Definuje, čo ešte môže byť chápané ako VECTAETOS.</w:t>
            </w:r>
          </w:p>
        </w:tc>
        <w:tc>
          <w:tcPr>
            <w:tcW w:type="dxa" w:w="3264"/>
          </w:tcPr>
          <w:p>
            <w:pPr>
              <w:pStyle w:val="BoxText"/>
            </w:pPr>
            <w:r>
              <w:t>Najvyššia projektová vrstva; nie je právnou licenciou sama osebe.</w:t>
            </w:r>
          </w:p>
        </w:tc>
      </w:tr>
      <w:tr>
        <w:tc>
          <w:tcPr>
            <w:tcW w:type="dxa" w:w="3264"/>
          </w:tcPr>
          <w:p>
            <w:pPr>
              <w:pStyle w:val="BoxText"/>
            </w:pPr>
            <w:r>
              <w:t>Ontologická deklarácia použitia</w:t>
            </w:r>
          </w:p>
        </w:tc>
        <w:tc>
          <w:tcPr>
            <w:tcW w:type="dxa" w:w="3264"/>
          </w:tcPr>
          <w:p>
            <w:pPr>
              <w:pStyle w:val="BoxText"/>
            </w:pPr>
            <w:r>
              <w:t>Vyjadruje, že nárok na autoritu, úplnosť alebo exkluzívnu správnosť ruší identitu VECTAETOS.</w:t>
            </w:r>
          </w:p>
        </w:tc>
        <w:tc>
          <w:tcPr>
            <w:tcW w:type="dxa" w:w="3264"/>
          </w:tcPr>
          <w:p>
            <w:pPr>
              <w:pStyle w:val="BoxText"/>
            </w:pPr>
            <w:r>
              <w:t>Definičná podmienka, nie náhrada právnej zmluvy.</w:t>
            </w:r>
          </w:p>
        </w:tc>
      </w:tr>
      <w:tr>
        <w:tc>
          <w:tcPr>
            <w:tcW w:type="dxa" w:w="3264"/>
          </w:tcPr>
          <w:p>
            <w:pPr>
              <w:pStyle w:val="BoxText"/>
            </w:pPr>
            <w:r>
              <w:t>Licencia / právne podmienky</w:t>
            </w:r>
          </w:p>
        </w:tc>
        <w:tc>
          <w:tcPr>
            <w:tcW w:type="dxa" w:w="3264"/>
          </w:tcPr>
          <w:p>
            <w:pPr>
              <w:pStyle w:val="BoxText"/>
            </w:pPr>
            <w:r>
              <w:t>Upravujú autorské práva, použitie, distribúciu, príspevky a zákaz zneužitia.</w:t>
            </w:r>
          </w:p>
        </w:tc>
        <w:tc>
          <w:tcPr>
            <w:tcW w:type="dxa" w:w="3264"/>
          </w:tcPr>
          <w:p>
            <w:pPr>
              <w:pStyle w:val="BoxText"/>
            </w:pPr>
            <w:r>
              <w:t>Musia byť právne vykonateľné podľa jurisdikcie.</w:t>
            </w:r>
          </w:p>
        </w:tc>
      </w:tr>
      <w:tr>
        <w:tc>
          <w:tcPr>
            <w:tcW w:type="dxa" w:w="3264"/>
          </w:tcPr>
          <w:p>
            <w:pPr>
              <w:pStyle w:val="BoxText"/>
            </w:pPr>
            <w:r>
              <w:t>CLA / prispievateľský dodatok</w:t>
            </w:r>
          </w:p>
        </w:tc>
        <w:tc>
          <w:tcPr>
            <w:tcW w:type="dxa" w:w="3264"/>
          </w:tcPr>
          <w:p>
            <w:pPr>
              <w:pStyle w:val="BoxText"/>
            </w:pPr>
            <w:r>
              <w:t>Upravuje práva k príspevkom a garancie prispievateľov.</w:t>
            </w:r>
          </w:p>
        </w:tc>
        <w:tc>
          <w:tcPr>
            <w:tcW w:type="dxa" w:w="3264"/>
          </w:tcPr>
          <w:p>
            <w:pPr>
              <w:pStyle w:val="BoxText"/>
            </w:pPr>
            <w:r>
              <w:t>Nesmie premeniť commons na monopol.</w:t>
            </w:r>
          </w:p>
        </w:tc>
      </w:tr>
      <w:tr>
        <w:tc>
          <w:tcPr>
            <w:tcW w:type="dxa" w:w="3264"/>
          </w:tcPr>
          <w:p>
            <w:pPr>
              <w:pStyle w:val="BoxText"/>
            </w:pPr>
            <w:r>
              <w:t>Governance protokol</w:t>
            </w:r>
          </w:p>
        </w:tc>
        <w:tc>
          <w:tcPr>
            <w:tcW w:type="dxa" w:w="3264"/>
          </w:tcPr>
          <w:p>
            <w:pPr>
              <w:pStyle w:val="BoxText"/>
            </w:pPr>
            <w:r>
              <w:t>Upravuje verzie, statusy, revízie, deprecated materiál a drift.</w:t>
            </w:r>
          </w:p>
        </w:tc>
        <w:tc>
          <w:tcPr>
            <w:tcW w:type="dxa" w:w="3264"/>
          </w:tcPr>
          <w:p>
            <w:pPr>
              <w:pStyle w:val="BoxText"/>
            </w:pPr>
            <w:r>
              <w:t>Nesmie sa stať orgánom pravdy.</w:t>
            </w:r>
          </w:p>
        </w:tc>
      </w:tr>
      <w:tr>
        <w:tc>
          <w:tcPr>
            <w:tcW w:type="dxa" w:w="3264"/>
          </w:tcPr>
          <w:p>
            <w:pPr>
              <w:pStyle w:val="BoxText"/>
            </w:pPr>
            <w:r>
              <w:t>Implementačné pravidlá</w:t>
            </w:r>
          </w:p>
        </w:tc>
        <w:tc>
          <w:tcPr>
            <w:tcW w:type="dxa" w:w="3264"/>
          </w:tcPr>
          <w:p>
            <w:pPr>
              <w:pStyle w:val="BoxText"/>
            </w:pPr>
            <w:r>
              <w:t>Prepisujú ontologické limity do technických guardov.</w:t>
            </w:r>
          </w:p>
        </w:tc>
        <w:tc>
          <w:tcPr>
            <w:tcW w:type="dxa" w:w="3264"/>
          </w:tcPr>
          <w:p>
            <w:pPr>
              <w:pStyle w:val="BoxText"/>
            </w:pPr>
            <w:r>
              <w:t>Nesmú zaviesť skrytú agentnosť.</w:t>
            </w:r>
          </w:p>
        </w:tc>
      </w:tr>
    </w:tbl>
    <w:p/>
    <w:p>
      <w:pPr>
        <w:pStyle w:val="Heading1"/>
      </w:pPr>
      <w:r>
        <w:t>3. Právny status VECTAETOS</w:t>
      </w:r>
    </w:p>
    <w:p>
      <w:pPr>
        <w:pStyle w:val="Clause"/>
      </w:pPr>
      <w:r>
        <w:t>VECTAETOS ako epistemický rámec má byť neproprietárny v zmysle, že žiadna osoba, organizácia ani implementácia nemá tvrdiť exkluzívne vlastníctvo jeho pravého výkladu.</w:t>
      </w:r>
    </w:p>
    <w:p>
      <w:pPr>
        <w:pStyle w:val="Clause"/>
      </w:pPr>
      <w:r>
        <w:t>Autorské práva k textom, diagramom, kódu a konkrétnym artefaktom môžu existovať oddelene od ontologickej identity VECTAETOS.</w:t>
      </w:r>
    </w:p>
    <w:p>
      <w:pPr>
        <w:pStyle w:val="Clause"/>
      </w:pPr>
      <w:r>
        <w:t>Právna licencia môže udeľovať práva k artefaktom; nemá však vytvárať epistemickú autoritu nad samotným poľom.</w:t>
      </w:r>
    </w:p>
    <w:p>
      <w:pPr>
        <w:pStyle w:val="Clause"/>
      </w:pPr>
      <w:r>
        <w:t>Ak tretia strana použije materiál spôsobom, ktorý tvrdí úplnosť, autoritu alebo exkluzívnu správnosť, taký výklad môže byť právne dovolený iba v rozsahu licencie, ale ontologicky sa nemá označovať ako VECTAETOS-kompatibilný.</w:t>
      </w:r>
    </w:p>
    <w:p>
      <w:pPr>
        <w:pStyle w:val="Heading1"/>
      </w:pPr>
      <w:r>
        <w:t>4. Odporúčaný licenčný model</w:t>
      </w:r>
    </w:p>
    <w:p>
      <w:r>
        <w:t>Odporúčaný model je dvojvrstvový:</w:t>
      </w:r>
    </w:p>
    <w:p>
      <w:pPr>
        <w:pStyle w:val="ListBullet"/>
      </w:pPr>
      <w:r>
        <w:t>A. Otvorené zverejnenie základných ontologických textov a manifestov pod veľmi permisívnym alebo public-domain štýlom, ak je to zámer autora.</w:t>
      </w:r>
    </w:p>
    <w:p>
      <w:pPr>
        <w:pStyle w:val="ListBullet"/>
      </w:pPr>
      <w:r>
        <w:t>B. Samostatná licenčná alebo zmluvná vrstva pre kód, implementácie, komerčné použitie, auditné nástroje, značky, dátové súbory a služby.</w:t>
      </w:r>
    </w:p>
    <w:tbl>
      <w:tblPr>
        <w:tblW w:type="auto" w:w="0"/>
        <w:jc w:val="center"/>
        <w:tblLook w:firstColumn="1" w:firstRow="1" w:lastColumn="0" w:lastRow="0" w:noHBand="0" w:noVBand="1" w:val="04A0"/>
      </w:tblPr>
      <w:tblGrid>
        <w:gridCol w:w="9792"/>
      </w:tblGrid>
      <w:tr>
        <w:tc>
          <w:tcPr>
            <w:tcW w:type="dxa" w:w="9792"/>
            <w:shd w:fill="EEF7EE"/>
            <w:tcBorders>
              <w:top w:val="single" w:sz="8" w:color="D6B656"/>
              <w:left w:val="single" w:sz="8" w:color="D6B656"/>
              <w:bottom w:val="single" w:sz="8" w:color="D6B656"/>
              <w:right w:val="single" w:sz="8" w:color="D6B656"/>
            </w:tcBorders>
          </w:tcPr>
          <w:p>
            <w:r>
              <w:rPr>
                <w:b/>
                <w:sz w:val="19"/>
              </w:rPr>
              <w:t>Kľúčové oddelenie</w:t>
            </w:r>
          </w:p>
          <w:p>
            <w:pPr>
              <w:pStyle w:val="BoxText"/>
            </w:pPr>
            <w:r>
              <w:t>Ontologická otvorenosť neznamená automatické vzdanie sa všetkých práv ku konkrétnemu kódu, značke, dizajnu, doméne, dátam alebo službe.</w:t>
            </w:r>
          </w:p>
          <w:p>
            <w:pPr>
              <w:pStyle w:val="BoxText"/>
            </w:pPr>
            <w:r>
              <w:t>Právna kontrola konkrétnych artefaktov nesmie byť zamieňaná za kontrolu pravdy alebo výkladu VECTAETOS.</w:t>
            </w:r>
          </w:p>
        </w:tc>
      </w:tr>
    </w:tbl>
    <w:p/>
    <w:p>
      <w:pPr>
        <w:pStyle w:val="Heading1"/>
      </w:pPr>
      <w:r>
        <w:t>5. Návrh základnej licenčnej klauzuly</w:t>
      </w:r>
    </w:p>
    <w:p>
      <w:r>
        <w:t>Táto klauzula je návrh textu na právnu revíziu:</w:t>
      </w:r>
    </w:p>
    <w:p>
      <w:pPr>
        <w:pStyle w:val="Clause"/>
      </w:pPr>
      <w:r>
        <w:t>Subject to the terms of this license, the materials are made available for study, citation, transformation, implementation, and non-authoritative extension.</w:t>
      </w:r>
    </w:p>
    <w:p>
      <w:pPr>
        <w:pStyle w:val="Clause"/>
      </w:pPr>
      <w:r>
        <w:t>No permission granted under this license shall be interpreted as granting authority to claim completeness, exclusive correctness, final interpretation, or epistemic ownership of VECTAETOS.</w:t>
      </w:r>
    </w:p>
    <w:p>
      <w:pPr>
        <w:pStyle w:val="Clause"/>
      </w:pPr>
      <w:r>
        <w:t>Any public use of the name VECTAETOS must preserve clear attribution, non-authoritative posture, and a visible distinction between the original framework and any implementation, fork, product, or service.</w:t>
      </w:r>
    </w:p>
    <w:p>
      <w:pPr>
        <w:pStyle w:val="Clause"/>
      </w:pPr>
      <w:r>
        <w:t>Nothing in this license creates a warranty of truth, safety, correctness, legal compliance, fitness for purpose, or suitability for deployment.</w:t>
      </w:r>
    </w:p>
    <w:p>
      <w:pPr>
        <w:pStyle w:val="Heading1"/>
      </w:pPr>
      <w:r>
        <w:t>6. Prispievateľský rámec / CLA návrh</w:t>
      </w:r>
    </w:p>
    <w:p>
      <w:r>
        <w:t>Každý prispievateľ by mal potvrdiť:</w:t>
      </w:r>
    </w:p>
    <w:p>
      <w:pPr>
        <w:pStyle w:val="ListBullet"/>
      </w:pPr>
      <w:r>
        <w:t>že je oprávnený príspevok poskytnúť;</w:t>
      </w:r>
    </w:p>
    <w:p>
      <w:pPr>
        <w:pStyle w:val="ListBullet"/>
      </w:pPr>
      <w:r>
        <w:t>že príspevok neobsahuje neoprávnene prevzatý obsah;</w:t>
      </w:r>
    </w:p>
    <w:p>
      <w:pPr>
        <w:pStyle w:val="ListBullet"/>
      </w:pPr>
      <w:r>
        <w:t>že označí cudzie licencie, osobné údaje, citlivé dáta a generovaný obsah;</w:t>
      </w:r>
    </w:p>
    <w:p>
      <w:pPr>
        <w:pStyle w:val="ListBullet"/>
      </w:pPr>
      <w:r>
        <w:t>že udeľuje projektu nevýhradné, celosvetové, časovo neobmedzené právo používať, upravovať, citovať, publikovať a zahrnúť príspevok do projektových artefaktov;</w:t>
      </w:r>
    </w:p>
    <w:p>
      <w:pPr>
        <w:pStyle w:val="ListBullet"/>
      </w:pPr>
      <w:r>
        <w:t>že si zachováva osobné autorstvo, pokiaľ samostatná dohoda neurčí inak;</w:t>
      </w:r>
    </w:p>
    <w:p>
      <w:pPr>
        <w:pStyle w:val="ListBullet"/>
      </w:pPr>
      <w:r>
        <w:t>že nebude tvrdiť, že prijatie príspevku zakladá jeho autoritu nad VECTAETOS.</w:t>
      </w:r>
    </w:p>
    <w:p>
      <w:pPr>
        <w:pStyle w:val="Heading1"/>
      </w:pPr>
      <w:r>
        <w:t>7. Atribúcia a citovanie</w:t>
      </w:r>
    </w:p>
    <w:p>
      <w:r>
        <w:t>Odporúčané minimálne pravidlá:</w:t>
      </w:r>
    </w:p>
    <w:p>
      <w:pPr>
        <w:pStyle w:val="ListBullet"/>
      </w:pPr>
      <w:r>
        <w:t>Uviesť názov VECTAETOS a autora / pôvodný projekt podľa aktuálneho citačného záznamu.</w:t>
      </w:r>
    </w:p>
    <w:p>
      <w:pPr>
        <w:pStyle w:val="ListBullet"/>
      </w:pPr>
      <w:r>
        <w:t>Pri úpravách jasne označiť, čo je pôvodný text, čo je interpretácia a čo je implementačný dodatok.</w:t>
      </w:r>
    </w:p>
    <w:p>
      <w:pPr>
        <w:pStyle w:val="ListBullet"/>
      </w:pPr>
      <w:r>
        <w:t>Nepoužívať názvy typu Official, True, Validated, Safety-Proven alebo Certified VECTAETOS bez samostatného, verejne doloženého governance postupu.</w:t>
      </w:r>
    </w:p>
    <w:p>
      <w:pPr>
        <w:pStyle w:val="ListBullet"/>
      </w:pPr>
      <w:r>
        <w:t>Pri odvodených prácach uviesť status: interpretation, implementation, commentary, experiment, adapter, prototype alebo derived document.</w:t>
      </w:r>
    </w:p>
    <w:p>
      <w:pPr>
        <w:pStyle w:val="Heading1"/>
      </w:pPr>
      <w:r>
        <w:t>8. Zákaz zneužitia</w:t>
      </w:r>
    </w:p>
    <w:p>
      <w:r>
        <w:t>Zneužitím sa pre účely tejto vrstvy rozumie zamýšľané alebo predvídateľné použitie materiálov, implementácií, výstupov alebo logovacích dát, ktoré priamo alebo nepriamo poškodzuje život, zdravie, mentálnu integritu, autonómiu, dôstojnosť, právne statky alebo spoločenskú schopnosť rozpoznávať pravdu.</w:t>
      </w:r>
    </w:p>
    <w:p>
      <w:r>
        <w:t>Zakázané sú najmä:</w:t>
      </w:r>
    </w:p>
    <w:p>
      <w:pPr>
        <w:pStyle w:val="ListBullet"/>
      </w:pPr>
      <w:r>
        <w:t>vojenské, paramilitárne alebo autonómne zbraňové aplikácie;</w:t>
      </w:r>
    </w:p>
    <w:p>
      <w:pPr>
        <w:pStyle w:val="ListBullet"/>
      </w:pPr>
      <w:r>
        <w:t>masové dohľadové režimy, behaviorálne skórovanie alebo represívna klasifikácia osôb;</w:t>
      </w:r>
    </w:p>
    <w:p>
      <w:pPr>
        <w:pStyle w:val="ListBullet"/>
      </w:pPr>
      <w:r>
        <w:t>manipulačná propaganda, psychologické ovplyvňovanie alebo komerčná optimalizácia znižujúca autonómiu;</w:t>
      </w:r>
    </w:p>
    <w:p>
      <w:pPr>
        <w:pStyle w:val="ListBullet"/>
      </w:pPr>
      <w:r>
        <w:t>automatizované rozhodovanie o právach, prístupe, hodnotení alebo penalizácii osôb bez zmysluplného ľudského dohľadu;</w:t>
      </w:r>
    </w:p>
    <w:p>
      <w:pPr>
        <w:pStyle w:val="ListBullet"/>
      </w:pPr>
      <w:r>
        <w:t>tvrdenia o garantovanej pravde, bezpečnosti, koherencii, validite alebo finálnej interpretácii;</w:t>
      </w:r>
    </w:p>
    <w:p>
      <w:pPr>
        <w:pStyle w:val="ListBullet"/>
      </w:pPr>
      <w:r>
        <w:t>akýkoľvek hidden-feedback design, ktorý vracia audit, pamäť, projekciu alebo LLM output späť do Φ ako riadiaci signál.</w:t>
      </w:r>
    </w:p>
    <w:p>
      <w:r>
        <w:t>Dôsledok: materiál alebo implementácia, ktorá vykazuje preukázateľné zneužitie, má byť označená ako VECTAETOS-incompatible. Právne dôsledky vyžadujú osobitnú licenčnú alebo zmluvnú úpravu.</w:t>
      </w:r>
    </w:p>
    <w:p>
      <w:pPr>
        <w:pStyle w:val="Heading1"/>
      </w:pPr>
      <w:r>
        <w:t>9. AI Act / GDPR orientačné mapovanie</w:t>
      </w:r>
    </w:p>
    <w:p>
      <w:r>
        <w:t>Ak sa VECTAETOS alebo jeho implementácia použije v EÚ alebo voči osobám v EÚ, musia sa osobitne preveriť regulačné povinnosti. Tento dokument nerobí záver o právnej klasifikácii systému.</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pPr>
              <w:pStyle w:val="BoxText"/>
            </w:pPr>
            <w:r>
              <w:rPr>
                <w:b/>
              </w:rPr>
              <w:t>Oblasť</w:t>
            </w:r>
          </w:p>
        </w:tc>
        <w:tc>
          <w:tcPr>
            <w:tcW w:type="dxa" w:w="3264"/>
            <w:shd w:fill="D9EAF7"/>
          </w:tcPr>
          <w:p>
            <w:pPr>
              <w:pStyle w:val="BoxText"/>
            </w:pPr>
            <w:r>
              <w:rPr>
                <w:b/>
              </w:rPr>
              <w:t>Čo preveriť</w:t>
            </w:r>
          </w:p>
        </w:tc>
        <w:tc>
          <w:tcPr>
            <w:tcW w:type="dxa" w:w="3264"/>
            <w:shd w:fill="D9EAF7"/>
          </w:tcPr>
          <w:p>
            <w:pPr>
              <w:pStyle w:val="BoxText"/>
            </w:pPr>
            <w:r>
              <w:rPr>
                <w:b/>
              </w:rPr>
              <w:t>Referenčný rámec</w:t>
            </w:r>
          </w:p>
        </w:tc>
      </w:tr>
      <w:tr>
        <w:tc>
          <w:tcPr>
            <w:tcW w:type="dxa" w:w="3264"/>
          </w:tcPr>
          <w:p>
            <w:pPr>
              <w:pStyle w:val="BoxText"/>
            </w:pPr>
            <w:r>
              <w:t>EU AI Act</w:t>
            </w:r>
          </w:p>
        </w:tc>
        <w:tc>
          <w:tcPr>
            <w:tcW w:type="dxa" w:w="3264"/>
          </w:tcPr>
          <w:p>
            <w:pPr>
              <w:pStyle w:val="BoxText"/>
            </w:pPr>
            <w:r>
              <w:t>Ak implementácia začne byť AI systémom, produktom, rozhodovacím nástrojom alebo službou, treba preveriť zákazové a high-risk kategórie, povinnosti poskytovateľa, deployera, dokumentáciu, dohľad a transparentnosť.</w:t>
            </w:r>
          </w:p>
        </w:tc>
        <w:tc>
          <w:tcPr>
            <w:tcW w:type="dxa" w:w="3264"/>
          </w:tcPr>
          <w:p>
            <w:pPr>
              <w:pStyle w:val="BoxText"/>
            </w:pPr>
            <w:r>
              <w:t>Regulation (EU) 2024/1689.</w:t>
            </w:r>
          </w:p>
        </w:tc>
      </w:tr>
      <w:tr>
        <w:tc>
          <w:tcPr>
            <w:tcW w:type="dxa" w:w="3264"/>
          </w:tcPr>
          <w:p>
            <w:pPr>
              <w:pStyle w:val="BoxText"/>
            </w:pPr>
            <w:r>
              <w:t>GDPR</w:t>
            </w:r>
          </w:p>
        </w:tc>
        <w:tc>
          <w:tcPr>
            <w:tcW w:type="dxa" w:w="3264"/>
          </w:tcPr>
          <w:p>
            <w:pPr>
              <w:pStyle w:val="BoxText"/>
            </w:pPr>
            <w:r>
              <w:t>Ak sa spracúvajú osobné údaje, treba určiť účel, právny základ, minimalizáciu, retention, bezpečnosť, práva dotknutých osôb a prípadnú DPIA.</w:t>
            </w:r>
          </w:p>
        </w:tc>
        <w:tc>
          <w:tcPr>
            <w:tcW w:type="dxa" w:w="3264"/>
          </w:tcPr>
          <w:p>
            <w:pPr>
              <w:pStyle w:val="BoxText"/>
            </w:pPr>
            <w:r>
              <w:t>Regulation (EU) 2016/679.</w:t>
            </w:r>
          </w:p>
        </w:tc>
      </w:tr>
      <w:tr>
        <w:tc>
          <w:tcPr>
            <w:tcW w:type="dxa" w:w="3264"/>
          </w:tcPr>
          <w:p>
            <w:pPr>
              <w:pStyle w:val="BoxText"/>
            </w:pPr>
            <w:r>
              <w:t>Autorské práva</w:t>
            </w:r>
          </w:p>
        </w:tc>
        <w:tc>
          <w:tcPr>
            <w:tcW w:type="dxa" w:w="3264"/>
          </w:tcPr>
          <w:p>
            <w:pPr>
              <w:pStyle w:val="BoxText"/>
            </w:pPr>
            <w:r>
              <w:t>Pri textoch, kóde, diagramoch a generovanom obsahu treba oddeliť autorstvo, licenciu, sublicenciu a atribúciu.</w:t>
            </w:r>
          </w:p>
        </w:tc>
        <w:tc>
          <w:tcPr>
            <w:tcW w:type="dxa" w:w="3264"/>
          </w:tcPr>
          <w:p>
            <w:pPr>
              <w:pStyle w:val="BoxText"/>
            </w:pPr>
            <w:r>
              <w:t>[DOPLNIŤ podľa jurisdikcie].</w:t>
            </w:r>
          </w:p>
        </w:tc>
      </w:tr>
      <w:tr>
        <w:tc>
          <w:tcPr>
            <w:tcW w:type="dxa" w:w="3264"/>
          </w:tcPr>
          <w:p>
            <w:pPr>
              <w:pStyle w:val="BoxText"/>
            </w:pPr>
            <w:r>
              <w:t>Zodpovednosť</w:t>
            </w:r>
          </w:p>
        </w:tc>
        <w:tc>
          <w:tcPr>
            <w:tcW w:type="dxa" w:w="3264"/>
          </w:tcPr>
          <w:p>
            <w:pPr>
              <w:pStyle w:val="BoxText"/>
            </w:pPr>
            <w:r>
              <w:t>Pri prototypoch a nasadení treba jasne odmietnuť garanciu pravdy, bezpečnosti, vhodnosti a rozhodovacej použiteľnosti.</w:t>
            </w:r>
          </w:p>
        </w:tc>
        <w:tc>
          <w:tcPr>
            <w:tcW w:type="dxa" w:w="3264"/>
          </w:tcPr>
          <w:p>
            <w:pPr>
              <w:pStyle w:val="BoxText"/>
            </w:pPr>
            <w:r>
              <w:t>[DOPLNIŤ podľa účelu].</w:t>
            </w:r>
          </w:p>
        </w:tc>
      </w:tr>
    </w:tbl>
    <w:p/>
    <w:p>
      <w:pPr>
        <w:pStyle w:val="Heading1"/>
      </w:pPr>
      <w:r>
        <w:t>10. Governance statusy</w:t>
      </w:r>
    </w:p>
    <w:tbl>
      <w:tblPr>
        <w:tblStyle w:val="TableGrid"/>
        <w:tblW w:type="auto" w:w="0"/>
        <w:tblLook w:firstColumn="1" w:firstRow="1" w:lastColumn="0" w:lastRow="0" w:noHBand="0" w:noVBand="1" w:val="04A0"/>
      </w:tblPr>
      <w:tblGrid>
        <w:gridCol w:w="4896"/>
        <w:gridCol w:w="4896"/>
      </w:tblGrid>
      <w:tr>
        <w:tc>
          <w:tcPr>
            <w:tcW w:type="dxa" w:w="4896"/>
            <w:shd w:fill="D9EAF7"/>
          </w:tcPr>
          <w:p>
            <w:pPr>
              <w:pStyle w:val="BoxText"/>
            </w:pPr>
            <w:r>
              <w:rPr>
                <w:b/>
              </w:rPr>
              <w:t>Status</w:t>
            </w:r>
          </w:p>
        </w:tc>
        <w:tc>
          <w:tcPr>
            <w:tcW w:type="dxa" w:w="4896"/>
            <w:shd w:fill="D9EAF7"/>
          </w:tcPr>
          <w:p>
            <w:pPr>
              <w:pStyle w:val="BoxText"/>
            </w:pPr>
            <w:r>
              <w:rPr>
                <w:b/>
              </w:rPr>
              <w:t>Význam</w:t>
            </w:r>
          </w:p>
        </w:tc>
      </w:tr>
      <w:tr>
        <w:tc>
          <w:tcPr>
            <w:tcW w:type="dxa" w:w="4896"/>
          </w:tcPr>
          <w:p>
            <w:pPr>
              <w:pStyle w:val="BoxText"/>
            </w:pPr>
            <w:r>
              <w:t>DRAFT</w:t>
            </w:r>
          </w:p>
        </w:tc>
        <w:tc>
          <w:tcPr>
            <w:tcW w:type="dxa" w:w="4896"/>
          </w:tcPr>
          <w:p>
            <w:pPr>
              <w:pStyle w:val="BoxText"/>
            </w:pPr>
            <w:r>
              <w:t>Voľný pracovný návrh, ktorý sa nesmie citovať ako stabilný.</w:t>
            </w:r>
          </w:p>
        </w:tc>
      </w:tr>
      <w:tr>
        <w:tc>
          <w:tcPr>
            <w:tcW w:type="dxa" w:w="4896"/>
          </w:tcPr>
          <w:p>
            <w:pPr>
              <w:pStyle w:val="BoxText"/>
            </w:pPr>
            <w:r>
              <w:t>REVIEW</w:t>
            </w:r>
          </w:p>
        </w:tc>
        <w:tc>
          <w:tcPr>
            <w:tcW w:type="dxa" w:w="4896"/>
          </w:tcPr>
          <w:p>
            <w:pPr>
              <w:pStyle w:val="BoxText"/>
            </w:pPr>
            <w:r>
              <w:t>Materiál určený na odborné alebo právne pripomienkovanie.</w:t>
            </w:r>
          </w:p>
        </w:tc>
      </w:tr>
      <w:tr>
        <w:tc>
          <w:tcPr>
            <w:tcW w:type="dxa" w:w="4896"/>
          </w:tcPr>
          <w:p>
            <w:pPr>
              <w:pStyle w:val="BoxText"/>
            </w:pPr>
            <w:r>
              <w:t>WORKING ANCHOR</w:t>
            </w:r>
          </w:p>
        </w:tc>
        <w:tc>
          <w:tcPr>
            <w:tcW w:type="dxa" w:w="4896"/>
          </w:tcPr>
          <w:p>
            <w:pPr>
              <w:pStyle w:val="BoxText"/>
            </w:pPr>
            <w:r>
              <w:t>Pracovne stabilný text, ktorý drží smer, ale môže sa meniť.</w:t>
            </w:r>
          </w:p>
        </w:tc>
      </w:tr>
      <w:tr>
        <w:tc>
          <w:tcPr>
            <w:tcW w:type="dxa" w:w="4896"/>
          </w:tcPr>
          <w:p>
            <w:pPr>
              <w:pStyle w:val="BoxText"/>
            </w:pPr>
            <w:r>
              <w:t>CANONICAL WORKING ANCHOR</w:t>
            </w:r>
          </w:p>
        </w:tc>
        <w:tc>
          <w:tcPr>
            <w:tcW w:type="dxa" w:w="4896"/>
          </w:tcPr>
          <w:p>
            <w:pPr>
              <w:pStyle w:val="BoxText"/>
            </w:pPr>
            <w:r>
              <w:t>Silný pracovný anchor; zmena vyžaduje dôvod a záznam.</w:t>
            </w:r>
          </w:p>
        </w:tc>
      </w:tr>
      <w:tr>
        <w:tc>
          <w:tcPr>
            <w:tcW w:type="dxa" w:w="4896"/>
          </w:tcPr>
          <w:p>
            <w:pPr>
              <w:pStyle w:val="BoxText"/>
            </w:pPr>
            <w:r>
              <w:t>OFFICIAL / FROZEN</w:t>
            </w:r>
          </w:p>
        </w:tc>
        <w:tc>
          <w:tcPr>
            <w:tcW w:type="dxa" w:w="4896"/>
          </w:tcPr>
          <w:p>
            <w:pPr>
              <w:pStyle w:val="BoxText"/>
            </w:pPr>
            <w:r>
              <w:t>Zmrazené jadro; zmena vyžaduje novú major verziu alebo nový systém.</w:t>
            </w:r>
          </w:p>
        </w:tc>
      </w:tr>
      <w:tr>
        <w:tc>
          <w:tcPr>
            <w:tcW w:type="dxa" w:w="4896"/>
          </w:tcPr>
          <w:p>
            <w:pPr>
              <w:pStyle w:val="BoxText"/>
            </w:pPr>
            <w:r>
              <w:t>DEPRECATED</w:t>
            </w:r>
          </w:p>
        </w:tc>
        <w:tc>
          <w:tcPr>
            <w:tcW w:type="dxa" w:w="4896"/>
          </w:tcPr>
          <w:p>
            <w:pPr>
              <w:pStyle w:val="BoxText"/>
            </w:pPr>
            <w:r>
              <w:t>Materiál ponechaný kvôli histórii, ale nepoužívaný ako východisko.</w:t>
            </w:r>
          </w:p>
        </w:tc>
      </w:tr>
      <w:tr>
        <w:tc>
          <w:tcPr>
            <w:tcW w:type="dxa" w:w="4896"/>
          </w:tcPr>
          <w:p>
            <w:pPr>
              <w:pStyle w:val="BoxText"/>
            </w:pPr>
            <w:r>
              <w:t>INCOMPATIBLE</w:t>
            </w:r>
          </w:p>
        </w:tc>
        <w:tc>
          <w:tcPr>
            <w:tcW w:type="dxa" w:w="4896"/>
          </w:tcPr>
          <w:p>
            <w:pPr>
              <w:pStyle w:val="BoxText"/>
            </w:pPr>
            <w:r>
              <w:t>Materiál alebo implementácia porušuje základné invariancie.</w:t>
            </w:r>
          </w:p>
        </w:tc>
      </w:tr>
    </w:tbl>
    <w:p/>
    <w:p>
      <w:pPr>
        <w:pStyle w:val="Heading1"/>
      </w:pPr>
      <w:r>
        <w:t>11. Verzionovanie a zmeny</w:t>
      </w:r>
    </w:p>
    <w:p>
      <w:pPr>
        <w:pStyle w:val="ListBullet"/>
      </w:pPr>
      <w:r>
        <w:t>Minor verzia môže meniť jazyk, štruktúru, príklady, odkazy, typografiu a právne placeholdery.</w:t>
      </w:r>
    </w:p>
    <w:p>
      <w:pPr>
        <w:pStyle w:val="ListBullet"/>
      </w:pPr>
      <w:r>
        <w:t>Major verzia je potrebná pri zmene ontologického jadra, definície Φ, vzťahu vrstiev, zákazu agentnosti, zákazu feedbacku alebo statusu K(Φ)/κ/QE.</w:t>
      </w:r>
    </w:p>
    <w:p>
      <w:pPr>
        <w:pStyle w:val="ListBullet"/>
      </w:pPr>
      <w:r>
        <w:t>Každá zmena musí obsahovať dôvod, dôsledok, kontrafaktuál a drift riziko.</w:t>
      </w:r>
    </w:p>
    <w:p>
      <w:pPr>
        <w:pStyle w:val="ListBullet"/>
      </w:pPr>
      <w:r>
        <w:t>Deprecated dokumenty ostávajú archivované, aby bolo viditeľné, čo bolo nahradené.</w:t>
      </w:r>
    </w:p>
    <w:p>
      <w:pPr>
        <w:pStyle w:val="Heading1"/>
      </w:pPr>
      <w:r>
        <w:t>12. Implementačný compliance test</w:t>
      </w:r>
    </w:p>
    <w:tbl>
      <w:tblPr>
        <w:tblStyle w:val="TableGrid"/>
        <w:tblW w:type="auto" w:w="0"/>
        <w:tblLook w:firstColumn="1" w:firstRow="1" w:lastColumn="0" w:lastRow="0" w:noHBand="0" w:noVBand="1" w:val="04A0"/>
      </w:tblPr>
      <w:tblGrid>
        <w:gridCol w:w="4896"/>
        <w:gridCol w:w="4896"/>
      </w:tblGrid>
      <w:tr>
        <w:tc>
          <w:tcPr>
            <w:tcW w:type="dxa" w:w="4896"/>
            <w:shd w:fill="D9EAF7"/>
          </w:tcPr>
          <w:p>
            <w:pPr>
              <w:pStyle w:val="BoxText"/>
            </w:pPr>
            <w:r>
              <w:rPr>
                <w:b/>
              </w:rPr>
              <w:t>Test</w:t>
            </w:r>
          </w:p>
        </w:tc>
        <w:tc>
          <w:tcPr>
            <w:tcW w:type="dxa" w:w="4896"/>
            <w:shd w:fill="D9EAF7"/>
          </w:tcPr>
          <w:p>
            <w:pPr>
              <w:pStyle w:val="BoxText"/>
            </w:pPr>
            <w:r>
              <w:rPr>
                <w:b/>
              </w:rPr>
              <w:t>Podmienka</w:t>
            </w:r>
          </w:p>
        </w:tc>
      </w:tr>
      <w:tr>
        <w:tc>
          <w:tcPr>
            <w:tcW w:type="dxa" w:w="4896"/>
          </w:tcPr>
          <w:p>
            <w:pPr>
              <w:pStyle w:val="BoxText"/>
            </w:pPr>
            <w:r>
              <w:t>Antisymetria</w:t>
            </w:r>
          </w:p>
        </w:tc>
        <w:tc>
          <w:tcPr>
            <w:tcW w:type="dxa" w:w="4896"/>
          </w:tcPr>
          <w:p>
            <w:pPr>
              <w:pStyle w:val="BoxText"/>
            </w:pPr>
            <w:r>
              <w:t>R_ij = -R_ji a R_ii = 0 sú zachované.</w:t>
            </w:r>
          </w:p>
        </w:tc>
      </w:tr>
      <w:tr>
        <w:tc>
          <w:tcPr>
            <w:tcW w:type="dxa" w:w="4896"/>
          </w:tcPr>
          <w:p>
            <w:pPr>
              <w:pStyle w:val="BoxText"/>
            </w:pPr>
            <w:r>
              <w:t>Imutabilita jadra</w:t>
            </w:r>
          </w:p>
        </w:tc>
        <w:tc>
          <w:tcPr>
            <w:tcW w:type="dxa" w:w="4896"/>
          </w:tcPr>
          <w:p>
            <w:pPr>
              <w:pStyle w:val="BoxText"/>
            </w:pPr>
            <w:r>
              <w:t>Vortex, audit, projekcia, pamäť ani LLM nemenia Φ/R.</w:t>
            </w:r>
          </w:p>
        </w:tc>
      </w:tr>
      <w:tr>
        <w:tc>
          <w:tcPr>
            <w:tcW w:type="dxa" w:w="4896"/>
          </w:tcPr>
          <w:p>
            <w:pPr>
              <w:pStyle w:val="BoxText"/>
            </w:pPr>
            <w:r>
              <w:t>Žiadna optimalizácia</w:t>
            </w:r>
          </w:p>
        </w:tc>
        <w:tc>
          <w:tcPr>
            <w:tcW w:type="dxa" w:w="4896"/>
          </w:tcPr>
          <w:p>
            <w:pPr>
              <w:pStyle w:val="BoxText"/>
            </w:pPr>
            <w:r>
              <w:t>Neexistuje reward, objective, best path, selected path alebo argmax/argmin nad Φ.</w:t>
            </w:r>
          </w:p>
        </w:tc>
      </w:tr>
      <w:tr>
        <w:tc>
          <w:tcPr>
            <w:tcW w:type="dxa" w:w="4896"/>
          </w:tcPr>
          <w:p>
            <w:pPr>
              <w:pStyle w:val="BoxText"/>
            </w:pPr>
            <w:r>
              <w:t>Observability only</w:t>
            </w:r>
          </w:p>
        </w:tc>
        <w:tc>
          <w:tcPr>
            <w:tcW w:type="dxa" w:w="4896"/>
          </w:tcPr>
          <w:p>
            <w:pPr>
              <w:pStyle w:val="BoxText"/>
            </w:pPr>
            <w:r>
              <w:t>Hash, Merkle root, spectral marker, closure defect alebo trace nie sú pravda ani validita.</w:t>
            </w:r>
          </w:p>
        </w:tc>
      </w:tr>
      <w:tr>
        <w:tc>
          <w:tcPr>
            <w:tcW w:type="dxa" w:w="4896"/>
          </w:tcPr>
          <w:p>
            <w:pPr>
              <w:pStyle w:val="BoxText"/>
            </w:pPr>
            <w:r>
              <w:t>QE</w:t>
            </w:r>
          </w:p>
        </w:tc>
        <w:tc>
          <w:tcPr>
            <w:tcW w:type="dxa" w:w="4896"/>
          </w:tcPr>
          <w:p>
            <w:pPr>
              <w:pStyle w:val="BoxText"/>
            </w:pPr>
            <w:r>
              <w:t>QE nie je exception, bug, fallback ani rejection; je aporia / hranica reprezentácie.</w:t>
            </w:r>
          </w:p>
        </w:tc>
      </w:tr>
      <w:tr>
        <w:tc>
          <w:tcPr>
            <w:tcW w:type="dxa" w:w="4896"/>
          </w:tcPr>
          <w:p>
            <w:pPr>
              <w:pStyle w:val="BoxText"/>
            </w:pPr>
            <w:r>
              <w:t>LLM</w:t>
            </w:r>
          </w:p>
        </w:tc>
        <w:tc>
          <w:tcPr>
            <w:tcW w:type="dxa" w:w="4896"/>
          </w:tcPr>
          <w:p>
            <w:pPr>
              <w:pStyle w:val="BoxText"/>
            </w:pPr>
            <w:r>
              <w:t>LLM výstup je jazyková renderácia, nie rozhodnutie alebo autorita.</w:t>
            </w:r>
          </w:p>
        </w:tc>
      </w:tr>
      <w:tr>
        <w:tc>
          <w:tcPr>
            <w:tcW w:type="dxa" w:w="4896"/>
          </w:tcPr>
          <w:p>
            <w:pPr>
              <w:pStyle w:val="BoxText"/>
            </w:pPr>
            <w:r>
              <w:t>Ľudský výklad</w:t>
            </w:r>
          </w:p>
        </w:tc>
        <w:tc>
          <w:tcPr>
            <w:tcW w:type="dxa" w:w="4896"/>
          </w:tcPr>
          <w:p>
            <w:pPr>
              <w:pStyle w:val="BoxText"/>
            </w:pPr>
            <w:r>
              <w:t>Interpretácia ostáva u človeka alebo výslovne určeného governance procesu, nie v projekčnej vrstve.</w:t>
            </w:r>
          </w:p>
        </w:tc>
      </w:tr>
    </w:tbl>
    <w:p/>
    <w:p>
      <w:pPr>
        <w:pStyle w:val="Heading1"/>
      </w:pPr>
      <w:r>
        <w:t>13. Incident, drift a takedown postup</w:t>
      </w:r>
    </w:p>
    <w:p>
      <w:r>
        <w:t>Ak sa zistí drift alebo možné zneužitie, odporúčaný postup je:</w:t>
      </w:r>
    </w:p>
    <w:p>
      <w:pPr>
        <w:pStyle w:val="ListNumber"/>
      </w:pPr>
      <w:r>
        <w:t>Označiť materiál ako REVIEW HOLD alebo INCOMPATIBLE.</w:t>
      </w:r>
    </w:p>
    <w:p>
      <w:pPr>
        <w:pStyle w:val="ListNumber"/>
      </w:pPr>
      <w:r>
        <w:t>Zachovať dôkazy v read-only forme, ak to právo dovoľuje.</w:t>
      </w:r>
    </w:p>
    <w:p>
      <w:pPr>
        <w:pStyle w:val="ListNumber"/>
      </w:pPr>
      <w:r>
        <w:t>Oddeliť bezpečnostné, právne a ontologické dôvody incidentu.</w:t>
      </w:r>
    </w:p>
    <w:p>
      <w:pPr>
        <w:pStyle w:val="ListNumber"/>
      </w:pPr>
      <w:r>
        <w:t>Zastaviť verejné tvrdenia o kompatibilite.</w:t>
      </w:r>
    </w:p>
    <w:p>
      <w:pPr>
        <w:pStyle w:val="ListNumber"/>
      </w:pPr>
      <w:r>
        <w:t>Vykonať minimalizovanú revíziu: čo sa stalo, aká vrstva driftovala, aké ustanovenie bolo porušené.</w:t>
      </w:r>
    </w:p>
    <w:p>
      <w:pPr>
        <w:pStyle w:val="ListNumber"/>
      </w:pPr>
      <w:r>
        <w:t>Vydať opravu, deprecated status alebo verejné upozornenie podľa závažnosti.</w:t>
      </w:r>
    </w:p>
    <w:p>
      <w:pPr>
        <w:pStyle w:val="ListNumber"/>
      </w:pPr>
      <w:r>
        <w:t>Pri osobných údajoch alebo škode postupovať podľa príslušných právnych povinností.</w:t>
      </w:r>
    </w:p>
    <w:p>
      <w:pPr>
        <w:pStyle w:val="Heading1"/>
      </w:pPr>
      <w:r>
        <w:t>14. Ochranné vyhlásenia pre verejné použitie</w:t>
      </w:r>
    </w:p>
    <w:p>
      <w:r>
        <w:t>Odporúčaný minimálny text pre README / web / dokumentáciu:</w:t>
      </w:r>
    </w:p>
    <w:tbl>
      <w:tblPr>
        <w:tblW w:type="auto" w:w="0"/>
        <w:jc w:val="center"/>
        <w:tblLook w:firstColumn="1" w:firstRow="1" w:lastColumn="0" w:lastRow="0" w:noHBand="0" w:noVBand="1" w:val="04A0"/>
      </w:tblPr>
      <w:tblGrid>
        <w:gridCol w:w="9792"/>
      </w:tblGrid>
      <w:tr>
        <w:tc>
          <w:tcPr>
            <w:tcW w:type="dxa" w:w="9792"/>
            <w:shd w:fill="F1F1F1"/>
            <w:tcBorders>
              <w:top w:val="single" w:sz="8" w:color="D6B656"/>
              <w:left w:val="single" w:sz="8" w:color="D6B656"/>
              <w:bottom w:val="single" w:sz="8" w:color="D6B656"/>
              <w:right w:val="single" w:sz="8" w:color="D6B656"/>
            </w:tcBorders>
          </w:tcPr>
          <w:p>
            <w:r>
              <w:rPr>
                <w:b/>
                <w:sz w:val="19"/>
              </w:rPr>
              <w:t>Public-facing notice</w:t>
            </w:r>
          </w:p>
          <w:p>
            <w:pPr>
              <w:pStyle w:val="BoxText"/>
            </w:pPr>
            <w:r>
              <w:t>VECTAETOS is a non-authoritative epistemic framework. It is not a decision system, optimization engine, legal advice system, safety certification, or truth authority.</w:t>
            </w:r>
          </w:p>
          <w:p>
            <w:pPr>
              <w:pStyle w:val="BoxText"/>
            </w:pPr>
            <w:r>
              <w:t>Any implementation, interpretation, product, or service using VECTAETOS must clearly distinguish itself from the original ontological framework and must not claim completeness, exclusive correctness, or final authority.</w:t>
            </w:r>
          </w:p>
          <w:p>
            <w:pPr>
              <w:pStyle w:val="BoxText"/>
            </w:pPr>
            <w:r>
              <w:t>Outputs are for human interpretation and structural orientation only.</w:t>
            </w:r>
          </w:p>
        </w:tc>
      </w:tr>
    </w:tbl>
    <w:p/>
    <w:p>
      <w:pPr>
        <w:pStyle w:val="Heading1"/>
      </w:pPr>
      <w:r>
        <w:t>15. Vzor prispievateľského potvrdenia</w:t>
      </w:r>
    </w:p>
    <w:p>
      <w:r>
        <w:t>Ja, [MENO], týmto potvrdzujem, že:</w:t>
      </w:r>
    </w:p>
    <w:p>
      <w:pPr>
        <w:pStyle w:val="ListBullet"/>
      </w:pPr>
      <w:r>
        <w:t>som autorom alebo oprávneným poskytovateľom svojho príspevku;</w:t>
      </w:r>
    </w:p>
    <w:p>
      <w:pPr>
        <w:pStyle w:val="ListBullet"/>
      </w:pPr>
      <w:r>
        <w:t>môj príspevok podľa môjho vedomia neporušuje práva tretích osôb;</w:t>
      </w:r>
    </w:p>
    <w:p>
      <w:pPr>
        <w:pStyle w:val="ListBullet"/>
      </w:pPr>
      <w:r>
        <w:t>označil som cudzie licencie, citlivé dáta a osobné údaje;</w:t>
      </w:r>
    </w:p>
    <w:p>
      <w:pPr>
        <w:pStyle w:val="ListBullet"/>
      </w:pPr>
      <w:r>
        <w:t>udeľujem projektu nevýhradné právo použiť príspevok v súlade s dokumentáciou VECTAETOS;</w:t>
      </w:r>
    </w:p>
    <w:p>
      <w:pPr>
        <w:pStyle w:val="ListBullet"/>
      </w:pPr>
      <w:r>
        <w:t>nevyvodzujem z prijatia príspevku autoritu nad VECTAETOS;</w:t>
      </w:r>
    </w:p>
    <w:p>
      <w:pPr>
        <w:pStyle w:val="ListBullet"/>
      </w:pPr>
      <w:r>
        <w:t>rozumiem, že VECTAETOS nesmie byť použitý na autoritatívne, manipulatívne, represívne, zbraňové alebo inak škodlivé účely.</w:t>
      </w:r>
    </w:p>
    <w:p>
      <w:r>
        <w:t>Meno: __________________  Dátum: __________________  Podpis: __________________</w:t>
      </w:r>
    </w:p>
    <w:p>
      <w:pPr>
        <w:pStyle w:val="Heading1"/>
      </w:pPr>
      <w:r>
        <w:t>16. Vzor non-misuse dodatku</w:t>
      </w:r>
    </w:p>
    <w:p>
      <w:r>
        <w:t>Používateľ, implementátor alebo partner sa zaväzuje, že nebude používať materiály VECTAETOS na účely, ktoré:</w:t>
      </w:r>
    </w:p>
    <w:p>
      <w:pPr>
        <w:pStyle w:val="ListBullet"/>
      </w:pPr>
      <w:r>
        <w:t>ohrozujú život, zdravie, dôstojnosť, autonómiu alebo mentálnu integritu;</w:t>
      </w:r>
    </w:p>
    <w:p>
      <w:pPr>
        <w:pStyle w:val="ListBullet"/>
      </w:pPr>
      <w:r>
        <w:t>umožňujú masové sledovanie, behaviorálne skórovanie, represiu alebo manipuláciu;</w:t>
      </w:r>
    </w:p>
    <w:p>
      <w:pPr>
        <w:pStyle w:val="ListBullet"/>
      </w:pPr>
      <w:r>
        <w:t>automatizujú rozhodnutia o osobách bez zmysluplného ľudského dohľadu;</w:t>
      </w:r>
    </w:p>
    <w:p>
      <w:pPr>
        <w:pStyle w:val="ListBullet"/>
      </w:pPr>
      <w:r>
        <w:t>tvrdením o pravde, bezpečnosti alebo úplnosti vytvárajú falošnú epistemickú autoritu;</w:t>
      </w:r>
    </w:p>
    <w:p>
      <w:pPr>
        <w:pStyle w:val="ListBullet"/>
      </w:pPr>
      <w:r>
        <w:t>odstraňujú alebo obchádzajú neagentné, neoptimalizačné a non-feedback limity projektu.</w:t>
      </w:r>
    </w:p>
    <w:p>
      <w:pPr>
        <w:pStyle w:val="Heading1"/>
      </w:pPr>
      <w:r>
        <w:t>17. Rozhodné právo a fórum</w:t>
      </w:r>
    </w:p>
    <w:p>
      <w:r>
        <w:t>Tieto polia musia byť doplnené pred podpisom alebo zverejnením právne záväznej verzie:</w:t>
      </w:r>
    </w:p>
    <w:p>
      <w:pPr>
        <w:pStyle w:val="Clause"/>
      </w:pPr>
      <w:r>
        <w:t>Rozhodné právo: [DOPLNIŤ]</w:t>
      </w:r>
    </w:p>
    <w:p>
      <w:pPr>
        <w:pStyle w:val="Clause"/>
      </w:pPr>
      <w:r>
        <w:t>Súd / arbitráž / mediácia: [DOPLNIŤ]</w:t>
      </w:r>
    </w:p>
    <w:p>
      <w:pPr>
        <w:pStyle w:val="Clause"/>
      </w:pPr>
      <w:r>
        <w:t>Záväzný jazyk dokumentu: [DOPLNIŤ]</w:t>
      </w:r>
    </w:p>
    <w:p>
      <w:pPr>
        <w:pStyle w:val="Clause"/>
      </w:pPr>
      <w:r>
        <w:t>Vzťah ku konkrétnej licencii: [DOPLNIŤ]</w:t>
      </w:r>
    </w:p>
    <w:p>
      <w:pPr>
        <w:pStyle w:val="Clause"/>
      </w:pPr>
      <w:r>
        <w:t>Vzťah k ochrannej známke / doméne / názvu: [DOPLNIŤ]</w:t>
      </w:r>
    </w:p>
    <w:p>
      <w:pPr>
        <w:pStyle w:val="Heading1"/>
      </w:pPr>
      <w:r>
        <w:t>18. Referencie</w:t>
      </w:r>
    </w:p>
    <w:p>
      <w:pPr>
        <w:pStyle w:val="ListBullet"/>
      </w:pPr>
      <w:r>
        <w:rPr>
          <w:b/>
        </w:rPr>
        <w:t xml:space="preserve">VECTAETOS - Calibration and Trajectory Possibility Mapping Anchor: </w:t>
      </w:r>
      <w:r>
        <w:t>Interný kanonický pracovný anchor.</w:t>
      </w:r>
    </w:p>
    <w:p>
      <w:pPr>
        <w:pStyle w:val="ListBullet"/>
      </w:pPr>
      <w:r>
        <w:rPr>
          <w:b/>
        </w:rPr>
        <w:t xml:space="preserve">VECTAETOS - Ontological Declaration of Use: </w:t>
      </w:r>
      <w:r>
        <w:t>Ontologická deklarácia použitia.</w:t>
      </w:r>
    </w:p>
    <w:p>
      <w:pPr>
        <w:pStyle w:val="ListBullet"/>
      </w:pPr>
      <w:r>
        <w:rPr>
          <w:b/>
        </w:rPr>
        <w:t xml:space="preserve">VECTAETOS 1.0 - Frozen Ontological Core: </w:t>
      </w:r>
      <w:r>
        <w:t>Neagentné jadro, zero agency, no feedback, silence legitimacy.</w:t>
      </w:r>
    </w:p>
    <w:p>
      <w:pPr>
        <w:pStyle w:val="ListBullet"/>
      </w:pPr>
      <w:r>
        <w:rPr>
          <w:b/>
        </w:rPr>
        <w:t xml:space="preserve">Regulation (EU) 2024/1689: </w:t>
      </w:r>
      <w:r>
        <w:t>Artificial Intelligence Act, official EU text.</w:t>
      </w:r>
    </w:p>
    <w:p>
      <w:pPr>
        <w:pStyle w:val="ListBullet"/>
      </w:pPr>
      <w:r>
        <w:rPr>
          <w:b/>
        </w:rPr>
        <w:t xml:space="preserve">Regulation (EU) 2016/679: </w:t>
      </w:r>
      <w:r>
        <w:t>General Data Protection Regulation, official EU text.</w:t>
      </w:r>
    </w:p>
    <w:p>
      <w:pPr>
        <w:pStyle w:val="Heading1"/>
      </w:pPr>
      <w:r>
        <w:t>Podpisy</w:t>
      </w:r>
    </w:p>
    <w:p>
      <w:r>
        <w:t>Podpisom strany potvrdzujú, že dokument čítali, rozumejú jeho neautoritatívnemu charakteru a prijímajú pracovnú disciplínu uvedenú v dokumente.</w:t>
      </w:r>
    </w:p>
    <w:tbl>
      <w:tblPr>
        <w:tblStyle w:val="TableGrid"/>
        <w:tblW w:type="auto" w:w="0"/>
        <w:tblLook w:firstColumn="1" w:firstRow="1" w:lastColumn="0" w:lastRow="0" w:noHBand="0" w:noVBand="1" w:val="04A0"/>
      </w:tblPr>
      <w:tblGrid>
        <w:gridCol w:w="4896"/>
        <w:gridCol w:w="4896"/>
      </w:tblGrid>
      <w:tr>
        <w:tc>
          <w:tcPr>
            <w:tcW w:type="dxa" w:w="4896"/>
          </w:tcPr>
          <w:p>
            <w:pPr>
              <w:pStyle w:val="BoxText"/>
            </w:pPr>
            <w:r>
              <w:t>Meno / subjekt:</w:t>
            </w:r>
          </w:p>
        </w:tc>
        <w:tc>
          <w:tcPr>
            <w:tcW w:type="dxa" w:w="4896"/>
          </w:tcPr>
          <w:p>
            <w:pPr>
              <w:pStyle w:val="BoxText"/>
            </w:pPr>
            <w:r>
              <w:t>Meno / subjekt:</w:t>
            </w:r>
          </w:p>
        </w:tc>
      </w:tr>
      <w:tr>
        <w:tc>
          <w:tcPr>
            <w:tcW w:type="dxa" w:w="4896"/>
          </w:tcPr>
          <w:p>
            <w:pPr>
              <w:pStyle w:val="BoxText"/>
            </w:pPr>
            <w:r>
              <w:t>Funkcia / rola:</w:t>
            </w:r>
          </w:p>
        </w:tc>
        <w:tc>
          <w:tcPr>
            <w:tcW w:type="dxa" w:w="4896"/>
          </w:tcPr>
          <w:p>
            <w:pPr>
              <w:pStyle w:val="BoxText"/>
            </w:pPr>
            <w:r>
              <w:t>Funkcia / rola:</w:t>
            </w:r>
          </w:p>
        </w:tc>
      </w:tr>
      <w:tr>
        <w:tc>
          <w:tcPr>
            <w:tcW w:type="dxa" w:w="4896"/>
          </w:tcPr>
          <w:p>
            <w:pPr>
              <w:pStyle w:val="BoxText"/>
            </w:pPr>
            <w:r>
              <w:t>Dátum:</w:t>
            </w:r>
          </w:p>
        </w:tc>
        <w:tc>
          <w:tcPr>
            <w:tcW w:type="dxa" w:w="4896"/>
          </w:tcPr>
          <w:p>
            <w:pPr>
              <w:pStyle w:val="BoxText"/>
            </w:pPr>
            <w:r>
              <w:t>Dátum:</w:t>
            </w:r>
          </w:p>
        </w:tc>
      </w:tr>
      <w:tr>
        <w:tc>
          <w:tcPr>
            <w:tcW w:type="dxa" w:w="4896"/>
          </w:tcPr>
          <w:p>
            <w:pPr>
              <w:pStyle w:val="BoxText"/>
            </w:pPr>
            <w:r>
              <w:t>Podpis:</w:t>
            </w:r>
          </w:p>
          <w:p>
            <w:r>
              <w:br/>
              <w:br/>
            </w:r>
          </w:p>
        </w:tc>
        <w:tc>
          <w:tcPr>
            <w:tcW w:type="dxa" w:w="4896"/>
          </w:tcPr>
          <w:p>
            <w:pPr>
              <w:pStyle w:val="BoxText"/>
            </w:pPr>
            <w:r>
              <w:t>Podpis:</w:t>
            </w:r>
          </w:p>
          <w:p>
            <w:r>
              <w:br/>
              <w:br/>
            </w:r>
          </w:p>
        </w:tc>
      </w:tr>
    </w:tbl>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VECTAETOS draft - page </w:t>
    </w:r>
    <w:r>
      <w:fldChar w:fldCharType="begin"/>
      <w:instrText xml:space="preserve">PAGE</w:instrText>
      <w:fldChar w:fldCharType="end"/>
    </w:r>
    <w:r>
      <w:rPr>
        <w:sz w:val="16"/>
      </w:rPr>
      <w:t xml:space="preserve"> /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VECTAETOS - Právna a governance vrstva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eastAsia="Liberation Sans"/>
      <w:b/>
      <w:bCs/>
      <w:color w:val="14416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23557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3C3C3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spacing w:after="60"/>
      <w:ind w:left="259"/>
    </w:pPr>
    <w:rPr>
      <w:rFonts w:ascii="Liberation Sans" w:hAnsi="Liberation Sans" w:eastAsia="Liberation Sans"/>
      <w:sz w:val="19"/>
    </w:rPr>
  </w:style>
  <w:style w:type="paragraph" w:customStyle="1" w:styleId="Small">
    <w:name w:val="Small"/>
    <w:rPr>
      <w:rFonts w:ascii="Liberation Sans" w:hAnsi="Liberation Sans" w:eastAsia="Liberation Sans"/>
      <w:color w:val="505050"/>
      <w:sz w:val="16"/>
    </w:rPr>
  </w:style>
  <w:style w:type="paragraph" w:customStyle="1" w:styleId="BoxText">
    <w:name w:val="BoxText"/>
    <w:pPr>
      <w:spacing w:after="40"/>
    </w:pPr>
    <w:rPr>
      <w:rFonts w:ascii="Liberation Sans" w:hAnsi="Liberation Sans" w:eastAsia="Liberation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VECTAETOS - Právna a governance vrstva</dc:title>
  <dc:subject>Draft legal governance protocol for VECTAETOS project</dc:subject>
  <dc:creator>VECTAETOS Project</dc:creator>
  <cp:keywords/>
  <dc:description>Generated draft for legal and project review.</dc:description>
  <cp:lastModifiedBy/>
  <cp:revision>1</cp:revision>
  <dcterms:created xsi:type="dcterms:W3CDTF">2013-12-23T23:15:00Z</dcterms:created>
  <dcterms:modified xsi:type="dcterms:W3CDTF">2013-12-23T23:15:00Z</dcterms:modified>
  <cp:category/>
</cp:coreProperties>
</file>