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Gadugi" w:hAnsi="Gadugi" w:eastAsia="Gadugi" w:cs="Gadugi"/>
          <w:sz w:val="48"/>
          <w:szCs w:val="48"/>
        </w:rPr>
        <w:t>Analisis Sistem Kendali Pemberi Pakan Otomatis</w:t>
      </w:r>
    </w:p>
    <w:p>
      <w:pPr>
        <w:jc w:val="center"/>
      </w:pPr>
      <w:r>
        <w:rPr>
          <w:rFonts w:ascii="Gadugi" w:hAnsi="Gadugi" w:eastAsia="Gadugi" w:cs="Gadugi"/>
          <w:sz w:val="20"/>
          <w:szCs w:val="20"/>
          <w:b w:val="1"/>
        </w:rPr>
        <w:t>A. Author, B. Author</w:t>
      </w:r>
    </w:p>
    <w:p>
      <w:pPr>
        <w:jc w:val="center"/>
      </w:pPr>
      <w:r>
        <w:rPr>
          <w:rFonts w:ascii="Gadugi" w:hAnsi="Gadugi" w:eastAsia="Gadugi" w:cs="Gadugi"/>
          <w:sz w:val="18"/>
          <w:szCs w:val="18"/>
        </w:rPr>
        <w:t>Example University</w:t>
      </w:r>
    </w:p>
    <w:p>
      <w:pPr>
        <w:jc w:val="center"/>
      </w:pPr>
      <w:r>
        <w:rPr>
          <w:rFonts w:ascii="Gadugi" w:hAnsi="Gadugi" w:eastAsia="Gadugi" w:cs="Gadugi"/>
          <w:sz w:val="20"/>
          <w:szCs w:val="20"/>
        </w:rPr>
        <w:t>* Corresponding author: author@example.test</w:t>
      </w:r>
    </w:p>
    <w:p>
      <w:pPr>
        <w:pStyle w:val="Heading1"/>
        <w:jc w:val="left"/>
      </w:pPr>
      <w:r>
        <w:rPr>
          <w:rFonts w:ascii="Gadugi" w:hAnsi="Gadugi" w:eastAsia="Gadugi" w:cs="Gadugi"/>
          <w:sz w:val="18"/>
          <w:szCs w:val="18"/>
          <w:b w:val="1"/>
        </w:rPr>
        <w:t>ABSTRAK</w:t>
      </w:r>
    </w:p>
    <w:p>
      <w:pPr>
        <w:jc w:val="both"/>
      </w:pPr>
      <w:r>
        <w:rPr>
          <w:rFonts w:ascii="Gadugi" w:hAnsi="Gadugi" w:eastAsia="Gadugi" w:cs="Gadugi"/>
          <w:b w:val="0"/>
          <w:sz w:val="18"/>
          <w:szCs w:val="18"/>
        </w:rPr>
        <w:t xml:space="preserve">Penelitian ini menguji sistem kendali otomatis dengan </w:t>
      </w:r>
      <w:r>
        <w:rPr>
          <w:rFonts w:ascii="Gadugi" w:hAnsi="Gadugi" w:eastAsia="Gadugi" w:cs="Gadugi"/>
          <w:b w:val="0"/>
          <w:sz w:val="18"/>
          <w:szCs w:val="18"/>
        </w:rPr>
        <w:t>Kp = 2.55, Ts = 0.03 s, dan akurasi 95%.</w:t>
      </w:r>
    </w:p>
    <w:p>
      <w:r>
        <w:rPr>
          <w:rFonts w:ascii="Gadugi" w:hAnsi="Gadugi" w:eastAsia="Gadugi" w:cs="Gadugi"/>
          <w:b w:val="0"/>
          <w:sz w:val="18"/>
          <w:szCs w:val="18"/>
        </w:rPr>
        <w:t>Kata Kunci: kendali; IoT; sistem otomatis</w:t>
      </w:r>
    </w:p>
    <w:p>
      <w:pPr>
        <w:pStyle w:val="Heading1"/>
        <w:jc w:val="left"/>
      </w:pPr>
      <w:r>
        <w:rPr>
          <w:rFonts w:ascii="Gadugi" w:hAnsi="Gadugi" w:eastAsia="Gadugi" w:cs="Gadugi"/>
          <w:sz w:val="20"/>
          <w:szCs w:val="20"/>
          <w:b w:val="1"/>
        </w:rPr>
        <w:t>1. PENDAHULUAN</w:t>
      </w:r>
    </w:p>
    <w:p>
      <w:pPr>
        <w:jc w:val="both"/>
      </w:pPr>
      <w:r>
        <w:rPr>
          <w:rFonts w:ascii="Gadugi" w:hAnsi="Gadugi" w:eastAsia="Gadugi" w:cs="Gadugi"/>
          <w:b w:val="0"/>
          <w:sz w:val="20"/>
          <w:szCs w:val="20"/>
        </w:rPr>
        <w:t>Rangkaian pada Gambar 1 menggunakan ESP32 dan sensor ultrasonik.</w:t>
      </w:r>
    </w:p>
    <w:p>
      <w:pPr>
        <w:jc w:val="both"/>
      </w:pPr>
      <w:r>
        <w:rPr>
          <w:rFonts w:ascii="Gadugi" w:hAnsi="Gadugi" w:eastAsia="Gadugi" w:cs="Gadugi"/>
          <w:b w:val="0"/>
          <w:sz w:val="20"/>
          <w:szCs w:val="20"/>
        </w:rPr>
        <w:t>Hasil pengukuran ditunjukkan pada Tabel I.</w:t>
      </w:r>
    </w:p>
    <w:p>
      <w:pPr>
        <w:jc w:val="both"/>
      </w:pPr>
      <w:r>
        <w:rPr>
          <w:rFonts w:ascii="Gadugi" w:hAnsi="Gadugi" w:eastAsia="Gadugi" w:cs="Gadugi"/>
          <w:b w:val="0"/>
          <w:sz w:val="20"/>
          <w:szCs w:val="20"/>
        </w:rPr>
        <w:t>Nilai Kp = 2.55 dan Ts = 0.03 s dipertahankan tanpa perubahan.</w:t>
      </w:r>
    </w:p>
    <w:p>
      <w:pPr>
        <w:pStyle w:val="Heading2"/>
        <w:jc w:val="left"/>
      </w:pPr>
      <w:r>
        <w:rPr>
          <w:rFonts w:ascii="Gadugi" w:hAnsi="Gadugi" w:eastAsia="Gadugi" w:cs="Gadugi"/>
          <w:sz w:val="20"/>
          <w:szCs w:val="20"/>
          <w:b w:val="1"/>
        </w:rPr>
        <w:t>2.1 Metode Pengujian</w:t>
      </w:r>
    </w:p>
    <w:p>
      <w:pPr>
        <w:jc w:val="both"/>
      </w:pPr>
      <w:r>
        <w:rPr>
          <w:rFonts w:ascii="Gadugi" w:hAnsi="Gadugi" w:eastAsia="Gadugi" w:cs="Gadugi"/>
          <w:sz w:val="20"/>
          <w:szCs w:val="20"/>
        </w:rPr>
        <w:t xml:space="preserve">Persamaan kendali dipertahankan: </w:t>
      </w:r>
      <m:oMath>
        <m:r>
          <m:t>u(t)=Kp e(t)</m:t>
        </m:r>
      </m:oMath>
    </w:p>
    <w:p>
      <w:r>
        <w:drawing>
          <wp:inline xmlns:a="http://schemas.openxmlformats.org/drawingml/2006/main" xmlns:pic="http://schemas.openxmlformats.org/drawingml/2006/picture">
            <wp:extent cx="5120640" cy="17602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17602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dugi" w:hAnsi="Gadugi" w:eastAsia="Gadugi" w:cs="Gadugi"/>
          <w:sz w:val="16"/>
          <w:szCs w:val="16"/>
        </w:rPr>
        <w:t>Gambar 1: Diagram blok sistem kendali</w:t>
      </w:r>
    </w:p>
    <w:p>
      <w:pPr>
        <w:jc w:val="center"/>
      </w:pPr>
      <w:r>
        <w:rPr>
          <w:rFonts w:ascii="Gadugi" w:hAnsi="Gadugi" w:eastAsia="Gadugi" w:cs="Gadugi"/>
          <w:sz w:val="16"/>
          <w:szCs w:val="16"/>
        </w:rPr>
        <w:t>TABEL I : PEMBACAAN TEGANGAN DAN STATISTIK DESKRIPTIF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Gadugi" w:hAnsi="Gadugi" w:eastAsia="Gadugi" w:cs="Gadugi"/>
                <w:b/>
                <w:sz w:val="18"/>
                <w:szCs w:val="18"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rFonts w:ascii="Gadugi" w:hAnsi="Gadugi" w:eastAsia="Gadugi" w:cs="Gadugi"/>
                <w:b/>
                <w:sz w:val="18"/>
                <w:szCs w:val="18"/>
              </w:rPr>
              <w:t>Nilai</w:t>
            </w:r>
          </w:p>
        </w:tc>
        <w:tc>
          <w:tcPr>
            <w:tcW w:type="dxa" w:w="2880"/>
          </w:tcPr>
          <w:p>
            <w:r>
              <w:rPr>
                <w:rFonts w:ascii="Gadugi" w:hAnsi="Gadugi" w:eastAsia="Gadugi" w:cs="Gadugi"/>
                <w:b/>
                <w:sz w:val="18"/>
                <w:szCs w:val="18"/>
              </w:rPr>
              <w:t>Satuan</w:t>
            </w:r>
          </w:p>
        </w:tc>
      </w:tr>
      <w:tr>
        <w:tc>
          <w:tcPr>
            <w:tcW w:type="dxa" w:w="2880"/>
          </w:tcPr>
          <w:p>
            <w:r>
              <w:rPr>
                <w:rFonts w:ascii="Gadugi" w:hAnsi="Gadugi" w:eastAsia="Gadugi" w:cs="Gadugi"/>
                <w:sz w:val="18"/>
                <w:szCs w:val="18"/>
              </w:rPr>
              <w:t>Tegangan</w:t>
            </w:r>
          </w:p>
        </w:tc>
        <w:tc>
          <w:tcPr>
            <w:tcW w:type="dxa" w:w="2880"/>
          </w:tcPr>
          <w:p>
            <w:r>
              <w:rPr>
                <w:rFonts w:ascii="Gadugi" w:hAnsi="Gadugi" w:eastAsia="Gadugi" w:cs="Gadugi"/>
                <w:sz w:val="18"/>
                <w:szCs w:val="18"/>
              </w:rPr>
              <w:t>220</w:t>
            </w:r>
          </w:p>
        </w:tc>
        <w:tc>
          <w:tcPr>
            <w:tcW w:type="dxa" w:w="2880"/>
          </w:tcPr>
          <w:p>
            <w:r>
              <w:rPr>
                <w:rFonts w:ascii="Gadugi" w:hAnsi="Gadugi" w:eastAsia="Gadugi" w:cs="Gadugi"/>
                <w:sz w:val="18"/>
                <w:szCs w:val="18"/>
              </w:rPr>
              <w:t>V</w:t>
            </w:r>
          </w:p>
        </w:tc>
      </w:tr>
      <w:tr>
        <w:tc>
          <w:tcPr>
            <w:tcW w:type="dxa" w:w="2880"/>
          </w:tcPr>
          <w:p>
            <w:r>
              <w:rPr>
                <w:rFonts w:ascii="Gadugi" w:hAnsi="Gadugi" w:eastAsia="Gadugi" w:cs="Gadugi"/>
                <w:sz w:val="18"/>
                <w:szCs w:val="18"/>
              </w:rPr>
              <w:t>Akurasi</w:t>
            </w:r>
          </w:p>
        </w:tc>
        <w:tc>
          <w:tcPr>
            <w:tcW w:type="dxa" w:w="2880"/>
          </w:tcPr>
          <w:p>
            <w:r>
              <w:rPr>
                <w:rFonts w:ascii="Gadugi" w:hAnsi="Gadugi" w:eastAsia="Gadugi" w:cs="Gadugi"/>
                <w:sz w:val="18"/>
                <w:szCs w:val="18"/>
              </w:rPr>
              <w:t>95</w:t>
            </w:r>
          </w:p>
        </w:tc>
        <w:tc>
          <w:tcPr>
            <w:tcW w:type="dxa" w:w="2880"/>
          </w:tcPr>
          <w:p>
            <w:r>
              <w:rPr>
                <w:rFonts w:ascii="Gadugi" w:hAnsi="Gadugi" w:eastAsia="Gadugi" w:cs="Gadugi"/>
                <w:sz w:val="18"/>
                <w:szCs w:val="18"/>
              </w:rPr>
              <w:t>%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rFonts w:ascii="Gadugi" w:hAnsi="Gadugi" w:eastAsia="Gadugi" w:cs="Gadugi"/>
          <w:sz w:val="20"/>
          <w:szCs w:val="20"/>
          <w:b w:val="1"/>
        </w:rPr>
        <w:t>3. HASIL DAN PEMBAHASAN</w:t>
      </w:r>
    </w:p>
    <w:p>
      <w:pPr>
        <w:jc w:val="both"/>
      </w:pPr>
      <w:r>
        <w:rPr>
          <w:rFonts w:ascii="Gadugi" w:hAnsi="Gadugi" w:eastAsia="Gadugi" w:cs="Gadugi"/>
          <w:sz w:val="20"/>
          <w:szCs w:val="20"/>
        </w:rPr>
        <w:t>Sebagaimana terlihat pada Tabel I, nilai ilmiah tetap 220 V dan 95%.</w:t>
      </w:r>
    </w:p>
    <w:p>
      <w:pPr>
        <w:pStyle w:val="Heading1"/>
        <w:jc w:val="left"/>
      </w:pPr>
      <w:r>
        <w:rPr>
          <w:rFonts w:ascii="Gadugi" w:hAnsi="Gadugi" w:eastAsia="Gadugi" w:cs="Gadugi"/>
          <w:sz w:val="20"/>
          <w:szCs w:val="20"/>
          <w:b w:val="1"/>
        </w:rPr>
        <w:t>4. KESIMPULAN</w:t>
      </w:r>
    </w:p>
    <w:p>
      <w:pPr>
        <w:jc w:val="both"/>
      </w:pPr>
      <w:r>
        <w:rPr>
          <w:rFonts w:ascii="Gadugi" w:hAnsi="Gadugi" w:eastAsia="Gadugi" w:cs="Gadugi"/>
          <w:sz w:val="20"/>
          <w:szCs w:val="20"/>
        </w:rPr>
        <w:t>Sistem mempertahankan seluruh angka, gambar, tabel, persamaan, dan sitasi [1].</w:t>
      </w:r>
    </w:p>
    <w:p>
      <w:pPr>
        <w:pStyle w:val="Heading1"/>
        <w:jc w:val="left"/>
      </w:pPr>
      <w:r>
        <w:rPr>
          <w:rFonts w:ascii="Gadugi" w:hAnsi="Gadugi" w:eastAsia="Gadugi" w:cs="Gadugi"/>
          <w:sz w:val="20"/>
          <w:szCs w:val="20"/>
          <w:b w:val="1"/>
        </w:rPr>
        <w:t>DAFTAR PUSTAKA</w:t>
      </w:r>
    </w:p>
    <w:p>
      <w:r>
        <w:rPr>
          <w:rFonts w:ascii="Gadugi" w:hAnsi="Gadugi" w:eastAsia="Gadugi" w:cs="Gadugi"/>
          <w:sz w:val="16"/>
          <w:szCs w:val="16"/>
        </w:rPr>
        <w:t>[1] Verified source, 2024. doi:10.1234/example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Footer author manuscript — preserved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Header author manuscript — preserved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adugi" w:hAnsi="Gadugi" w:eastAsia="Gadugi" w:cs="Gadugi"/>
      <w:sz w:val="20"/>
      <w:szCs w:val="20"/>
    </w:rPr>
    <w:pPr>
      <w:jc w:val="both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  <w:jc w:val="left"/>
    </w:pPr>
    <w:rPr>
      <w:rFonts w:asciiTheme="majorHAnsi" w:eastAsiaTheme="majorEastAsia" w:hAnsiTheme="majorHAnsi" w:cstheme="majorBidi" w:ascii="Gadugi" w:hAnsi="Gadugi" w:eastAsia="Gadugi" w:cs="Gadugi"/>
      <w:b w:val="1"/>
      <w:bCs/>
      <w:color w:val="365F91" w:themeColor="accent1" w:themeShade="BF"/>
      <w:sz w:val="20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  <w:jc w:val="left"/>
    </w:pPr>
    <w:rPr>
      <w:rFonts w:asciiTheme="majorHAnsi" w:eastAsiaTheme="majorEastAsia" w:hAnsiTheme="majorHAnsi" w:cstheme="majorBidi" w:ascii="Gadugi" w:hAnsi="Gadugi" w:eastAsia="Gadugi" w:cs="Gadugi"/>
      <w:b w:val="1"/>
      <w:bCs/>
      <w:color w:val="4F81BD" w:themeColor="accent1"/>
      <w:sz w:val="20"/>
      <w:szCs w:val="2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  <w:jc w:val="center"/>
    </w:pPr>
    <w:rPr>
      <w:rFonts w:asciiTheme="majorHAnsi" w:eastAsiaTheme="majorEastAsia" w:hAnsiTheme="majorHAnsi" w:cstheme="majorBidi" w:ascii="Gadugi" w:hAnsi="Gadugi" w:eastAsia="Gadugi" w:cs="Gadugi"/>
      <w:color w:val="17365D" w:themeColor="text2" w:themeShade="BF"/>
      <w:spacing w:val="5"/>
      <w:kern w:val="28"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  <w:jc w:val="center"/>
    </w:pPr>
    <w:rPr>
      <w:rFonts w:ascii="Gadugi" w:hAnsi="Gadugi" w:eastAsia="Gadugi" w:cs="Gadugi"/>
      <w:b/>
      <w:bCs/>
      <w:color w:val="4F81BD" w:themeColor="accent1"/>
      <w:sz w:val="16"/>
      <w:szCs w:val="16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