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Insights Report - Task 1</w:t>
      </w:r>
    </w:p>
    <w:p>
      <w:r>
        <w:t>Total Records: 50,000</w:t>
      </w:r>
    </w:p>
    <w:p>
      <w:r>
        <w:t>Total Variables: 16</w:t>
      </w:r>
    </w:p>
    <w:p>
      <w:pPr>
        <w:pStyle w:val="Heading1"/>
      </w:pPr>
      <w:r>
        <w:t>KPIs</w:t>
      </w:r>
    </w:p>
    <w:p>
      <w:r>
        <w:t>Average Pre GPA: 3.15</w:t>
      </w:r>
    </w:p>
    <w:p>
      <w:r>
        <w:t>Average Post GPA: 3.35</w:t>
      </w:r>
    </w:p>
    <w:p>
      <w:r>
        <w:t>Average Weekly GenAI Hours: 8.43</w:t>
      </w:r>
    </w:p>
    <w:p>
      <w:r>
        <w:t>Average Skill Retention Score: 75.80</w:t>
      </w:r>
    </w:p>
    <w:p>
      <w:pPr>
        <w:pStyle w:val="Heading1"/>
      </w:pPr>
      <w:r>
        <w:t>Recommendations</w:t>
      </w:r>
    </w:p>
    <w:p>
      <w:r>
        <w:t>Encourage responsible AI usage for learning and problem solving.</w:t>
      </w:r>
    </w:p>
    <w:p>
      <w:r>
        <w:t>Provide AI literacy and prompt engineering training.</w:t>
      </w:r>
    </w:p>
    <w:p>
      <w:r>
        <w:t>Monitor AI dependency and burnout indicators.</w:t>
      </w:r>
    </w:p>
    <w:p>
      <w:r>
        <w:t>Support student wellness initiatives.</w:t>
      </w:r>
    </w:p>
    <w:p>
      <w:r>
        <w:t>Develop institutional AI usage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