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星火导师计划实施方案 v1</w:t>
      </w:r>
    </w:p>
    <w:p>
      <w:r>
        <w:t>生效日期：2026年9月1日</w:t>
      </w:r>
    </w:p>
    <w:p>
      <w:r>
        <w:t>目标：第一期培养新任导师 30 名，导师认证通过率达到 80%。</w:t>
      </w:r>
    </w:p>
    <w:p>
      <w:r>
        <w:t>负责人：周岚。</w:t>
      </w:r>
    </w:p>
    <w:p>
      <w:r>
        <w:t>里程碑：10月10日完成导师招募；11月20日完成首轮带教；12月15日完成认证考核。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