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云原生治理与端侧系统升级规范</w:t>
      </w:r>
    </w:p>
    <w:p>
      <w:r>
        <w:t>项目名称：云原生数据治理工程</w:t>
      </w:r>
    </w:p>
    <w:p>
      <w:r>
        <w:t>本项目核心目标为实现云原生治理与离线端侧高保真运行，目前已完成基础架构梳理与端侧适配。</w:t>
      </w:r>
    </w:p>
    <w:p>
      <w:r>
        <w:t>重点工作：完成端到端流水线交付验收，并于今日召开系统联调推进会。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模块名称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当前状态</w:t>
            </w:r>
          </w:p>
        </w:tc>
      </w:tr>
      <w:tr>
        <w:tc>
          <w:tcPr>
            <w:tcW w:type="dxa" w:w="2880"/>
          </w:tcPr>
          <w:p>
            <w:r>
              <w:t>Reader 引擎</w:t>
            </w:r>
          </w:p>
        </w:tc>
        <w:tc>
          <w:tcPr>
            <w:tcW w:type="dxa" w:w="2880"/>
          </w:tcPr>
          <w:p>
            <w:r>
              <w:t>自动化测试组</w:t>
            </w:r>
          </w:p>
        </w:tc>
        <w:tc>
          <w:tcPr>
            <w:tcW w:type="dxa" w:w="2880"/>
          </w:tcPr>
          <w:p>
            <w:r>
              <w:t>已就绪</w:t>
            </w:r>
          </w:p>
        </w:tc>
      </w:tr>
      <w:tr>
        <w:tc>
          <w:tcPr>
            <w:tcW w:type="dxa" w:w="2880"/>
          </w:tcPr>
          <w:p>
            <w:r>
              <w:t>Governance 审核</w:t>
            </w:r>
          </w:p>
        </w:tc>
        <w:tc>
          <w:tcPr>
            <w:tcW w:type="dxa" w:w="2880"/>
          </w:tcPr>
          <w:p>
            <w:r>
              <w:t>治理服务组</w:t>
            </w:r>
          </w:p>
        </w:tc>
        <w:tc>
          <w:tcPr>
            <w:tcW w:type="dxa" w:w="2880"/>
          </w:tcPr>
          <w:p>
            <w:r>
              <w:t>联调中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