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200" w:after="200"/>
        <w:jc w:val="center"/>
      </w:pPr>
      <w:r>
        <w:rPr>
          <w:rFonts w:ascii="Arial" w:cs="Arial" w:eastAsia="Arial" w:hAnsi="Arial"/>
          <w:b/>
          <w:bCs/>
          <w:color w:val="1B3A5C"/>
          <w:sz w:val="52"/>
          <w:szCs w:val="52"/>
        </w:rPr>
        <w:t xml:space="preserve">Financial Tracking System</w:t>
      </w:r>
    </w:p>
    <w:p>
      <w:pPr>
        <w:spacing w:before="100" w:after="400"/>
        <w:jc w:val="center"/>
      </w:pPr>
      <w:r>
        <w:rPr>
          <w:rFonts w:ascii="Arial" w:cs="Arial" w:eastAsia="Arial" w:hAnsi="Arial"/>
          <w:color w:val="2E75B6"/>
          <w:sz w:val="36"/>
          <w:szCs w:val="36"/>
        </w:rPr>
        <w:t xml:space="preserve">ERD Design Review &amp; Stress Test Report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4"/>
              <w:left w:val="single" w:color="2E75B6" w:sz="4"/>
              <w:bottom w:val="single" w:color="2E75B6" w:sz="4"/>
              <w:right w:val="single" w:color="2E75B6" w:sz="4"/>
            </w:tcBorders>
            <w:shd w:fill="D5E8F0" w:val="clear"/>
            <w:tcMar>
              <w:top w:type="dxa" w:w="200"/>
              <w:left w:type="dxa" w:w="300"/>
              <w:bottom w:type="dxa" w:w="200"/>
              <w:right w:type="dxa" w:w="300"/>
            </w:tcMar>
          </w:tcPr>
          <w:p>
            <w:pPr>
              <w:spacing w:before="60" w:after="60"/>
              <w:jc w:val="center"/>
            </w:pPr>
            <w:r>
              <w:rPr>
                <w:rFonts w:ascii="Arial" w:cs="Arial" w:eastAsia="Arial" w:hAnsi="Arial"/>
                <w:b/>
                <w:bCs/>
                <w:color w:val="1B3A5C"/>
                <w:sz w:val="22"/>
                <w:szCs w:val="22"/>
              </w:rPr>
              <w:t xml:space="preserve">Review Date: 2026</w:t>
            </w:r>
          </w:p>
          <w:p>
            <w:pPr>
              <w:spacing w:before="60" w:after="60"/>
              <w:jc w:val="center"/>
            </w:pPr>
            <w:r>
              <w:rPr>
                <w:rFonts w:ascii="Arial" w:cs="Arial" w:eastAsia="Arial" w:hAnsi="Arial"/>
                <w:color w:val="555555"/>
                <w:sz w:val="20"/>
                <w:szCs w:val="20"/>
              </w:rPr>
              <w:t xml:space="preserve">Scope: ERD v1 — MariaDB OLTP + DuckDB OLAP</w:t>
            </w:r>
          </w:p>
          <w:p>
            <w:pPr>
              <w:spacing w:before="60" w:after="60"/>
              <w:jc w:val="center"/>
            </w:pPr>
            <w:r>
              <w:rPr>
                <w:rFonts w:ascii="Arial" w:cs="Arial" w:eastAsia="Arial" w:hAnsi="Arial"/>
                <w:color w:val="555555"/>
                <w:sz w:val="20"/>
                <w:szCs w:val="20"/>
              </w:rPr>
              <w:t xml:space="preserve">Confidence Target: Maximum</w:t>
            </w:r>
          </w:p>
        </w:tc>
      </w:tr>
    </w:tbl>
    <w:p>
      <w:r>
        <w:br w:type="page"/>
      </w:r>
    </w:p>
    <w:p>
      <w:pPr>
        <w:pStyle w:val="Heading1"/>
        <w:spacing w:before="360" w:after="120"/>
      </w:pPr>
      <w:r>
        <w:rPr>
          <w:rFonts w:ascii="Arial" w:cs="Arial" w:eastAsia="Arial" w:hAnsi="Arial"/>
          <w:b/>
          <w:bCs/>
          <w:color w:val="1B3A5C"/>
          <w:sz w:val="36"/>
          <w:szCs w:val="36"/>
        </w:rPr>
        <w:t xml:space="preserve">1. Executive Summary</w:t>
      </w:r>
    </w:p>
    <w:p>
      <w:pPr>
        <w:spacing w:before="80" w:after="80"/>
      </w:pPr>
      <w:r>
        <w:rPr>
          <w:rFonts w:ascii="Arial" w:cs="Arial" w:eastAsia="Arial" w:hAnsi="Arial"/>
          <w:color w:val="000000"/>
          <w:sz w:val="20"/>
          <w:szCs w:val="20"/>
        </w:rPr>
        <w:t xml:space="preserve">The ERD demonstrates a well-structured dual-database approach (MariaDB OLTP + DuckDB/Parquet OLAP) with a clear separation of concerns. The core transaction and position tracking logic is sound. However, the review identified issues across three tiers of severity that must be resolved before this design can support a production AI-powered financial advisor.</w:t>
      </w:r>
    </w:p>
    <w:p>
      <w:pPr>
        <w:spacing w:before="120" w:after="0"/>
      </w:pP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Borders>
              <w:top w:val="none"/>
              <w:left w:val="none"/>
              <w:bottom w:val="none"/>
              <w:right w:val="none"/>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 — 4</w:t>
            </w:r>
          </w:p>
        </w:tc>
        <w:tc>
          <w:tcPr>
            <w:tcW w:type="dxa" w:w="7560"/>
            <w:tcBorders>
              <w:top w:val="none"/>
              <w:left w:val="none"/>
              <w:bottom w:val="none"/>
              <w:right w:val="none"/>
            </w:tcBorders>
            <w:shd w:fill="FCE4D6" w:val="clear"/>
            <w:tcMar>
              <w:top w:type="dxa" w:w="60"/>
              <w:left w:type="dxa" w:w="140"/>
              <w:bottom w:type="dxa" w:w="60"/>
              <w:right w:type="dxa" w:w="100"/>
            </w:tcMar>
            <w:vAlign w:val="center"/>
          </w:tcPr>
          <w:p>
            <w:r>
              <w:rPr>
                <w:rFonts w:ascii="Arial" w:cs="Arial" w:eastAsia="Arial" w:hAnsi="Arial"/>
                <w:color w:val="333333"/>
                <w:sz w:val="20"/>
                <w:szCs w:val="20"/>
              </w:rPr>
              <w:t xml:space="preserve">Logic-breaking defects that will cause incorrect data, broken AI feedback loops, or unenforceable integrity.</w:t>
            </w:r>
          </w:p>
        </w:tc>
      </w:tr>
      <w:tr>
        <w:tc>
          <w:tcPr>
            <w:tcW w:type="dxa" w:w="1800"/>
            <w:tcBorders>
              <w:top w:val="none"/>
              <w:left w:val="none"/>
              <w:bottom w:val="none"/>
              <w:right w:val="none"/>
            </w:tcBorders>
            <w:shd w:fill="B886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WARN — 7</w:t>
            </w:r>
          </w:p>
        </w:tc>
        <w:tc>
          <w:tcPr>
            <w:tcW w:type="dxa" w:w="7560"/>
            <w:tcBorders>
              <w:top w:val="none"/>
              <w:left w:val="none"/>
              <w:bottom w:val="none"/>
              <w:right w:val="none"/>
            </w:tcBorders>
            <w:shd w:fill="FFF2CC" w:val="clear"/>
            <w:tcMar>
              <w:top w:type="dxa" w:w="60"/>
              <w:left w:type="dxa" w:w="140"/>
              <w:bottom w:type="dxa" w:w="60"/>
              <w:right w:type="dxa" w:w="100"/>
            </w:tcMar>
            <w:vAlign w:val="center"/>
          </w:tcPr>
          <w:p>
            <w:r>
              <w:rPr>
                <w:rFonts w:ascii="Arial" w:cs="Arial" w:eastAsia="Arial" w:hAnsi="Arial"/>
                <w:color w:val="333333"/>
                <w:sz w:val="20"/>
                <w:szCs w:val="20"/>
              </w:rPr>
              <w:t xml:space="preserve">Missing fields or weak modelling that will limit functionality or make queries unreliable.</w:t>
            </w:r>
          </w:p>
        </w:tc>
      </w:tr>
      <w:tr>
        <w:tc>
          <w:tcPr>
            <w:tcW w:type="dxa" w:w="1800"/>
            <w:tcBorders>
              <w:top w:val="none"/>
              <w:left w:val="none"/>
              <w:bottom w:val="none"/>
              <w:right w:val="none"/>
            </w:tcBorders>
            <w:shd w:fill="375623"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SUGGEST — 6</w:t>
            </w:r>
          </w:p>
        </w:tc>
        <w:tc>
          <w:tcPr>
            <w:tcW w:type="dxa" w:w="7560"/>
            <w:tcBorders>
              <w:top w:val="none"/>
              <w:left w:val="none"/>
              <w:bottom w:val="none"/>
              <w:right w:val="none"/>
            </w:tcBorders>
            <w:shd w:fill="E2EFDA" w:val="clear"/>
            <w:tcMar>
              <w:top w:type="dxa" w:w="60"/>
              <w:left w:type="dxa" w:w="140"/>
              <w:bottom w:type="dxa" w:w="60"/>
              <w:right w:type="dxa" w:w="100"/>
            </w:tcMar>
            <w:vAlign w:val="center"/>
          </w:tcPr>
          <w:p>
            <w:r>
              <w:rPr>
                <w:rFonts w:ascii="Arial" w:cs="Arial" w:eastAsia="Arial" w:hAnsi="Arial"/>
                <w:color w:val="333333"/>
                <w:sz w:val="20"/>
                <w:szCs w:val="20"/>
              </w:rPr>
              <w:t xml:space="preserve">Entities and fields absent from the ERD that are required for the AI use-case to function.</w:t>
            </w:r>
          </w:p>
        </w:tc>
      </w:tr>
    </w:tbl>
    <w:p>
      <w:pPr>
        <w:spacing w:before="200" w:after="0"/>
      </w:pPr>
    </w:p>
    <w:p>
      <w:pPr>
        <w:spacing w:before="80" w:after="80"/>
      </w:pPr>
      <w:r>
        <w:rPr>
          <w:rFonts w:ascii="Arial" w:cs="Arial" w:eastAsia="Arial" w:hAnsi="Arial"/>
          <w:color w:val="000000"/>
          <w:sz w:val="20"/>
          <w:szCs w:val="20"/>
        </w:rPr>
        <w:t xml:space="preserve">The most urgent gaps are: (1) no macro indicator identity in PARQUET_MACRO_SERIES, making the series data unqueryable; (2) no Portfolio layer, so multi-goal users cannot be modelled; (3) ASSET_MASTER lacks exchange/currency/sector data the AI will need; and (4) no AI feedback loop entity, which prevents the model from learning from its own recommendations.</w:t>
      </w:r>
    </w:p>
    <w:p>
      <w:pPr>
        <w:pBdr>
          <w:bottom w:val="single" w:color="D9D9D9" w:sz="4" w:space="1"/>
        </w:pBdr>
        <w:spacing w:before="160" w:after="160"/>
      </w:pPr>
    </w:p>
    <w:p>
      <w:pPr>
        <w:pStyle w:val="Heading1"/>
        <w:spacing w:before="360" w:after="120"/>
      </w:pPr>
      <w:r>
        <w:rPr>
          <w:rFonts w:ascii="Arial" w:cs="Arial" w:eastAsia="Arial" w:hAnsi="Arial"/>
          <w:b/>
          <w:bCs/>
          <w:color w:val="1B3A5C"/>
          <w:sz w:val="36"/>
          <w:szCs w:val="36"/>
        </w:rPr>
        <w:t xml:space="preserve">2. Entity-Level Issues</w:t>
      </w:r>
    </w:p>
    <w:p>
      <w:pPr>
        <w:spacing w:before="80" w:after="80"/>
      </w:pPr>
      <w:r>
        <w:rPr>
          <w:rFonts w:ascii="Arial" w:cs="Arial" w:eastAsia="Arial" w:hAnsi="Arial"/>
          <w:color w:val="000000"/>
          <w:sz w:val="20"/>
          <w:szCs w:val="20"/>
        </w:rPr>
        <w:t xml:space="preserve">Each entity below is evaluated independently. Severity codes: CRITICAL = data integrity or correctness broken; WARN = functional limitation; SUGGEST = enhancement strongly recommended.</w:t>
      </w:r>
    </w:p>
    <w:p>
      <w:pPr>
        <w:spacing w:before="160" w:after="0"/>
      </w:pPr>
    </w:p>
    <w:p>
      <w:pPr>
        <w:pStyle w:val="Heading2"/>
        <w:spacing w:before="280" w:after="80"/>
      </w:pPr>
      <w:r>
        <w:rPr>
          <w:rFonts w:ascii="Arial" w:cs="Arial" w:eastAsia="Arial" w:hAnsi="Arial"/>
          <w:b/>
          <w:bCs/>
          <w:color w:val="2E75B6"/>
          <w:sz w:val="28"/>
          <w:szCs w:val="28"/>
        </w:rPr>
        <w:t xml:space="preserve">2.1  USER_IDENTITY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USER_IDENTITY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Only auth fields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investor profile data. Risk tolerance level (Conservative / Moderate / Aggressive), investment horizon (months), income bracket, and tax status are absent. These are primary inputs for the AI recommendation engine.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Missing timestamps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updated_at column. Password resets and account changes cannot be audited.</w:t>
            </w:r>
          </w:p>
        </w:tc>
      </w:tr>
    </w:tbl>
    <w:p>
      <w:pPr>
        <w:spacing w:before="120" w:after="0"/>
      </w:pPr>
    </w:p>
    <w:p>
      <w:pPr>
        <w:pStyle w:val="Heading2"/>
        <w:spacing w:before="280" w:after="80"/>
      </w:pPr>
      <w:r>
        <w:rPr>
          <w:rFonts w:ascii="Arial" w:cs="Arial" w:eastAsia="Arial" w:hAnsi="Arial"/>
          <w:b/>
          <w:bCs/>
          <w:color w:val="2E75B6"/>
          <w:sz w:val="28"/>
          <w:szCs w:val="28"/>
        </w:rPr>
        <w:t xml:space="preserve">2.2  RISK_SETTINGS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RISK_SETTINGS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Sparse risk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max_drawdown_pct and max_exposure_limit are execution-level guardrails, not a risk profile. Missing: risk_tolerance_level (enum), investment_horizon_months, liquidity_preference, sector_exclusions (JSON array).</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versioning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When risk settings change, there is no history. A trade placed against old settings cannot be audited. Add valid_from / valid_to for SCD Type 2.</w:t>
            </w:r>
          </w:p>
        </w:tc>
      </w:tr>
    </w:tbl>
    <w:p>
      <w:pPr>
        <w:spacing w:before="120" w:after="0"/>
      </w:pPr>
    </w:p>
    <w:p>
      <w:pPr>
        <w:pStyle w:val="Heading2"/>
        <w:spacing w:before="280" w:after="80"/>
      </w:pPr>
      <w:r>
        <w:rPr>
          <w:rFonts w:ascii="Arial" w:cs="Arial" w:eastAsia="Arial" w:hAnsi="Arial"/>
          <w:b/>
          <w:bCs/>
          <w:color w:val="2E75B6"/>
          <w:sz w:val="28"/>
          <w:szCs w:val="28"/>
        </w:rPr>
        <w:t xml:space="preserve">2.3  ASSET_MASTER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ASSET_MASTER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exchange or currency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AAPL on NASDAQ and AAPL as an ADR are different instruments. Without exchange and denomination_currency, the AI cannot correctly price positions or compare assets cross-currency.</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asset_class is a free 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 an enum or FK to ASSET_CLASS_LOOKUP. Valid values: EQUITY, BOND_GOVT, BOND_CORP, FOREX, COMMODITY, CRYPTO, ETF, FUND. This drives the AI comparison logic.</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type-specific fields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Bonds need maturity_date and coupon_rate. Forex needs base_currency and quote_currency. These cannot reasonably live in a generic master table — introduce subtype tables or a JSON metadata column.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data_frequency on master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This is ingestion config, not asset identity. Move to INGESTION_CONFIG or INGESTION_LOG.</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SUGGEST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sector / industry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sector and industry fields. These are required for the AI to suggest alternatives in the same space (e.g. "Google is also a Large Cap Tech equity with better P/E").</w:t>
            </w:r>
          </w:p>
        </w:tc>
      </w:tr>
    </w:tbl>
    <w:p>
      <w:pPr>
        <w:spacing w:before="120" w:after="0"/>
      </w:pPr>
    </w:p>
    <w:p>
      <w:pPr>
        <w:pStyle w:val="Heading2"/>
        <w:spacing w:before="280" w:after="80"/>
      </w:pPr>
      <w:r>
        <w:rPr>
          <w:rFonts w:ascii="Arial" w:cs="Arial" w:eastAsia="Arial" w:hAnsi="Arial"/>
          <w:b/>
          <w:bCs/>
          <w:color w:val="2E75B6"/>
          <w:sz w:val="28"/>
          <w:szCs w:val="28"/>
        </w:rPr>
        <w:t xml:space="preserve">2.4  TRANSACTION_LEDGER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TRANSACTION_LEDGER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Missing fee fields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commission, tax_withheld, or settlement_currency. Net P&amp;L calculations will be wrong without brokerage costs.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transaction_group_id is 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Should be a UUID FK to an ORDER_GROUP table. This loses referential integrity and makes grouping multi-leg trades (e.g. buy + buy-to-cover) unreliable.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order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order_type (MARKET / LIMIT / STOP). Needed for execution quality analysis.</w:t>
            </w:r>
          </w:p>
        </w:tc>
      </w:tr>
    </w:tbl>
    <w:p>
      <w:pPr>
        <w:spacing w:before="120" w:after="0"/>
      </w:pPr>
    </w:p>
    <w:p>
      <w:pPr>
        <w:pStyle w:val="Heading2"/>
        <w:spacing w:before="280" w:after="80"/>
      </w:pPr>
      <w:r>
        <w:rPr>
          <w:rFonts w:ascii="Arial" w:cs="Arial" w:eastAsia="Arial" w:hAnsi="Arial"/>
          <w:b/>
          <w:bCs/>
          <w:color w:val="2E75B6"/>
          <w:sz w:val="28"/>
          <w:szCs w:val="28"/>
        </w:rPr>
        <w:t xml:space="preserve">2.5  POSITION_JOURNAL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POSITION_JOURNAL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is_current flag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SCD Type 2 requires a current-row indicator for efficient "give me live positions" queries. Without it every query must MAX(valid_from) which is expensive at scale.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P&amp;L columns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realized_pnl and unrealized_pnl. These are critical for the AI to assess portfolio performance and risk exposure.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currency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Positions in multi-currency portfolios have no denomination. A USD Apple position and a EUR LVMH position will be summed incorrectly.</w:t>
            </w:r>
          </w:p>
        </w:tc>
      </w:tr>
    </w:tbl>
    <w:p>
      <w:pPr>
        <w:spacing w:before="120" w:after="0"/>
      </w:pPr>
    </w:p>
    <w:p>
      <w:pPr>
        <w:pStyle w:val="Heading2"/>
        <w:spacing w:before="280" w:after="80"/>
      </w:pPr>
      <w:r>
        <w:rPr>
          <w:rFonts w:ascii="Arial" w:cs="Arial" w:eastAsia="Arial" w:hAnsi="Arial"/>
          <w:b/>
          <w:bCs/>
          <w:color w:val="2E75B6"/>
          <w:sz w:val="28"/>
          <w:szCs w:val="28"/>
        </w:rPr>
        <w:t xml:space="preserve">2.6  AI_RECOMMENDATION_LOG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AI_RECOMMENDATION_LOG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feedback loop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single most important omission. Without a user_acted (bool), action_taken_at (datetime), and outcome_pct (decimal after N days), the AI cannot learn from its own calls. This kills any improvement cycle.</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model version / context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model_version and context_snapshot_id (or prompt_hash). Two identical-looking rows may have come from different model versions or different market data snapshots. Reproducibility is impossible.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expiry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Recommendations go stale. Missing expires_at means the UI could surface a 6-month-old "BUY AAPL" without warning.</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driving_factors is 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Unqueryable for analytics. Either flatten the top-N factors into discrete columns or maintain a companion RECOMMENDATION_FACTOR table.</w:t>
            </w:r>
          </w:p>
        </w:tc>
      </w:tr>
    </w:tbl>
    <w:p>
      <w:pPr>
        <w:spacing w:before="120" w:after="0"/>
      </w:pPr>
    </w:p>
    <w:p>
      <w:pPr>
        <w:pStyle w:val="Heading2"/>
        <w:spacing w:before="280" w:after="80"/>
      </w:pPr>
      <w:r>
        <w:rPr>
          <w:rFonts w:ascii="Arial" w:cs="Arial" w:eastAsia="Arial" w:hAnsi="Arial"/>
          <w:b/>
          <w:bCs/>
          <w:color w:val="2E75B6"/>
          <w:sz w:val="28"/>
          <w:szCs w:val="28"/>
        </w:rPr>
        <w:t xml:space="preserve">2.7  PARQUET_TICK_DATA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PARQUET_TICK_DATA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Single price field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Financial time-series requires OHLCV: open, high, low, close, volume, and adjusted_close (for splits/dividends). A single price column is insufficient for any technical analysis indicator (RSI, MACD, Bollinger Bands).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bid / ask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 real-time or intraday data, bid and ask are needed to calculate spread. Relevant for execution cost modelling.</w:t>
            </w:r>
          </w:p>
        </w:tc>
      </w:tr>
    </w:tbl>
    <w:p>
      <w:pPr>
        <w:spacing w:before="120" w:after="0"/>
      </w:pPr>
    </w:p>
    <w:p>
      <w:pPr>
        <w:pStyle w:val="Heading2"/>
        <w:spacing w:before="280" w:after="80"/>
      </w:pPr>
      <w:r>
        <w:rPr>
          <w:rFonts w:ascii="Arial" w:cs="Arial" w:eastAsia="Arial" w:hAnsi="Arial"/>
          <w:b/>
          <w:bCs/>
          <w:color w:val="2E75B6"/>
          <w:sz w:val="28"/>
          <w:szCs w:val="28"/>
        </w:rPr>
        <w:t xml:space="preserve">2.8  PARQUET_MACRO_SERIES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PARQUET_MACRO_SERIES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series identifier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This is the most structurally broken entity. Without a series_id or indicator_name FK, a row with reported_value = 3.2 is meaningless — it could be CPI, Fed Funds Rate, GDP growth, or unemployment. The AI cannot use this data. Add a FK to a MACRO_INDICATOR_MASTER entity.</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unit or frequency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unit (%, USD billions, index points) and release_frequency. Required for correct interpretation and normalisation.</w:t>
            </w:r>
          </w:p>
        </w:tc>
      </w:tr>
    </w:tbl>
    <w:p>
      <w:pPr>
        <w:spacing w:before="120" w:after="0"/>
      </w:pPr>
    </w:p>
    <w:p>
      <w:pPr>
        <w:pStyle w:val="Heading2"/>
        <w:spacing w:before="280" w:after="80"/>
      </w:pPr>
      <w:r>
        <w:rPr>
          <w:rFonts w:ascii="Arial" w:cs="Arial" w:eastAsia="Arial" w:hAnsi="Arial"/>
          <w:b/>
          <w:bCs/>
          <w:color w:val="2E75B6"/>
          <w:sz w:val="28"/>
          <w:szCs w:val="28"/>
        </w:rPr>
        <w:t xml:space="preserve">2.9  PARQUET_NLP_SENTIMENT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PARQUET_NLP_SENTIMENT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Issue &amp; Recommendation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source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source_type enum (NEWS / SEC_FILING / EARNINGS_CALL / SOCIAL_MEDIA). Sentiment from an 8-K filing should be weighted very differently from a Reddit post.</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source_document_id is 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Ambiguous. Should FK to a DOCUMENT_REGISTRY or carry a url and publisher field. The AI cannot fetch the original document without this.</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SUGGEST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Only compound score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Consider storing positive_score and negative_score separately alongside compound_polarity_score. Compound masks polarity distribution (a neutral score can mean balanced positive+negative or just bland).</w:t>
            </w:r>
          </w:p>
        </w:tc>
      </w:tr>
    </w:tbl>
    <w:p>
      <w:pPr>
        <w:pBdr>
          <w:bottom w:val="single" w:color="D9D9D9" w:sz="4" w:space="1"/>
        </w:pBdr>
        <w:spacing w:before="160" w:after="160"/>
      </w:pPr>
    </w:p>
    <w:p>
      <w:pPr>
        <w:pStyle w:val="Heading1"/>
        <w:spacing w:before="360" w:after="120"/>
      </w:pPr>
      <w:r>
        <w:rPr>
          <w:rFonts w:ascii="Arial" w:cs="Arial" w:eastAsia="Arial" w:hAnsi="Arial"/>
          <w:b/>
          <w:bCs/>
          <w:color w:val="1B3A5C"/>
          <w:sz w:val="36"/>
          <w:szCs w:val="36"/>
        </w:rPr>
        <w:t xml:space="preserve">3. Missing Entities</w:t>
      </w:r>
    </w:p>
    <w:p>
      <w:pPr>
        <w:spacing w:before="80" w:after="80"/>
      </w:pPr>
      <w:r>
        <w:rPr>
          <w:rFonts w:ascii="Arial" w:cs="Arial" w:eastAsia="Arial" w:hAnsi="Arial"/>
          <w:color w:val="000000"/>
          <w:sz w:val="20"/>
          <w:szCs w:val="20"/>
        </w:rPr>
        <w:t xml:space="preserve">These entities are absent from the ERD but are required for the described AI use-case to function correctly. They are not optional enhancements — without them, core features cannot be built.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Entity</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Fields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Why It Is Needed</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PORTFOLIO</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id, user_id FK, name, base_currency, objective (GROWTH/INCOME/PRESERVATION), created_at</w:t>
            </w:r>
          </w:p>
        </w:tc>
        <w:tc>
          <w:tcPr>
            <w:tcW w:type="dxa" w:w="3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Users may have multiple portfolios (e.g. retirement vs speculative). Without this, all positions are merged into one undifferentiated heap and risk cannot be calculated per-goal.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MACRO_INDICATOR_MASTER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id, series_code (e.g. FEDFUNDS), name, source (FRED/BLS/ECB), unit, country_code, release_frequency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to make PARQUET_MACRO_SERIES queryable. Without it, macro data is a table of unidentified numbers.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RECOMMENDATION_FEEDBACK</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id, recommendation_id FK, user_acted bool, action_taken_at, outcome_pct_7d, outcome_pct_30d, user_rating (1–5)</w:t>
            </w:r>
          </w:p>
        </w:tc>
        <w:tc>
          <w:tcPr>
            <w:tcW w:type="dxa" w:w="3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improvement loop. Tracks whether recommendations were acted upon and what the outcome was. Without this the model cannot be evaluated or fine-tuned.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COMPARISON_SESSION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id, user_id FK, budget, horizon_months, assets_compared (JSON), winner_asset_id FK, generated_at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core user workflow is "compare Apple vs Google vs 2yr Bond." This session must be persisted to show history and feed the AI with context about user preferences.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ALERT_QUEUE</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id, user_id FK, watchlist_id FK, alert_type, trigger_value, triggered_at, delivered_at, channel (EMAIL/PUSH/WEBHOOK)</w:t>
            </w:r>
          </w:p>
        </w:tc>
        <w:tc>
          <w:tcPr>
            <w:tcW w:type="dxa" w:w="3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WATCHLIST has trigger thresholds but no delivery mechanism. An alert queue decouples detection from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DOCUMENT_REGISTRY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id, asset_id FK, doc_type (SEC_8K/10K/EARNINGS), source_url, filed_at, ingestion_id FK, raw_text_path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AI needs to fetch and reason over SEC filings. Without a registry there is no way to retrieve the source document for a sentiment score.</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ASSET_CLASS_LOOKUP</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id, class_code, class_name, comparison_allowed_with (JSON array)</w:t>
            </w:r>
          </w:p>
        </w:tc>
        <w:tc>
          <w:tcPr>
            <w:tcW w:type="dxa" w:w="3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Normalises asset_class. Encodes which classes are comparable (e.g. the AI should not compare a bond with a crypto without caveats).</w:t>
            </w:r>
          </w:p>
        </w:tc>
      </w:tr>
    </w:tbl>
    <w:p>
      <w:pPr>
        <w:pBdr>
          <w:bottom w:val="single" w:color="D9D9D9" w:sz="4" w:space="1"/>
        </w:pBdr>
        <w:spacing w:before="160" w:after="160"/>
      </w:pPr>
    </w:p>
    <w:p>
      <w:pPr>
        <w:pStyle w:val="Heading1"/>
        <w:spacing w:before="360" w:after="120"/>
      </w:pPr>
      <w:r>
        <w:rPr>
          <w:rFonts w:ascii="Arial" w:cs="Arial" w:eastAsia="Arial" w:hAnsi="Arial"/>
          <w:b/>
          <w:bCs/>
          <w:color w:val="1B3A5C"/>
          <w:sz w:val="36"/>
          <w:szCs w:val="36"/>
        </w:rPr>
        <w:t xml:space="preserve">4. Cross-Store Integrity Issues</w:t>
      </w:r>
    </w:p>
    <w:p>
      <w:pPr>
        <w:pStyle w:val="Heading2"/>
        <w:spacing w:before="280" w:after="80"/>
      </w:pPr>
      <w:r>
        <w:rPr>
          <w:rFonts w:ascii="Arial" w:cs="Arial" w:eastAsia="Arial" w:hAnsi="Arial"/>
          <w:b/>
          <w:bCs/>
          <w:color w:val="2E75B6"/>
          <w:sz w:val="28"/>
          <w:szCs w:val="28"/>
        </w:rPr>
        <w:t xml:space="preserve">4.1  Unenforced Foreign Keys Between MariaDB and DuckDB</w:t>
      </w:r>
    </w:p>
    <w:p>
      <w:pPr>
        <w:spacing w:before="80" w:after="80"/>
      </w:pPr>
      <w:r>
        <w:rPr>
          <w:rFonts w:ascii="Arial" w:cs="Arial" w:eastAsia="Arial" w:hAnsi="Arial"/>
          <w:color w:val="000000"/>
          <w:sz w:val="20"/>
          <w:szCs w:val="20"/>
        </w:rPr>
        <w:t xml:space="preserve">PARQUET_TICK_DATA, PARQUET_MACRO_SERIES, and PARQUET_NLP_SENTIMENT all carry FKs to both ASSET_MASTER (MariaDB) and INGESTION_LOG (MariaDB). These constraints cannot be enforced at the database level because the tables live in different engines.</w:t>
      </w:r>
    </w:p>
    <w:p>
      <w:pPr>
        <w:spacing w:before="80" w:after="80"/>
      </w:pPr>
      <w:r>
        <w:rPr>
          <w:rFonts w:ascii="Arial" w:cs="Arial" w:eastAsia="Arial" w:hAnsi="Arial"/>
          <w:b/>
          <w:bCs/>
          <w:color w:val="000000"/>
          <w:sz w:val="20"/>
          <w:szCs w:val="20"/>
        </w:rPr>
        <w:t xml:space="preserve">Recommended mitigations:</w:t>
      </w:r>
    </w:p>
    <w:p>
      <w:pPr>
        <w:pStyle w:val="ListParagraph"/>
        <w:numPr>
          <w:ilvl w:val="0"/>
          <w:numId w:val="2"/>
        </w:numPr>
        <w:spacing w:before="40" w:after="40"/>
      </w:pPr>
      <w:r>
        <w:rPr>
          <w:rFonts w:ascii="Arial" w:cs="Arial" w:eastAsia="Arial" w:hAnsi="Arial"/>
          <w:color w:val="000000"/>
          <w:sz w:val="20"/>
          <w:szCs w:val="20"/>
        </w:rPr>
        <w:t xml:space="preserve">Write an ingestion validator script (Python) that checks asset_id and ingestion_id exist in MariaDB before writing any Parquet file.</w:t>
      </w:r>
    </w:p>
    <w:p>
      <w:pPr>
        <w:pStyle w:val="ListParagraph"/>
        <w:numPr>
          <w:ilvl w:val="0"/>
          <w:numId w:val="2"/>
        </w:numPr>
        <w:spacing w:before="40" w:after="40"/>
      </w:pPr>
      <w:r>
        <w:rPr>
          <w:rFonts w:ascii="Arial" w:cs="Arial" w:eastAsia="Arial" w:hAnsi="Arial"/>
          <w:color w:val="000000"/>
          <w:sz w:val="20"/>
          <w:szCs w:val="20"/>
        </w:rPr>
        <w:t xml:space="preserve">Add a PARQUET_MANIFEST table in MariaDB that records every written Parquet file with row counts, schema hash, and asset_id list. This replaces the FK with a verifiable audit trail.</w:t>
      </w:r>
    </w:p>
    <w:p>
      <w:pPr>
        <w:pStyle w:val="ListParagraph"/>
        <w:numPr>
          <w:ilvl w:val="0"/>
          <w:numId w:val="2"/>
        </w:numPr>
        <w:spacing w:before="40" w:after="40"/>
      </w:pPr>
      <w:r>
        <w:rPr>
          <w:rFonts w:ascii="Arial" w:cs="Arial" w:eastAsia="Arial" w:hAnsi="Arial"/>
          <w:color w:val="000000"/>
          <w:sz w:val="20"/>
          <w:szCs w:val="20"/>
        </w:rPr>
        <w:t xml:space="preserve">Schedule a daily reconciliation job that reports orphaned Parquet rows.</w:t>
      </w:r>
    </w:p>
    <w:p>
      <w:pPr>
        <w:spacing w:before="120" w:after="0"/>
      </w:pPr>
    </w:p>
    <w:p>
      <w:pPr>
        <w:pStyle w:val="Heading2"/>
        <w:spacing w:before="280" w:after="80"/>
      </w:pPr>
      <w:r>
        <w:rPr>
          <w:rFonts w:ascii="Arial" w:cs="Arial" w:eastAsia="Arial" w:hAnsi="Arial"/>
          <w:b/>
          <w:bCs/>
          <w:color w:val="2E75B6"/>
          <w:sz w:val="28"/>
          <w:szCs w:val="28"/>
        </w:rPr>
        <w:t xml:space="preserve">4.2  POSITION_JOURNAL SCD2 Gap Risk</w:t>
      </w:r>
    </w:p>
    <w:p>
      <w:pPr>
        <w:spacing w:before="80" w:after="80"/>
      </w:pPr>
      <w:r>
        <w:rPr>
          <w:rFonts w:ascii="Arial" w:cs="Arial" w:eastAsia="Arial" w:hAnsi="Arial"/>
          <w:color w:val="000000"/>
          <w:sz w:val="20"/>
          <w:szCs w:val="20"/>
        </w:rPr>
        <w:t xml:space="preserve">The valid_from / valid_to pattern is correct in principle, but there is no constraint preventing overlapping periods for the same (user_id, asset_id) pair. A bug in the update procedure will silently create duplicate "current" rows.</w:t>
      </w:r>
    </w:p>
    <w:p>
      <w:pPr>
        <w:pStyle w:val="ListParagraph"/>
        <w:numPr>
          <w:ilvl w:val="0"/>
          <w:numId w:val="2"/>
        </w:numPr>
        <w:spacing w:before="40" w:after="40"/>
      </w:pPr>
      <w:r>
        <w:rPr>
          <w:rFonts w:ascii="Arial" w:cs="Arial" w:eastAsia="Arial" w:hAnsi="Arial"/>
          <w:color w:val="000000"/>
          <w:sz w:val="20"/>
          <w:szCs w:val="20"/>
        </w:rPr>
        <w:t xml:space="preserve">Add a partial unique index: UNIQUE(user_id, asset_id) WHERE valid_to IS NULL. Only one open row is then possible.</w:t>
      </w:r>
    </w:p>
    <w:p>
      <w:pPr>
        <w:pStyle w:val="ListParagraph"/>
        <w:numPr>
          <w:ilvl w:val="0"/>
          <w:numId w:val="2"/>
        </w:numPr>
        <w:spacing w:before="40" w:after="40"/>
      </w:pPr>
      <w:r>
        <w:rPr>
          <w:rFonts w:ascii="Arial" w:cs="Arial" w:eastAsia="Arial" w:hAnsi="Arial"/>
          <w:color w:val="000000"/>
          <w:sz w:val="20"/>
          <w:szCs w:val="20"/>
        </w:rPr>
        <w:t xml:space="preserve">Enforce that INSERT of a new row atomically sets valid_to on the previous row in a single transaction.</w:t>
      </w:r>
    </w:p>
    <w:p>
      <w:pPr>
        <w:spacing w:before="120" w:after="0"/>
      </w:pPr>
    </w:p>
    <w:p>
      <w:pPr>
        <w:pStyle w:val="Heading2"/>
        <w:spacing w:before="280" w:after="80"/>
      </w:pPr>
      <w:r>
        <w:rPr>
          <w:rFonts w:ascii="Arial" w:cs="Arial" w:eastAsia="Arial" w:hAnsi="Arial"/>
          <w:b/>
          <w:bCs/>
          <w:color w:val="2E75B6"/>
          <w:sz w:val="28"/>
          <w:szCs w:val="28"/>
        </w:rPr>
        <w:t xml:space="preserve">4.3  Currency Denomination Mismatch</w:t>
      </w:r>
    </w:p>
    <w:p>
      <w:pPr>
        <w:spacing w:before="80" w:after="80"/>
      </w:pPr>
      <w:r>
        <w:rPr>
          <w:rFonts w:ascii="Arial" w:cs="Arial" w:eastAsia="Arial" w:hAnsi="Arial"/>
          <w:color w:val="000000"/>
          <w:sz w:val="20"/>
          <w:szCs w:val="20"/>
        </w:rPr>
        <w:t xml:space="preserve">TRANSACTION_LEDGER, POSITION_JOURNAL, and RISK_SETTINGS all store decimal values with no currency column. A user holding AAPL (USD), LVMH (EUR), and JGB bonds (JPY) will have their values summed incorrectly in any aggregate query. Every monetary decimal column must carry a companion currency_code (ISO 4217) or every monetary value must be normalised to a base currency at write time with the FX rate stored alongside.</w:t>
      </w:r>
    </w:p>
    <w:p>
      <w:pPr>
        <w:pBdr>
          <w:bottom w:val="single" w:color="D9D9D9" w:sz="4" w:space="1"/>
        </w:pBdr>
        <w:spacing w:before="160" w:after="160"/>
      </w:pPr>
    </w:p>
    <w:p>
      <w:pPr>
        <w:pStyle w:val="Heading1"/>
        <w:spacing w:before="360" w:after="120"/>
      </w:pPr>
      <w:r>
        <w:rPr>
          <w:rFonts w:ascii="Arial" w:cs="Arial" w:eastAsia="Arial" w:hAnsi="Arial"/>
          <w:b/>
          <w:bCs/>
          <w:color w:val="1B3A5C"/>
          <w:sz w:val="36"/>
          <w:szCs w:val="36"/>
        </w:rPr>
        <w:t xml:space="preserve">5. Technology &amp; Architecture Suggestions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Current / Proposed</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Recommended Add-on</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OLTP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MariaDB / InnoDB</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Keep — correct choice</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Strict ACID, FK enforcement, mature Python drivers.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OLAP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DuckDB + Parquet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Keep — correct choice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Columnar, fast aggregation, zero-copy Parquet reads.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Apache Airflow or Prefect</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Schedule ingestion jobs, enforce SLAs, retry failed runs, log lineage.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LLM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LangChain or LlamaIndex</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Multi-step reasoning over SEC filings, macro data, and tick data. Tool-use for live price lookups.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Vector Store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pgvector or ChromaDB</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Embed SEC 10-K / 8-K text for RAG retrieval. Required for the AI to cite specific filing passages.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Redis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Cache latest prices, user sessions, and hot recommendation results. Prevents repeated DuckDB scans.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Message Queue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Redis Streams or RabbitMQ</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Async delivery for ALERT_QUEUE. Decouples detection from email/push send.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yfinance, Alpha Vantage, SEC EDGAR API, FRED API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Free-tier APIs covering equities, bonds, macro series, and filing text.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Secrets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python-dotenv + Vault (prod)</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 keys and DB credentials must not live in code or config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defined)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pytest + Great Expectations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Unit test AI logic; data-quality assertions on every ingestion run.</w:t>
            </w:r>
          </w:p>
        </w:tc>
      </w:tr>
    </w:tbl>
    <w:p>
      <w:pPr>
        <w:pBdr>
          <w:bottom w:val="single" w:color="D9D9D9" w:sz="4" w:space="1"/>
        </w:pBdr>
        <w:spacing w:before="160" w:after="160"/>
      </w:pPr>
    </w:p>
    <w:p>
      <w:pPr>
        <w:pStyle w:val="Heading1"/>
        <w:spacing w:before="360" w:after="120"/>
      </w:pPr>
      <w:r>
        <w:rPr>
          <w:rFonts w:ascii="Arial" w:cs="Arial" w:eastAsia="Arial" w:hAnsi="Arial"/>
          <w:b/>
          <w:bCs/>
          <w:color w:val="1B3A5C"/>
          <w:sz w:val="36"/>
          <w:szCs w:val="36"/>
        </w:rPr>
        <w:t xml:space="preserve">6. Prioritised Fix Checklist</w:t>
      </w:r>
    </w:p>
    <w:p>
      <w:pPr>
        <w:spacing w:before="80" w:after="80"/>
      </w:pPr>
      <w:r>
        <w:rPr>
          <w:rFonts w:ascii="Arial" w:cs="Arial" w:eastAsia="Arial" w:hAnsi="Arial"/>
          <w:color w:val="000000"/>
          <w:sz w:val="20"/>
          <w:szCs w:val="20"/>
        </w:rPr>
        <w:t xml:space="preserve">Work through these in order. Items marked P0 block all other development.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Area</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P0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MACRO_SERIES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MACRO_INDICATOR_MASTER and FK in PARQUET_MACRO_SERIES. Without this, macro data is useless.</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TICK_DATA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Replace single price column with open, high, low, close, adjusted_close, volume.</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P0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AI_LOG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model_version, context_snapshot_id, expires_at, user_acted, outcome_pct_30d.</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ASSET_MASTER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exchange, denomination_currency, sector, industry. Add asset subtype tables or JSON metadata for bonds / forex.</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PORTFOLIO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PORTFOLIO entity and link POSITION_JOURNAL and TRANSACTION_LEDGER to it.</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CURRENCY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currency_code to every monetary decimal column in TRANSACTION_LEDGER and POSITION_JOURNAL.</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POSITION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is_current flag and partial unique index to prevent duplicate open positions.</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FEEDBACK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RECOMMENDATION_FEEDBACK entity.</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COMPARISON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COMPARISON_SESSION to persist user research sessions.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DOCUMENTS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DOCUMENT_REGISTRY to track SEC filings for RAG retrieval.</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ALERTS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ALERT_QUEUE to give WATCHLIST a delivery mechanism.</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Expand RISK_SETTINGS with risk_tolerance_level, investment_horizon, sector_exclusions.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P3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INFRA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Airflow/Prefect for ingestion, Redis for cache/queue, vector store for document RAG.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INTEGRITY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PARQUET_MANIFEST table and daily reconciliation job for cross-store FK verification.</w:t>
            </w:r>
          </w:p>
        </w:tc>
      </w:tr>
    </w:tbl>
    <w:p>
      <w:pPr>
        <w:spacing w:before="200" w:after="0"/>
      </w:pPr>
    </w:p>
    <w:p>
      <w:pPr>
        <w:pBdr>
          <w:bottom w:val="single" w:color="D9D9D9" w:sz="4" w:space="1"/>
        </w:pBdr>
        <w:spacing w:before="160" w:after="160"/>
      </w:pPr>
    </w:p>
    <w:p>
      <w:pPr>
        <w:spacing w:before="120" w:after="0"/>
      </w:pPr>
    </w:p>
    <w:p>
      <w:pPr>
        <w:jc w:val="center"/>
      </w:pPr>
      <w:r>
        <w:rPr>
          <w:rFonts w:ascii="Arial" w:cs="Arial" w:eastAsia="Arial" w:hAnsi="Arial"/>
          <w:color w:val="888888"/>
          <w:sz w:val="18"/>
          <w:szCs w:val="18"/>
        </w:rPr>
        <w:t xml:space="preserve">End of Review — Financial Tracking System ERD 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2026-03-04T19:08:39.586Z</dcterms:created>
  <dcterms:modified xsi:type="dcterms:W3CDTF">2026-03-04T19:08:39.587Z</dcterms:modified>
</cp:coreProperties>
</file>

<file path=docProps/custom.xml><?xml version="1.0" encoding="utf-8"?>
<Properties xmlns="http://schemas.openxmlformats.org/officeDocument/2006/custom-properties" xmlns:vt="http://schemas.openxmlformats.org/officeDocument/2006/docPropsVTypes"/>
</file>