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10B981"/>
          <w:sz w:val="72"/>
          <w:szCs w:val="72"/>
        </w:rPr>
        <w:t xml:space="preserve">NIMBUS</w:t>
      </w:r>
    </w:p>
    <w:p>
      <w:pPr>
        <w:spacing w:after="120"/>
        <w:jc w:val="center"/>
      </w:pPr>
      <w:r>
        <w:rPr>
          <w:rFonts w:ascii="Arial" w:cs="Arial" w:eastAsia="Arial" w:hAnsi="Arial"/>
          <w:color w:val="6B7280"/>
          <w:spacing w:val="400"/>
          <w:sz w:val="36"/>
          <w:szCs w:val="36"/>
        </w:rPr>
        <w:t xml:space="preserve">EMERALD SLATE</w:t>
      </w:r>
    </w:p>
    <w:p>
      <w:pPr>
        <w:spacing w:after="80"/>
      </w:pPr>
    </w:p>
    <w:p>
      <w:pPr>
        <w:pBdr>
          <w:top w:val="single" w:color="10B981" w:sz="2" w:space="8"/>
          <w:bottom w:val="single" w:color="10B981" w:sz="2" w:space="8"/>
        </w:pBdr>
        <w:spacing w:before="200" w:after="200"/>
        <w:jc w:val="center"/>
      </w:pPr>
      <w:r>
        <w:rPr>
          <w:rFonts w:ascii="Arial" w:cs="Arial" w:eastAsia="Arial" w:hAnsi="Arial"/>
          <w:color w:val="1A1A2E"/>
          <w:sz w:val="28"/>
          <w:szCs w:val="28"/>
        </w:rPr>
        <w:t xml:space="preserve">Trading Terminal Manual &amp; Strategy Guide</w:t>
      </w:r>
    </w:p>
    <w:p>
      <w:pPr>
        <w:spacing w:after="80"/>
      </w:pPr>
    </w:p>
    <w:p>
      <w:pPr>
        <w:jc w:val="center"/>
      </w:pPr>
      <w:r>
        <w:rPr>
          <w:rFonts w:ascii="Arial" w:cs="Arial" w:eastAsia="Arial" w:hAnsi="Arial"/>
          <w:color w:val="6B7280"/>
          <w:sz w:val="20"/>
          <w:szCs w:val="20"/>
        </w:rPr>
        <w:t xml:space="preserve">Walk-Forward Validated  |  NSE Equities &amp; ETFs  |  v18</w:t>
      </w:r>
    </w:p>
    <w:p>
      <w:pPr>
        <w:spacing w:after="600"/>
        <w:jc w:val="center"/>
      </w:pPr>
      <w:r>
        <w:rPr>
          <w:rFonts w:ascii="Arial" w:cs="Arial" w:eastAsia="Arial" w:hAnsi="Arial"/>
          <w:color w:val="6B7280"/>
          <w:sz w:val="20"/>
          <w:szCs w:val="20"/>
        </w:rPr>
        <w:t xml:space="preserve">March 2026</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6B7280"/>
          <w:sz w:val="18"/>
          <w:szCs w:val="18"/>
        </w:rPr>
        <w:t xml:space="preserve">VALIDATION: </w:t>
      </w:r>
      <w:r>
        <w:rPr>
          <w:rFonts w:ascii="Arial" w:cs="Arial" w:eastAsia="Arial" w:hAnsi="Arial"/>
          <w:color w:val="10B981"/>
          <w:sz w:val="18"/>
          <w:szCs w:val="18"/>
        </w:rPr>
        <w:t xml:space="preserve">1,733 OOS equity trades (Sharpe 1.17)  |  105 OOS ETF trades (Sharpe 2.15)</w:t>
      </w:r>
    </w:p>
    <w:p>
      <w:r>
        <w:br w:type="page"/>
      </w:r>
    </w:p>
    <w:p>
      <w:pPr>
        <w:pStyle w:val="Heading1"/>
      </w:pPr>
      <w:r>
        <w:t xml:space="preserve">1. System Overview</w:t>
      </w:r>
    </w:p>
    <w:p>
      <w:pPr>
        <w:spacing w:after="120"/>
      </w:pPr>
      <w:r>
        <w:rPr>
          <w:rFonts w:ascii="Arial" w:cs="Arial" w:eastAsia="Arial" w:hAnsi="Arial"/>
          <w:sz w:val="21"/>
          <w:szCs w:val="21"/>
        </w:rPr>
        <w:t xml:space="preserve">NIMBUS Emerald Slate is a PyQt6 desktop trading terminal for NSE (National Stock Exchange of India). It combines two independently validated strategies, a real-time options overlay, filing intelligence, and sector rotation analysis into a single decision-support interface.</w:t>
      </w:r>
    </w:p>
    <w:p>
      <w:pPr>
        <w:spacing w:after="120"/>
      </w:pPr>
      <w:r>
        <w:rPr>
          <w:rFonts w:ascii="Arial" w:cs="Arial" w:eastAsia="Arial" w:hAnsi="Arial"/>
          <w:sz w:val="21"/>
          <w:szCs w:val="21"/>
        </w:rPr>
        <w:t xml:space="preserve">The system does not execute trades. It generates scored, ranked signals with actionable verdicts, exit rules, and risk notes. Every parameter in the system was selected through parameter sweeps and walk-forward optimization on historical data.</w:t>
      </w:r>
    </w:p>
    <w:p>
      <w:pPr>
        <w:pStyle w:val="Heading2"/>
      </w:pPr>
      <w:r>
        <w:t xml:space="preserve">1.1 Two Core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
            </w:r>
          </w:p>
        </w:tc>
        <w:tc>
          <w:tcPr>
            <w:tcW w:type="dxa" w:w="358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Mean Reversion (Equities)</w:t>
            </w:r>
          </w:p>
        </w:tc>
        <w:tc>
          <w:tcPr>
            <w:tcW w:type="dxa" w:w="358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Momentum (ETFs)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Universe</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NIFTY 100 / F&amp;O stocks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31 NSE ETFs (gold, silver, sectoral, index, intl)</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Entry Logic</w:t>
            </w:r>
          </w:p>
        </w:tc>
        <w:tc>
          <w:tcPr>
            <w:tcW w:type="dxa" w:w="35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Oversold bounce: WR&lt;-30, below SMA(20), MFI≥30, DD≤-5%, streak≥2</w:t>
            </w:r>
          </w:p>
        </w:tc>
        <w:tc>
          <w:tcPr>
            <w:tcW w:type="dxa" w:w="35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Pullback in trend: above SMA(50), WR dips &lt;-60, recovers &gt;-30</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Exit Rules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+5% profit target, BBW contraction + above SMA, or 25d max hold</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 ATR trailing stop, SMA(20) break, +10% PT, or 40d max hold</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OOS Trades</w:t>
            </w:r>
          </w:p>
        </w:tc>
        <w:tc>
          <w:tcPr>
            <w:tcW w:type="dxa" w:w="35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1,733</w:t>
            </w:r>
          </w:p>
        </w:tc>
        <w:tc>
          <w:tcPr>
            <w:tcW w:type="dxa" w:w="35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105</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Sharpe</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1.17</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2.15</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Win Rate</w:t>
            </w:r>
          </w:p>
        </w:tc>
        <w:tc>
          <w:tcPr>
            <w:tcW w:type="dxa" w:w="35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73.4%</w:t>
            </w:r>
          </w:p>
        </w:tc>
        <w:tc>
          <w:tcPr>
            <w:tcW w:type="dxa" w:w="35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60.0%</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Avg Return</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+1.26%</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+2.91%</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Avg Hold</w:t>
            </w:r>
          </w:p>
        </w:tc>
        <w:tc>
          <w:tcPr>
            <w:tcW w:type="dxa" w:w="35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10 days</w:t>
            </w:r>
          </w:p>
        </w:tc>
        <w:tc>
          <w:tcPr>
            <w:tcW w:type="dxa" w:w="35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18 days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Walk-Forward</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5 folds, 68 stocks, 5yr</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 folds, 26 ETFs, 5yr</w:t>
            </w:r>
          </w:p>
        </w:tc>
      </w:tr>
    </w:tbl>
    <w:p>
      <w:pPr>
        <w:pStyle w:val="Heading2"/>
      </w:pPr>
      <w:r>
        <w:t xml:space="preserve">1.2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Tab</w:t>
            </w:r>
          </w:p>
        </w:tc>
        <w:tc>
          <w:tcPr>
            <w:tcW w:type="dxa" w:w="12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Shortcut</w:t>
            </w:r>
          </w:p>
        </w:tc>
        <w:tc>
          <w:tcPr>
            <w:tcW w:type="dxa" w:w="61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Dashboard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Ctrl+1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Deep-dive single stock: chart, scoring, checklist, workflow analysis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Scanner</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Ctrl+2</w:t>
            </w:r>
          </w:p>
        </w:tc>
        <w:tc>
          <w:tcPr>
            <w:tcW w:type="dxa" w:w="6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Scan NIFTY 100 / F&amp;O universe for mean-reversion entries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ETF Momentum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Ctrl+3</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Scan 31 ETFs for momentum pullback entries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Watchlist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Ctrl+4</w:t>
            </w:r>
          </w:p>
        </w:tc>
        <w:tc>
          <w:tcPr>
            <w:tcW w:type="dxa" w:w="6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Track symbols with custom notes, entry/stop/target levels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Market Context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Ctrl+5</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FII/DII flows, sector rotation, upcoming events</w:t>
            </w:r>
          </w:p>
        </w:tc>
      </w:tr>
    </w:tbl>
    <w:p>
      <w:r>
        <w:br w:type="page"/>
      </w:r>
    </w:p>
    <w:p>
      <w:pPr>
        <w:pStyle w:val="Heading1"/>
      </w:pPr>
      <w:r>
        <w:t xml:space="preserve">2. Mean Reversion Engine (Equities)</w:t>
      </w:r>
    </w:p>
    <w:p>
      <w:pPr>
        <w:spacing w:after="120"/>
      </w:pPr>
      <w:r>
        <w:rPr>
          <w:rFonts w:ascii="Arial" w:cs="Arial" w:eastAsia="Arial" w:hAnsi="Arial"/>
          <w:sz w:val="21"/>
          <w:szCs w:val="21"/>
        </w:rPr>
        <w:t xml:space="preserve">The core equity strategy is a mean-reversion system that buys oversold stocks and exits on recovery. Every parameter was validated through a 576-config walk-forward optimization across 68 NSE stocks over 5 years.</w:t>
      </w:r>
    </w:p>
    <w:p>
      <w:pPr>
        <w:pStyle w:val="Heading2"/>
      </w:pPr>
      <w:r>
        <w:t xml:space="preserve">2.1 Entry Conditions</w:t>
      </w:r>
    </w:p>
    <w:p>
      <w:pPr>
        <w:spacing w:after="120"/>
      </w:pPr>
      <w:r>
        <w:rPr>
          <w:rFonts w:ascii="Arial" w:cs="Arial" w:eastAsia="Arial" w:hAnsi="Arial"/>
          <w:sz w:val="21"/>
          <w:szCs w:val="21"/>
        </w:rPr>
        <w:t xml:space="preserve">All conditions must be met simultaneously. The system classifies entries into two tiers:</w:t>
      </w:r>
    </w:p>
    <w:p>
      <w:pPr>
        <w:pStyle w:val="Heading3"/>
      </w:pPr>
      <w:r>
        <w:rPr>
          <w:rFonts w:ascii="Arial" w:cs="Arial" w:eastAsia="Arial" w:hAnsi="Arial"/>
          <w:b/>
          <w:bCs/>
          <w:sz w:val="22"/>
          <w:szCs w:val="22"/>
        </w:rPr>
        <w:t xml:space="preserve">PRIMARY Entry (FULL Size)</w:t>
      </w:r>
    </w:p>
    <w:p>
      <w:pPr>
        <w:spacing w:after="120"/>
      </w:pPr>
      <w:r>
        <w:rPr>
          <w:rFonts w:ascii="Arial" w:cs="Arial" w:eastAsia="Arial" w:hAnsi="Arial"/>
          <w:sz w:val="21"/>
          <w:szCs w:val="21"/>
        </w:rPr>
        <w:t xml:space="preserve">Requires all 7 conditions:</w:t>
      </w:r>
    </w:p>
    <w:p>
      <w:pPr>
        <w:pStyle w:val="ListParagraph"/>
        <w:numPr>
          <w:ilvl w:val="0"/>
          <w:numId w:val="2"/>
        </w:numPr>
        <w:spacing w:after="60"/>
      </w:pPr>
      <w:r>
        <w:rPr>
          <w:rFonts w:ascii="Arial" w:cs="Arial" w:eastAsia="Arial" w:hAnsi="Arial"/>
          <w:b/>
          <w:bCs/>
          <w:sz w:val="21"/>
          <w:szCs w:val="21"/>
        </w:rPr>
        <w:t xml:space="preserve">WR(30) &lt; -30: </w:t>
      </w:r>
      <w:r>
        <w:rPr>
          <w:rFonts w:ascii="Arial" w:cs="Arial" w:eastAsia="Arial" w:hAnsi="Arial"/>
          <w:sz w:val="21"/>
          <w:szCs w:val="21"/>
        </w:rPr>
        <w:t xml:space="preserve">Williams %R over 30 periods is below -30 (oversold territory)</w:t>
      </w:r>
    </w:p>
    <w:p>
      <w:pPr>
        <w:pStyle w:val="ListParagraph"/>
        <w:numPr>
          <w:ilvl w:val="0"/>
          <w:numId w:val="2"/>
        </w:numPr>
        <w:spacing w:after="60"/>
      </w:pPr>
      <w:r>
        <w:rPr>
          <w:rFonts w:ascii="Arial" w:cs="Arial" w:eastAsia="Arial" w:hAnsi="Arial"/>
          <w:b/>
          <w:bCs/>
          <w:sz w:val="21"/>
          <w:szCs w:val="21"/>
        </w:rPr>
        <w:t xml:space="preserve">Below SMA(20): </w:t>
      </w:r>
      <w:r>
        <w:rPr>
          <w:rFonts w:ascii="Arial" w:cs="Arial" w:eastAsia="Arial" w:hAnsi="Arial"/>
          <w:sz w:val="21"/>
          <w:szCs w:val="21"/>
        </w:rPr>
        <w:t xml:space="preserve">Price is below the 20-day simple moving average</w:t>
      </w:r>
    </w:p>
    <w:p>
      <w:pPr>
        <w:pStyle w:val="ListParagraph"/>
        <w:numPr>
          <w:ilvl w:val="0"/>
          <w:numId w:val="2"/>
        </w:numPr>
        <w:spacing w:after="60"/>
      </w:pPr>
      <w:r>
        <w:rPr>
          <w:rFonts w:ascii="Arial" w:cs="Arial" w:eastAsia="Arial" w:hAnsi="Arial"/>
          <w:b/>
          <w:bCs/>
          <w:sz w:val="21"/>
          <w:szCs w:val="21"/>
        </w:rPr>
        <w:t xml:space="preserve">MFI ≥ 30: </w:t>
      </w:r>
      <w:r>
        <w:rPr>
          <w:rFonts w:ascii="Arial" w:cs="Arial" w:eastAsia="Arial" w:hAnsi="Arial"/>
          <w:sz w:val="21"/>
          <w:szCs w:val="21"/>
        </w:rPr>
        <w:t xml:space="preserve">Money Flow Index shows institutional buying, not capitulation</w:t>
      </w:r>
    </w:p>
    <w:p>
      <w:pPr>
        <w:pStyle w:val="ListParagraph"/>
        <w:numPr>
          <w:ilvl w:val="0"/>
          <w:numId w:val="2"/>
        </w:numPr>
        <w:spacing w:after="60"/>
      </w:pPr>
      <w:r>
        <w:rPr>
          <w:rFonts w:ascii="Arial" w:cs="Arial" w:eastAsia="Arial" w:hAnsi="Arial"/>
          <w:b/>
          <w:bCs/>
          <w:sz w:val="21"/>
          <w:szCs w:val="21"/>
        </w:rPr>
        <w:t xml:space="preserve">DD ≤ -5%: </w:t>
      </w:r>
      <w:r>
        <w:rPr>
          <w:rFonts w:ascii="Arial" w:cs="Arial" w:eastAsia="Arial" w:hAnsi="Arial"/>
          <w:sz w:val="21"/>
          <w:szCs w:val="21"/>
        </w:rPr>
        <w:t xml:space="preserve">Drawdown from 50-day high exceeds 5% (genuine pullback)</w:t>
      </w:r>
    </w:p>
    <w:p>
      <w:pPr>
        <w:pStyle w:val="ListParagraph"/>
        <w:numPr>
          <w:ilvl w:val="0"/>
          <w:numId w:val="2"/>
        </w:numPr>
        <w:spacing w:after="60"/>
      </w:pPr>
      <w:r>
        <w:rPr>
          <w:rFonts w:ascii="Arial" w:cs="Arial" w:eastAsia="Arial" w:hAnsi="Arial"/>
          <w:b/>
          <w:bCs/>
          <w:sz w:val="21"/>
          <w:szCs w:val="21"/>
        </w:rPr>
        <w:t xml:space="preserve">Red Streak ≥ 2: </w:t>
      </w:r>
      <w:r>
        <w:rPr>
          <w:rFonts w:ascii="Arial" w:cs="Arial" w:eastAsia="Arial" w:hAnsi="Arial"/>
          <w:sz w:val="21"/>
          <w:szCs w:val="21"/>
        </w:rPr>
        <w:t xml:space="preserve">At least 2 consecutive red (down) candles</w:t>
      </w:r>
    </w:p>
    <w:p>
      <w:pPr>
        <w:pStyle w:val="ListParagraph"/>
        <w:numPr>
          <w:ilvl w:val="0"/>
          <w:numId w:val="2"/>
        </w:numPr>
        <w:spacing w:after="60"/>
      </w:pPr>
      <w:r>
        <w:rPr>
          <w:rFonts w:ascii="Arial" w:cs="Arial" w:eastAsia="Arial" w:hAnsi="Arial"/>
          <w:b/>
          <w:bCs/>
          <w:sz w:val="21"/>
          <w:szCs w:val="21"/>
        </w:rPr>
        <w:t xml:space="preserve">Volume ≥ 0.5x avg: </w:t>
      </w:r>
      <w:r>
        <w:rPr>
          <w:rFonts w:ascii="Arial" w:cs="Arial" w:eastAsia="Arial" w:hAnsi="Arial"/>
          <w:sz w:val="21"/>
          <w:szCs w:val="21"/>
        </w:rPr>
        <w:t xml:space="preserve">Sufficient volume for reliable price action</w:t>
      </w:r>
    </w:p>
    <w:p>
      <w:pPr>
        <w:pStyle w:val="ListParagraph"/>
        <w:numPr>
          <w:ilvl w:val="0"/>
          <w:numId w:val="2"/>
        </w:numPr>
        <w:spacing w:after="60"/>
      </w:pPr>
      <w:r>
        <w:rPr>
          <w:rFonts w:ascii="Arial" w:cs="Arial" w:eastAsia="Arial" w:hAnsi="Arial"/>
          <w:b/>
          <w:bCs/>
          <w:sz w:val="21"/>
          <w:szCs w:val="21"/>
        </w:rPr>
        <w:t xml:space="preserve">All above: </w:t>
      </w:r>
      <w:r>
        <w:rPr>
          <w:rFonts w:ascii="Arial" w:cs="Arial" w:eastAsia="Arial" w:hAnsi="Arial"/>
          <w:sz w:val="21"/>
          <w:szCs w:val="21"/>
        </w:rPr>
        <w:t xml:space="preserve">When all conditions align, this is the highest-conviction entry</w:t>
      </w:r>
    </w:p>
    <w:p>
      <w:pPr>
        <w:pStyle w:val="Heading3"/>
      </w:pPr>
      <w:r>
        <w:rPr>
          <w:rFonts w:ascii="Arial" w:cs="Arial" w:eastAsia="Arial" w:hAnsi="Arial"/>
          <w:b/>
          <w:bCs/>
          <w:sz w:val="22"/>
          <w:szCs w:val="22"/>
        </w:rPr>
        <w:t xml:space="preserve">SECONDARY Entry (HALF Size)</w:t>
      </w:r>
    </w:p>
    <w:p>
      <w:pPr>
        <w:spacing w:after="120"/>
      </w:pPr>
      <w:r>
        <w:rPr>
          <w:rFonts w:ascii="Arial" w:cs="Arial" w:eastAsia="Arial" w:hAnsi="Arial"/>
          <w:sz w:val="21"/>
          <w:szCs w:val="21"/>
        </w:rPr>
        <w:t xml:space="preserve">Requires only the core conditions (WR, SMA, MFI). Missing DD, streak, or volume. These are lower-conviction setups that still have a positive edge but with smaller position sizing.</w:t>
      </w:r>
    </w:p>
    <w:p>
      <w:pPr>
        <w:pStyle w:val="Heading2"/>
      </w:pPr>
      <w:r>
        <w:t xml:space="preserve">2.2 Exit Rules</w:t>
      </w:r>
    </w:p>
    <w:p>
      <w:pPr>
        <w:spacing w:after="120"/>
      </w:pPr>
      <w:r>
        <w:rPr>
          <w:rFonts w:ascii="Arial" w:cs="Arial" w:eastAsia="Arial" w:hAnsi="Arial"/>
          <w:sz w:val="21"/>
          <w:szCs w:val="21"/>
        </w:rPr>
        <w:t xml:space="preserve">Exits are checked daily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Exit</w:t>
            </w:r>
          </w:p>
        </w:tc>
        <w:tc>
          <w:tcPr>
            <w:tcW w:type="dxa" w:w="49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Condition</w:t>
            </w:r>
          </w:p>
        </w:tc>
        <w:tc>
          <w:tcPr>
            <w:tcW w:type="dxa" w:w="22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WF Validation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+5% Profit Target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Close ≥ entry price × 1.05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Unanimous 5/5 folds chose PT=5%</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BBW Contraction</w:t>
            </w:r>
          </w:p>
        </w:tc>
        <w:tc>
          <w:tcPr>
            <w:tcW w:type="dxa" w:w="4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Price above SMA(20) AND Bollinger Band Width slope &lt; 0 (after 5 bars min)</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Captures mean-reversion completion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Max Hold (25 days)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Position held for 25 trading days without PT or BBW exit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3/5 folds chose 25; cuts losers faster</w:t>
            </w:r>
          </w:p>
        </w:tc>
      </w:tr>
    </w:tbl>
    <w:p>
      <w:pPr>
        <w:pStyle w:val="Heading2"/>
      </w:pPr>
      <w:r>
        <w:t xml:space="preserve">2.3 Scoring (0–100)</w:t>
      </w:r>
    </w:p>
    <w:p>
      <w:pPr>
        <w:spacing w:after="120"/>
      </w:pPr>
      <w:r>
        <w:rPr>
          <w:rFonts w:ascii="Arial" w:cs="Arial" w:eastAsia="Arial" w:hAnsi="Arial"/>
          <w:sz w:val="21"/>
          <w:szCs w:val="21"/>
        </w:rPr>
        <w:t xml:space="preserve">Each stock receives a base score from technical factors, plus overlays from options and filings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Factor</w:t>
            </w:r>
          </w:p>
        </w:tc>
        <w:tc>
          <w:tcPr>
            <w:tcW w:type="dxa" w:w="15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Max Points</w:t>
            </w:r>
          </w:p>
        </w:tc>
        <w:tc>
          <w:tcPr>
            <w:tcW w:type="dxa" w:w="468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Best Value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WR(30) depth</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+25</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&lt; -70 (deeply oversold)</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Distance below SMA</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+15</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&lt; -5% (significant pullback)</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MFI value</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+8</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 50 (strong institutional flow)</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MFI slope rising</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+4</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&gt; 3 (accelerating)</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Drawdown from 50d high</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+8</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 -10% (capitulation zone)</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Red streak length</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+6</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 4 consecutive red days</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Volume ratio</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+4</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 1.5x average (high interest)</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BBW percentile</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+3</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&lt; 30th (Bollinger squeeze)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Above SMA penalty</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-10</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Not oversold enough</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Weak MFI penalty</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-5</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MFI &lt; 30 (no institutional support)</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Dry volume penalty</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Volume &lt; 0.5x average</w:t>
            </w:r>
          </w:p>
        </w:tc>
      </w:tr>
    </w:tbl>
    <w:p>
      <w:pPr>
        <w:spacing w:after="80"/>
      </w:pPr>
    </w:p>
    <w:p>
      <w:pPr>
        <w:spacing w:after="100"/>
      </w:pPr>
      <w:r>
        <w:rPr>
          <w:rFonts w:ascii="Arial" w:cs="Arial" w:eastAsia="Arial" w:hAnsi="Arial"/>
          <w:b/>
          <w:bCs/>
          <w:sz w:val="21"/>
          <w:szCs w:val="21"/>
        </w:rPr>
        <w:t xml:space="preserve">Score interpretation: </w:t>
      </w:r>
      <w:r>
        <w:rPr>
          <w:rFonts w:ascii="Arial" w:cs="Arial" w:eastAsia="Arial" w:hAnsi="Arial"/>
          <w:sz w:val="21"/>
          <w:szCs w:val="21"/>
        </w:rPr>
        <w:t xml:space="preserve">0–30 = Weak/Avoid, 30–60 = Marginal, 60–75 = Good, 75–100 = Strong</w:t>
      </w:r>
    </w:p>
    <w:p>
      <w:pPr>
        <w:pStyle w:val="Heading2"/>
      </w:pPr>
      <w:r>
        <w:t xml:space="preserve">2.4 Options Overlay (±10 points)</w:t>
      </w:r>
    </w:p>
    <w:p>
      <w:pPr>
        <w:spacing w:after="120"/>
      </w:pPr>
      <w:r>
        <w:rPr>
          <w:rFonts w:ascii="Arial" w:cs="Arial" w:eastAsia="Arial" w:hAnsi="Arial"/>
          <w:sz w:val="21"/>
          <w:szCs w:val="21"/>
        </w:rPr>
        <w:t xml:space="preserve">When options data is available, the score is adjusted based on market positioning:</w:t>
      </w:r>
    </w:p>
    <w:p>
      <w:pPr>
        <w:pStyle w:val="ListParagraph"/>
        <w:numPr>
          <w:ilvl w:val="0"/>
          <w:numId w:val="2"/>
        </w:numPr>
        <w:spacing w:after="60"/>
      </w:pPr>
      <w:r>
        <w:rPr>
          <w:rFonts w:ascii="Arial" w:cs="Arial" w:eastAsia="Arial" w:hAnsi="Arial"/>
          <w:b/>
          <w:bCs/>
          <w:sz w:val="21"/>
          <w:szCs w:val="21"/>
        </w:rPr>
        <w:t xml:space="preserve">PCR ≤ 0.7 (bearish): </w:t>
      </w:r>
      <w:r>
        <w:rPr>
          <w:rFonts w:ascii="Arial" w:cs="Arial" w:eastAsia="Arial" w:hAnsi="Arial"/>
          <w:sz w:val="21"/>
          <w:szCs w:val="21"/>
        </w:rPr>
        <w:t xml:space="preserve">-5 points. Heavy call writing suggests downside pressure</w:t>
      </w:r>
    </w:p>
    <w:p>
      <w:pPr>
        <w:pStyle w:val="ListParagraph"/>
        <w:numPr>
          <w:ilvl w:val="0"/>
          <w:numId w:val="2"/>
        </w:numPr>
        <w:spacing w:after="60"/>
      </w:pPr>
      <w:r>
        <w:rPr>
          <w:rFonts w:ascii="Arial" w:cs="Arial" w:eastAsia="Arial" w:hAnsi="Arial"/>
          <w:b/>
          <w:bCs/>
          <w:sz w:val="21"/>
          <w:szCs w:val="21"/>
        </w:rPr>
        <w:t xml:space="preserve">PCR ≤ 0.7 + GEX negative: </w:t>
      </w:r>
      <w:r>
        <w:rPr>
          <w:rFonts w:ascii="Arial" w:cs="Arial" w:eastAsia="Arial" w:hAnsi="Arial"/>
          <w:sz w:val="21"/>
          <w:szCs w:val="21"/>
        </w:rPr>
        <w:t xml:space="preserve">-8 compound. Both options metrics bearish</w:t>
      </w:r>
    </w:p>
    <w:p>
      <w:pPr>
        <w:pStyle w:val="ListParagraph"/>
        <w:numPr>
          <w:ilvl w:val="0"/>
          <w:numId w:val="2"/>
        </w:numPr>
        <w:spacing w:after="60"/>
      </w:pPr>
      <w:r>
        <w:rPr>
          <w:rFonts w:ascii="Arial" w:cs="Arial" w:eastAsia="Arial" w:hAnsi="Arial"/>
          <w:b/>
          <w:bCs/>
          <w:sz w:val="21"/>
          <w:szCs w:val="21"/>
        </w:rPr>
        <w:t xml:space="preserve">PCR ≥ 1.3 (bullish): </w:t>
      </w:r>
      <w:r>
        <w:rPr>
          <w:rFonts w:ascii="Arial" w:cs="Arial" w:eastAsia="Arial" w:hAnsi="Arial"/>
          <w:sz w:val="21"/>
          <w:szCs w:val="21"/>
        </w:rPr>
        <w:t xml:space="preserve">+3 points. Put-heavy positioning suggests support</w:t>
      </w:r>
    </w:p>
    <w:p>
      <w:pPr>
        <w:pStyle w:val="ListParagraph"/>
        <w:numPr>
          <w:ilvl w:val="0"/>
          <w:numId w:val="2"/>
        </w:numPr>
        <w:spacing w:after="60"/>
      </w:pPr>
      <w:r>
        <w:rPr>
          <w:rFonts w:ascii="Arial" w:cs="Arial" w:eastAsia="Arial" w:hAnsi="Arial"/>
          <w:b/>
          <w:bCs/>
          <w:sz w:val="21"/>
          <w:szCs w:val="21"/>
        </w:rPr>
        <w:t xml:space="preserve">PCR ≥ 1.3 + GEX negative: </w:t>
      </w:r>
      <w:r>
        <w:rPr>
          <w:rFonts w:ascii="Arial" w:cs="Arial" w:eastAsia="Arial" w:hAnsi="Arial"/>
          <w:sz w:val="21"/>
          <w:szCs w:val="21"/>
        </w:rPr>
        <w:t xml:space="preserve">+5 compound. Bullish PCR with dealer hedging</w:t>
      </w:r>
    </w:p>
    <w:p>
      <w:pPr>
        <w:pStyle w:val="ListParagraph"/>
        <w:numPr>
          <w:ilvl w:val="0"/>
          <w:numId w:val="2"/>
        </w:numPr>
        <w:spacing w:after="60"/>
      </w:pPr>
      <w:r>
        <w:rPr>
          <w:rFonts w:ascii="Arial" w:cs="Arial" w:eastAsia="Arial" w:hAnsi="Arial"/>
          <w:b/>
          <w:bCs/>
          <w:sz w:val="21"/>
          <w:szCs w:val="21"/>
        </w:rPr>
        <w:t xml:space="preserve">Near OI support (&lt; 2%): </w:t>
      </w:r>
      <w:r>
        <w:rPr>
          <w:rFonts w:ascii="Arial" w:cs="Arial" w:eastAsia="Arial" w:hAnsi="Arial"/>
          <w:sz w:val="21"/>
          <w:szCs w:val="21"/>
        </w:rPr>
        <w:t xml:space="preserve">+2 points. Price near heavy put open interest wall</w:t>
      </w:r>
    </w:p>
    <w:p>
      <w:pPr>
        <w:pStyle w:val="Heading2"/>
      </w:pPr>
      <w:r>
        <w:t xml:space="preserve">2.5 Filing Overlay (±10 points)</w:t>
      </w:r>
    </w:p>
    <w:p>
      <w:pPr>
        <w:spacing w:after="120"/>
      </w:pPr>
      <w:r>
        <w:rPr>
          <w:rFonts w:ascii="Arial" w:cs="Arial" w:eastAsia="Arial" w:hAnsi="Arial"/>
          <w:sz w:val="21"/>
          <w:szCs w:val="21"/>
        </w:rPr>
        <w:t xml:space="preserve">Recent corporate filings (insider trades, board meetings, restructuring) are analyzed:</w:t>
      </w:r>
    </w:p>
    <w:p>
      <w:pPr>
        <w:pStyle w:val="ListParagraph"/>
        <w:numPr>
          <w:ilvl w:val="0"/>
          <w:numId w:val="2"/>
        </w:numPr>
        <w:spacing w:after="60"/>
      </w:pPr>
      <w:r>
        <w:rPr>
          <w:rFonts w:ascii="Arial" w:cs="Arial" w:eastAsia="Arial" w:hAnsi="Arial"/>
          <w:b/>
          <w:bCs/>
          <w:sz w:val="21"/>
          <w:szCs w:val="21"/>
        </w:rPr>
        <w:t xml:space="preserve">TRAP detection: </w:t>
      </w:r>
      <w:r>
        <w:rPr>
          <w:rFonts w:ascii="Arial" w:cs="Arial" w:eastAsia="Arial" w:hAnsi="Arial"/>
          <w:sz w:val="21"/>
          <w:szCs w:val="21"/>
        </w:rPr>
        <w:t xml:space="preserve">Score forced ≤ 30 when insider selling or adverse filing detected during oversold conditions</w:t>
      </w:r>
    </w:p>
    <w:p>
      <w:pPr>
        <w:pStyle w:val="ListParagraph"/>
        <w:numPr>
          <w:ilvl w:val="0"/>
          <w:numId w:val="2"/>
        </w:numPr>
        <w:spacing w:after="60"/>
      </w:pPr>
      <w:r>
        <w:rPr>
          <w:rFonts w:ascii="Arial" w:cs="Arial" w:eastAsia="Arial" w:hAnsi="Arial"/>
          <w:b/>
          <w:bCs/>
          <w:sz w:val="21"/>
          <w:szCs w:val="21"/>
        </w:rPr>
        <w:t xml:space="preserve">Positive filings: </w:t>
      </w:r>
      <w:r>
        <w:rPr>
          <w:rFonts w:ascii="Arial" w:cs="Arial" w:eastAsia="Arial" w:hAnsi="Arial"/>
          <w:sz w:val="21"/>
          <w:szCs w:val="21"/>
        </w:rPr>
        <w:t xml:space="preserve">Up to +10 for insider buying, favorable corporate actions</w:t>
      </w:r>
    </w:p>
    <w:p>
      <w:r>
        <w:br w:type="page"/>
      </w:r>
    </w:p>
    <w:p>
      <w:pPr>
        <w:pStyle w:val="Heading1"/>
      </w:pPr>
      <w:r>
        <w:t xml:space="preserve">3. ETF Momentum Engine</w:t>
      </w:r>
    </w:p>
    <w:p>
      <w:pPr>
        <w:spacing w:after="120"/>
      </w:pPr>
      <w:r>
        <w:rPr>
          <w:rFonts w:ascii="Arial" w:cs="Arial" w:eastAsia="Arial" w:hAnsi="Arial"/>
          <w:sz w:val="21"/>
          <w:szCs w:val="21"/>
        </w:rPr>
        <w:t xml:space="preserve">A separate strategy for ETFs that catches pullbacks within established uptrends. ETFs trend more persistently than individual stocks, making momentum strategies more effective on this asset class.</w:t>
      </w:r>
    </w:p>
    <w:p>
      <w:pPr>
        <w:pStyle w:val="Heading2"/>
      </w:pPr>
      <w:r>
        <w:t xml:space="preserve">3.1 Entry: Pullback-in-Trend</w:t>
      </w:r>
    </w:p>
    <w:p>
      <w:pPr>
        <w:spacing w:after="120"/>
      </w:pPr>
      <w:r>
        <w:rPr>
          <w:rFonts w:ascii="Arial" w:cs="Arial" w:eastAsia="Arial" w:hAnsi="Arial"/>
          <w:sz w:val="21"/>
          <w:szCs w:val="21"/>
        </w:rPr>
        <w:t xml:space="preserve">Three conditions must be met simultaneously:</w:t>
      </w:r>
    </w:p>
    <w:p>
      <w:pPr>
        <w:pStyle w:val="ListParagraph"/>
        <w:numPr>
          <w:ilvl w:val="0"/>
          <w:numId w:val="2"/>
        </w:numPr>
        <w:spacing w:after="60"/>
      </w:pPr>
      <w:r>
        <w:rPr>
          <w:rFonts w:ascii="Arial" w:cs="Arial" w:eastAsia="Arial" w:hAnsi="Arial"/>
          <w:b/>
          <w:bCs/>
          <w:sz w:val="21"/>
          <w:szCs w:val="21"/>
        </w:rPr>
        <w:t xml:space="preserve">In Uptrend: </w:t>
      </w:r>
      <w:r>
        <w:rPr>
          <w:rFonts w:ascii="Arial" w:cs="Arial" w:eastAsia="Arial" w:hAnsi="Arial"/>
          <w:sz w:val="21"/>
          <w:szCs w:val="21"/>
        </w:rPr>
        <w:t xml:space="preserve">Price is above SMA(50). This confirms a long-term trend is established</w:t>
      </w:r>
    </w:p>
    <w:p>
      <w:pPr>
        <w:pStyle w:val="ListParagraph"/>
        <w:numPr>
          <w:ilvl w:val="0"/>
          <w:numId w:val="2"/>
        </w:numPr>
        <w:spacing w:after="60"/>
      </w:pPr>
      <w:r>
        <w:rPr>
          <w:rFonts w:ascii="Arial" w:cs="Arial" w:eastAsia="Arial" w:hAnsi="Arial"/>
          <w:b/>
          <w:bCs/>
          <w:sz w:val="21"/>
          <w:szCs w:val="21"/>
        </w:rPr>
        <w:t xml:space="preserve">Dip Detected: </w:t>
      </w:r>
      <w:r>
        <w:rPr>
          <w:rFonts w:ascii="Arial" w:cs="Arial" w:eastAsia="Arial" w:hAnsi="Arial"/>
          <w:sz w:val="21"/>
          <w:szCs w:val="21"/>
        </w:rPr>
        <w:t xml:space="preserve">WR(20) dipped below -60 within the last 10 bars. A genuine pullback occurred</w:t>
      </w:r>
    </w:p>
    <w:p>
      <w:pPr>
        <w:pStyle w:val="ListParagraph"/>
        <w:numPr>
          <w:ilvl w:val="0"/>
          <w:numId w:val="2"/>
        </w:numPr>
        <w:spacing w:after="60"/>
      </w:pPr>
      <w:r>
        <w:rPr>
          <w:rFonts w:ascii="Arial" w:cs="Arial" w:eastAsia="Arial" w:hAnsi="Arial"/>
          <w:b/>
          <w:bCs/>
          <w:sz w:val="21"/>
          <w:szCs w:val="21"/>
        </w:rPr>
        <w:t xml:space="preserve">Recovered: </w:t>
      </w:r>
      <w:r>
        <w:rPr>
          <w:rFonts w:ascii="Arial" w:cs="Arial" w:eastAsia="Arial" w:hAnsi="Arial"/>
          <w:sz w:val="21"/>
          <w:szCs w:val="21"/>
        </w:rPr>
        <w:t xml:space="preserve">WR(20) has recovered above -30. Buyers are stepping back in</w:t>
      </w:r>
    </w:p>
    <w:p>
      <w:pPr>
        <w:pStyle w:val="Heading2"/>
      </w:pPr>
      <w:r>
        <w:t xml:space="preserve">3.2 Exit: Trail + SMA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Exit</w:t>
            </w:r>
          </w:p>
        </w:tc>
        <w:tc>
          <w:tcPr>
            <w:tcW w:type="dxa" w:w="41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Condition</w:t>
            </w:r>
          </w:p>
        </w:tc>
        <w:tc>
          <w:tcPr>
            <w:tcW w:type="dxa" w:w="30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Trailing Stop</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Peak price - 2× ATR(14)</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Rides trend, exits on reversal</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SMA(20) Break</w:t>
            </w:r>
          </w:p>
        </w:tc>
        <w:tc>
          <w:tcPr>
            <w:tcW w:type="dxa" w:w="4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Price closes below SMA(20) after 3+ bars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Trend structure broken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+10% Profit Target</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Close ≥ entry × 1.10</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Captures big trending moves</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Max Hold (40 days)</w:t>
            </w:r>
          </w:p>
        </w:tc>
        <w:tc>
          <w:tcPr>
            <w:tcW w:type="dxa" w:w="4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Position held 40 days without other exit</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Time-based stop</w:t>
            </w:r>
          </w:p>
        </w:tc>
      </w:tr>
    </w:tbl>
    <w:p>
      <w:pPr>
        <w:pStyle w:val="Heading2"/>
      </w:pPr>
      <w:r>
        <w:t xml:space="preserve">3.3 Scoring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Factor</w:t>
            </w:r>
          </w:p>
        </w:tc>
        <w:tc>
          <w:tcPr>
            <w:tcW w:type="dxa" w:w="15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Points</w:t>
            </w:r>
          </w:p>
        </w:tc>
        <w:tc>
          <w:tcPr>
            <w:tcW w:type="dxa" w:w="468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Logic</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Trend position vs SMA(50)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+10 to +15</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+2–5% above = healthy trend</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Dip depth (WR min)</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+8 to +20</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Deeper dip in uptrend = better entry</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Recovery quality</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+4 to +12</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WR above -10 = strong recovery</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ADX trend strength</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+2 to +8</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≥25 = strong directional trend</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MFI flow</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 to +6</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≥60 = strong institutional flow</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ROC momentum</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+2 to +5</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&gt;3% = strong recent momentum</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BBW expansion</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Trend accelerating</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Below SMA(50) penalty</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-15</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No uptrend established</w:t>
            </w:r>
          </w:p>
        </w:tc>
      </w:tr>
    </w:tbl>
    <w:p>
      <w:pPr>
        <w:pStyle w:val="Heading2"/>
      </w:pPr>
      <w:r>
        <w:t xml:space="preserve">3.4 Liquidity Filter: ADTV</w:t>
      </w:r>
    </w:p>
    <w:p>
      <w:pPr>
        <w:spacing w:after="120"/>
      </w:pPr>
      <w:r>
        <w:rPr>
          <w:rFonts w:ascii="Arial" w:cs="Arial" w:eastAsia="Arial" w:hAnsi="Arial"/>
          <w:sz w:val="21"/>
          <w:szCs w:val="21"/>
        </w:rPr>
        <w:t xml:space="preserve">Average Daily Traded Value (20-day average of Close × Volume, in ₹ Crores) is displayed for every ETF. ETFs with ADTV &lt; ₹1 Cr are automatically marked as ILLIQUID and entry is blocked, regardless of score. This prevents slippage on thinly-traded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ADTV</w:t>
            </w:r>
          </w:p>
        </w:tc>
        <w:tc>
          <w:tcPr>
            <w:tcW w:type="dxa" w:w="234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Color</w:t>
            </w:r>
          </w:p>
        </w:tc>
        <w:tc>
          <w:tcPr>
            <w:tcW w:type="dxa" w:w="468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Interpretation</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 ₹50 Cr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Green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Very liquid, trade freely</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 ₹10 Cr</w:t>
            </w:r>
          </w:p>
        </w:tc>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Emerald</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Good liquidity</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 ₹1 Cr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Gold</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Tradeable, watch slippage</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&lt; ₹1 Cr</w:t>
            </w:r>
          </w:p>
        </w:tc>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Red</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ILLIQUID — avoid</w:t>
            </w:r>
          </w:p>
        </w:tc>
      </w:tr>
    </w:tbl>
    <w:p>
      <w:r>
        <w:br w:type="page"/>
      </w:r>
    </w:p>
    <w:p>
      <w:pPr>
        <w:pStyle w:val="Heading1"/>
      </w:pPr>
      <w:r>
        <w:t xml:space="preserve">4. Dashboard Reference</w:t>
      </w:r>
    </w:p>
    <w:p>
      <w:pPr>
        <w:spacing w:after="120"/>
      </w:pPr>
      <w:r>
        <w:rPr>
          <w:rFonts w:ascii="Arial" w:cs="Arial" w:eastAsia="Arial" w:hAnsi="Arial"/>
          <w:sz w:val="21"/>
          <w:szCs w:val="21"/>
        </w:rPr>
        <w:t xml:space="preserve">The Dashboard provides a deep-dive view of a single symbol. It is divided into a center column (chart + data) and a right-side Workflow Analysis panel.</w:t>
      </w:r>
    </w:p>
    <w:p>
      <w:pPr>
        <w:pStyle w:val="Heading2"/>
      </w:pPr>
      <w:r>
        <w:t xml:space="preserve">4.1 Header &amp; Badges</w:t>
      </w:r>
    </w:p>
    <w:p>
      <w:pPr>
        <w:spacing w:after="120"/>
      </w:pPr>
      <w:r>
        <w:rPr>
          <w:rFonts w:ascii="Arial" w:cs="Arial" w:eastAsia="Arial" w:hAnsi="Arial"/>
          <w:sz w:val="21"/>
          <w:szCs w:val="21"/>
        </w:rPr>
        <w:t xml:space="preserve">The top row shows the symbol, spot price, change %, and timestamp. Below it, colored badges provide instant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Badge</w:t>
            </w:r>
          </w:p>
        </w:tc>
        <w:tc>
          <w:tcPr>
            <w:tcW w:type="dxa" w:w="312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Values</w:t>
            </w:r>
          </w:p>
        </w:tc>
        <w:tc>
          <w:tcPr>
            <w:tcW w:type="dxa" w:w="468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Meaning</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TIER</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PRIMARY / SECONDARY / NONE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Entry qualification level</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WR</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-98 DEEP / -45 IN ZONE / -10 —</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Williams %R depth</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MFI</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33 OK / 55 Strong / 18 Weak</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Money Flow Index status</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SMA</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BELOW -9.1% / ABOVE +2%</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Position relative to SMA(20)</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-17% 2d red / -3% 0d red</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Drawdown + red streak count</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REGIME</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TREND-FRIENDLY / PINNING / etc.</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GEX-based market regime</w:t>
            </w:r>
          </w:p>
        </w:tc>
      </w:tr>
    </w:tbl>
    <w:p>
      <w:pPr>
        <w:pStyle w:val="Heading2"/>
      </w:pPr>
      <w:r>
        <w:t xml:space="preserve">4.2 KPI Tiles</w:t>
      </w:r>
    </w:p>
    <w:p>
      <w:pPr>
        <w:spacing w:after="120"/>
      </w:pPr>
      <w:r>
        <w:rPr>
          <w:rFonts w:ascii="Arial" w:cs="Arial" w:eastAsia="Arial" w:hAnsi="Arial"/>
          <w:sz w:val="21"/>
          <w:szCs w:val="21"/>
        </w:rPr>
        <w:t xml:space="preserve">Eight key metrics displayed below the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Tile</w:t>
            </w:r>
          </w:p>
        </w:tc>
        <w:tc>
          <w:tcPr>
            <w:tcW w:type="dxa" w:w="312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Shows</w:t>
            </w:r>
          </w:p>
        </w:tc>
        <w:tc>
          <w:tcPr>
            <w:tcW w:type="dxa" w:w="468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What to look for</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SPOT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Current price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Baseline reference</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WR(30)</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Williams %R value + zone</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DEEP (&lt; -50) = strong oversold</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MFI</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Money Flow Index + status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OK (≥30) minimum for entry</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vs SMA</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 distance from SMA(20)</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BELOW = oversold setup</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PCR OI</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Put-Call Ratio from OI</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Bearish (&lt;0.7) or Bullish (&gt;1.3)</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NET GEX</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Gamma Exposure in ₹ Cr</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Negative = volatile; Positive = pinning</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TO EXPIRY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Days to nearest expiry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&lt; 4d = pin risk / theta decay</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VOL STATE</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Bollinger Band Width percentile</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SQUEEZE (&lt;20th) or EXPANDED (&gt;80th)</w:t>
            </w:r>
          </w:p>
        </w:tc>
      </w:tr>
    </w:tbl>
    <w:p>
      <w:pPr>
        <w:pStyle w:val="Heading2"/>
      </w:pPr>
      <w:r>
        <w:t xml:space="preserve">4.3 Verdict Strip</w:t>
      </w:r>
    </w:p>
    <w:p>
      <w:pPr>
        <w:spacing w:after="120"/>
      </w:pPr>
      <w:r>
        <w:rPr>
          <w:rFonts w:ascii="Arial" w:cs="Arial" w:eastAsia="Arial" w:hAnsi="Arial"/>
          <w:sz w:val="21"/>
          <w:szCs w:val="21"/>
        </w:rPr>
        <w:t xml:space="preserve">The single most important line on the dashboard. Shows the actionable trading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Verdict</w:t>
            </w:r>
          </w:p>
        </w:tc>
        <w:tc>
          <w:tcPr>
            <w:tcW w:type="dxa" w:w="10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Color</w:t>
            </w:r>
          </w:p>
        </w:tc>
        <w:tc>
          <w:tcPr>
            <w:tcW w:type="dxa" w:w="55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Meaning</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 BUY FULL — strong setup</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Green</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PRIMARY entry, score ≥75. All conditions met.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 BUY FULL — good</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Green</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PRIMARY entry, score &lt; 75. All conditions met but lower conviction.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 BUY HALF — strong</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Gold</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SECONDARY entry, score ≥75. Core met, missing DD/streak/vol.</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 HALF — marginal</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Gold</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SECONDARY entry, low score. Proceed with caution.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WATCH — capitulation</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Blue</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Deeply oversold but MFI &lt; 30 (no institutional support yet).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WAIT — oversold</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Gold</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WR oversold but MFI weak. Wait for MFI to cross 30.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FORMING</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Gold</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Conditions building but not all met. Monitor daily.</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SKIP</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Grey</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Not oversold or score too low.</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 AVOID</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Red</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TRAP detected or score ≤30.</w:t>
            </w:r>
          </w:p>
        </w:tc>
      </w:tr>
    </w:tbl>
    <w:p>
      <w:pPr>
        <w:pStyle w:val="Heading2"/>
      </w:pPr>
      <w:r>
        <w:t xml:space="preserve">4.4 Trade Viability Panel</w:t>
      </w:r>
    </w:p>
    <w:p>
      <w:pPr>
        <w:spacing w:after="120"/>
      </w:pPr>
      <w:r>
        <w:rPr>
          <w:rFonts w:ascii="Arial" w:cs="Arial" w:eastAsia="Arial" w:hAnsi="Arial"/>
          <w:sz w:val="21"/>
          <w:szCs w:val="21"/>
        </w:rPr>
        <w:t xml:space="preserve">Shows the score, sizing decision, risk notes, key levels, and options badges. Risk notes flag specific concerns:</w:t>
      </w:r>
    </w:p>
    <w:p>
      <w:pPr>
        <w:pStyle w:val="ListParagraph"/>
        <w:numPr>
          <w:ilvl w:val="0"/>
          <w:numId w:val="2"/>
        </w:numPr>
        <w:spacing w:after="60"/>
      </w:pPr>
      <w:r>
        <w:rPr>
          <w:rFonts w:ascii="Arial" w:cs="Arial" w:eastAsia="Arial" w:hAnsi="Arial"/>
          <w:b/>
          <w:bCs/>
          <w:sz w:val="21"/>
          <w:szCs w:val="21"/>
        </w:rPr>
        <w:t xml:space="preserve">! Options bearish (PCR 0.47): </w:t>
      </w:r>
      <w:r>
        <w:rPr>
          <w:rFonts w:ascii="Arial" w:cs="Arial" w:eastAsia="Arial" w:hAnsi="Arial"/>
          <w:sz w:val="21"/>
          <w:szCs w:val="21"/>
        </w:rPr>
        <w:t xml:space="preserve">Options market is positioned for further downside</w:t>
      </w:r>
    </w:p>
    <w:p>
      <w:pPr>
        <w:pStyle w:val="ListParagraph"/>
        <w:numPr>
          <w:ilvl w:val="0"/>
          <w:numId w:val="2"/>
        </w:numPr>
        <w:spacing w:after="60"/>
      </w:pPr>
      <w:r>
        <w:rPr>
          <w:rFonts w:ascii="Arial" w:cs="Arial" w:eastAsia="Arial" w:hAnsi="Arial"/>
          <w:b/>
          <w:bCs/>
          <w:sz w:val="21"/>
          <w:szCs w:val="21"/>
        </w:rPr>
        <w:t xml:space="preserve">! MFI weak (24): </w:t>
      </w:r>
      <w:r>
        <w:rPr>
          <w:rFonts w:ascii="Arial" w:cs="Arial" w:eastAsia="Arial" w:hAnsi="Arial"/>
          <w:sz w:val="21"/>
          <w:szCs w:val="21"/>
        </w:rPr>
        <w:t xml:space="preserve">No institutional buying support detected</w:t>
      </w:r>
    </w:p>
    <w:p>
      <w:pPr>
        <w:pStyle w:val="ListParagraph"/>
        <w:numPr>
          <w:ilvl w:val="0"/>
          <w:numId w:val="2"/>
        </w:numPr>
        <w:spacing w:after="60"/>
      </w:pPr>
      <w:r>
        <w:rPr>
          <w:rFonts w:ascii="Arial" w:cs="Arial" w:eastAsia="Arial" w:hAnsi="Arial"/>
          <w:b/>
          <w:bCs/>
          <w:sz w:val="21"/>
          <w:szCs w:val="21"/>
        </w:rPr>
        <w:t xml:space="preserve">! Dry volume (0.3x avg): </w:t>
      </w:r>
      <w:r>
        <w:rPr>
          <w:rFonts w:ascii="Arial" w:cs="Arial" w:eastAsia="Arial" w:hAnsi="Arial"/>
          <w:sz w:val="21"/>
          <w:szCs w:val="21"/>
        </w:rPr>
        <w:t xml:space="preserve">Low trading interest, unreliable price action</w:t>
      </w:r>
    </w:p>
    <w:p>
      <w:pPr>
        <w:pStyle w:val="ListParagraph"/>
        <w:numPr>
          <w:ilvl w:val="0"/>
          <w:numId w:val="2"/>
        </w:numPr>
        <w:spacing w:after="60"/>
      </w:pPr>
      <w:r>
        <w:rPr>
          <w:rFonts w:ascii="Arial" w:cs="Arial" w:eastAsia="Arial" w:hAnsi="Arial"/>
          <w:b/>
          <w:bCs/>
          <w:sz w:val="21"/>
          <w:szCs w:val="21"/>
        </w:rPr>
        <w:t xml:space="preserve">! TRAP — insider selling: </w:t>
      </w:r>
      <w:r>
        <w:rPr>
          <w:rFonts w:ascii="Arial" w:cs="Arial" w:eastAsia="Arial" w:hAnsi="Arial"/>
          <w:sz w:val="21"/>
          <w:szCs w:val="21"/>
        </w:rPr>
        <w:t xml:space="preserve">Filing intelligence detected adverse insider activity</w:t>
      </w:r>
    </w:p>
    <w:p>
      <w:pPr>
        <w:pStyle w:val="Heading2"/>
      </w:pPr>
      <w:r>
        <w:t xml:space="preserve">4.5 Pre-Trade Checklist</w:t>
      </w:r>
    </w:p>
    <w:p>
      <w:pPr>
        <w:spacing w:after="120"/>
      </w:pPr>
      <w:r>
        <w:rPr>
          <w:rFonts w:ascii="Arial" w:cs="Arial" w:eastAsia="Arial" w:hAnsi="Arial"/>
          <w:sz w:val="21"/>
          <w:szCs w:val="21"/>
        </w:rPr>
        <w:t xml:space="preserve">8 rows showing pass/fail for each entry condition. Green checkmark = condition met. Red X = condition failed. Each row shows the actual value and a plain-English interpretation (e.g., "WR=-98 Strong bounce expected", "-17.6% Capitulation").</w:t>
      </w:r>
    </w:p>
    <w:p>
      <w:pPr>
        <w:pStyle w:val="Heading2"/>
      </w:pPr>
      <w:r>
        <w:t xml:space="preserve">4.6 Workflow Analysis (Right Panel)</w:t>
      </w:r>
    </w:p>
    <w:p>
      <w:pPr>
        <w:spacing w:after="120"/>
      </w:pPr>
      <w:r>
        <w:rPr>
          <w:rFonts w:ascii="Arial" w:cs="Arial" w:eastAsia="Arial" w:hAnsi="Arial"/>
          <w:sz w:val="21"/>
          <w:szCs w:val="21"/>
        </w:rPr>
        <w:t xml:space="preserve">Full-height scrollable panel with detailed analysis:</w:t>
      </w:r>
    </w:p>
    <w:p>
      <w:pPr>
        <w:pStyle w:val="ListParagraph"/>
        <w:numPr>
          <w:ilvl w:val="0"/>
          <w:numId w:val="2"/>
        </w:numPr>
        <w:spacing w:after="60"/>
      </w:pPr>
      <w:r>
        <w:rPr>
          <w:rFonts w:ascii="Arial" w:cs="Arial" w:eastAsia="Arial" w:hAnsi="Arial"/>
          <w:b/>
          <w:bCs/>
          <w:sz w:val="21"/>
          <w:szCs w:val="21"/>
        </w:rPr>
        <w:t xml:space="preserve">Regime tile: </w:t>
      </w:r>
      <w:r>
        <w:rPr>
          <w:rFonts w:ascii="Arial" w:cs="Arial" w:eastAsia="Arial" w:hAnsi="Arial"/>
          <w:sz w:val="21"/>
          <w:szCs w:val="21"/>
        </w:rPr>
        <w:t xml:space="preserve">Current GEX-based regime (TREND-FRIENDLY, PINNING, etc.)</w:t>
      </w:r>
    </w:p>
    <w:p>
      <w:pPr>
        <w:pStyle w:val="ListParagraph"/>
        <w:numPr>
          <w:ilvl w:val="0"/>
          <w:numId w:val="2"/>
        </w:numPr>
        <w:spacing w:after="60"/>
      </w:pPr>
      <w:r>
        <w:rPr>
          <w:rFonts w:ascii="Arial" w:cs="Arial" w:eastAsia="Arial" w:hAnsi="Arial"/>
          <w:b/>
          <w:bCs/>
          <w:sz w:val="21"/>
          <w:szCs w:val="21"/>
        </w:rPr>
        <w:t xml:space="preserve">Trend &amp; State: </w:t>
      </w:r>
      <w:r>
        <w:rPr>
          <w:rFonts w:ascii="Arial" w:cs="Arial" w:eastAsia="Arial" w:hAnsi="Arial"/>
          <w:sz w:val="21"/>
          <w:szCs w:val="21"/>
        </w:rPr>
        <w:t xml:space="preserve">Mean reversion status with WR, SMA %, and MFI values</w:t>
      </w:r>
    </w:p>
    <w:p>
      <w:pPr>
        <w:pStyle w:val="ListParagraph"/>
        <w:numPr>
          <w:ilvl w:val="0"/>
          <w:numId w:val="2"/>
        </w:numPr>
        <w:spacing w:after="60"/>
      </w:pPr>
      <w:r>
        <w:rPr>
          <w:rFonts w:ascii="Arial" w:cs="Arial" w:eastAsia="Arial" w:hAnsi="Arial"/>
          <w:b/>
          <w:bCs/>
          <w:sz w:val="21"/>
          <w:szCs w:val="21"/>
        </w:rPr>
        <w:t xml:space="preserve">GEX Regime: </w:t>
      </w:r>
      <w:r>
        <w:rPr>
          <w:rFonts w:ascii="Arial" w:cs="Arial" w:eastAsia="Arial" w:hAnsi="Arial"/>
          <w:sz w:val="21"/>
          <w:szCs w:val="21"/>
        </w:rPr>
        <w:t xml:space="preserve">Dealer gamma positioning and its implications for price action</w:t>
      </w:r>
    </w:p>
    <w:p>
      <w:pPr>
        <w:pStyle w:val="ListParagraph"/>
        <w:numPr>
          <w:ilvl w:val="0"/>
          <w:numId w:val="2"/>
        </w:numPr>
        <w:spacing w:after="60"/>
      </w:pPr>
      <w:r>
        <w:rPr>
          <w:rFonts w:ascii="Arial" w:cs="Arial" w:eastAsia="Arial" w:hAnsi="Arial"/>
          <w:b/>
          <w:bCs/>
          <w:sz w:val="21"/>
          <w:szCs w:val="21"/>
        </w:rPr>
        <w:t xml:space="preserve">OI Walls: </w:t>
      </w:r>
      <w:r>
        <w:rPr>
          <w:rFonts w:ascii="Arial" w:cs="Arial" w:eastAsia="Arial" w:hAnsi="Arial"/>
          <w:sz w:val="21"/>
          <w:szCs w:val="21"/>
        </w:rPr>
        <w:t xml:space="preserve">Key resistance/support from open interest analysis</w:t>
      </w:r>
    </w:p>
    <w:p>
      <w:pPr>
        <w:pStyle w:val="ListParagraph"/>
        <w:numPr>
          <w:ilvl w:val="0"/>
          <w:numId w:val="2"/>
        </w:numPr>
        <w:spacing w:after="60"/>
      </w:pPr>
      <w:r>
        <w:rPr>
          <w:rFonts w:ascii="Arial" w:cs="Arial" w:eastAsia="Arial" w:hAnsi="Arial"/>
          <w:b/>
          <w:bCs/>
          <w:sz w:val="21"/>
          <w:szCs w:val="21"/>
        </w:rPr>
        <w:t xml:space="preserve">Expiry: </w:t>
      </w:r>
      <w:r>
        <w:rPr>
          <w:rFonts w:ascii="Arial" w:cs="Arial" w:eastAsia="Arial" w:hAnsi="Arial"/>
          <w:sz w:val="21"/>
          <w:szCs w:val="21"/>
        </w:rPr>
        <w:t xml:space="preserve">Days to expiry, pin risk assessment, theta decay warning</w:t>
      </w:r>
    </w:p>
    <w:p>
      <w:pPr>
        <w:pStyle w:val="ListParagraph"/>
        <w:numPr>
          <w:ilvl w:val="0"/>
          <w:numId w:val="2"/>
        </w:numPr>
        <w:spacing w:after="60"/>
      </w:pPr>
      <w:r>
        <w:rPr>
          <w:rFonts w:ascii="Arial" w:cs="Arial" w:eastAsia="Arial" w:hAnsi="Arial"/>
          <w:b/>
          <w:bCs/>
          <w:sz w:val="21"/>
          <w:szCs w:val="21"/>
        </w:rPr>
        <w:t xml:space="preserve">Williams %R: </w:t>
      </w:r>
      <w:r>
        <w:rPr>
          <w:rFonts w:ascii="Arial" w:cs="Arial" w:eastAsia="Arial" w:hAnsi="Arial"/>
          <w:sz w:val="21"/>
          <w:szCs w:val="21"/>
        </w:rPr>
        <w:t xml:space="preserve">WR depth interpretation and bounce probability</w:t>
      </w:r>
    </w:p>
    <w:p>
      <w:pPr>
        <w:pStyle w:val="ListParagraph"/>
        <w:numPr>
          <w:ilvl w:val="0"/>
          <w:numId w:val="2"/>
        </w:numPr>
        <w:spacing w:after="60"/>
      </w:pPr>
      <w:r>
        <w:rPr>
          <w:rFonts w:ascii="Arial" w:cs="Arial" w:eastAsia="Arial" w:hAnsi="Arial"/>
          <w:b/>
          <w:bCs/>
          <w:sz w:val="21"/>
          <w:szCs w:val="21"/>
        </w:rPr>
        <w:t xml:space="preserve">MFI Flow: </w:t>
      </w:r>
      <w:r>
        <w:rPr>
          <w:rFonts w:ascii="Arial" w:cs="Arial" w:eastAsia="Arial" w:hAnsi="Arial"/>
          <w:sz w:val="21"/>
          <w:szCs w:val="21"/>
        </w:rPr>
        <w:t xml:space="preserve">Institutional money flow direction and strength</w:t>
      </w:r>
    </w:p>
    <w:p>
      <w:pPr>
        <w:pStyle w:val="ListParagraph"/>
        <w:numPr>
          <w:ilvl w:val="0"/>
          <w:numId w:val="2"/>
        </w:numPr>
        <w:spacing w:after="60"/>
      </w:pPr>
      <w:r>
        <w:rPr>
          <w:rFonts w:ascii="Arial" w:cs="Arial" w:eastAsia="Arial" w:hAnsi="Arial"/>
          <w:b/>
          <w:bCs/>
          <w:sz w:val="21"/>
          <w:szCs w:val="21"/>
        </w:rPr>
        <w:t xml:space="preserve">Filing Intelligence: </w:t>
      </w:r>
      <w:r>
        <w:rPr>
          <w:rFonts w:ascii="Arial" w:cs="Arial" w:eastAsia="Arial" w:hAnsi="Arial"/>
          <w:sz w:val="21"/>
          <w:szCs w:val="21"/>
        </w:rPr>
        <w:t xml:space="preserve">Recent corporate filings, insider activity, setup classification</w:t>
      </w:r>
    </w:p>
    <w:p>
      <w:r>
        <w:br w:type="page"/>
      </w:r>
    </w:p>
    <w:p>
      <w:pPr>
        <w:pStyle w:val="Heading1"/>
      </w:pPr>
      <w:r>
        <w:t xml:space="preserve">5. Metric Definitions</w:t>
      </w:r>
    </w:p>
    <w:p>
      <w:pPr>
        <w:pStyle w:val="Heading2"/>
      </w:pPr>
      <w:r>
        <w:t xml:space="preserve">5.1 Technical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c>
          <w:tcPr>
            <w:tcW w:type="dxa" w:w="16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Metric</w:t>
            </w:r>
          </w:p>
        </w:tc>
        <w:tc>
          <w:tcPr>
            <w:tcW w:type="dxa" w:w="14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Period</w:t>
            </w:r>
          </w:p>
        </w:tc>
        <w:tc>
          <w:tcPr>
            <w:tcW w:type="dxa" w:w="35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Definition</w:t>
            </w:r>
          </w:p>
        </w:tc>
        <w:tc>
          <w:tcPr>
            <w:tcW w:type="dxa" w:w="28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WR (Williams %R)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30 bars (equity), 20 (ETF)</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Measures where price closed relative to the high-low range over N periods. Range: 0 to -100.</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&lt; -30 oversold; &lt; -50 deep; &lt; -80 extreme</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SMA</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20 (equity), 50 (ETF trend)</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Simple Moving Average of closing prices.</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Below = bearish; Above = bullish trend</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MFI</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14 bars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Money Flow Index: volume-weighted RSI. Measures institutional buying/selling pressure.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≥30 = acceptable flow; ≥50 = strong; &lt;30 = weak/capitulation</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ADX</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14 bars</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Average Directional Index. Measures trend strength regardless of direction.</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≥25 = trending; &lt;15 = range-bound</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BBW</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20 bars, 2σ</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Bollinger Band Width as % of middle band. Measures volatility.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SQUEEZE (&lt;20th pctl) = breakout pending; EXPANDED (&gt;80th) = volatile</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ATR</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14 bars</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Average True Range. Dollar measure of daily volatility.</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Used for trailing stop: peak - 2×ATR</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ROC</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10 bars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Rate of Change. Percentage price change over N bars.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&gt;0 = upward momentum; &gt;3% = strong</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DD</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50d high</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Drawdown from 50-day rolling high. Measures depth of pullback.</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≤-5% = moderate; ≤-10% = deep; ≤-20% = capitulation</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Red Streak</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Daily</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Count of consecutive down (red) candles.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 = selling pressure sustained</w:t>
            </w:r>
          </w:p>
        </w:tc>
      </w:tr>
    </w:tbl>
    <w:p>
      <w:pPr>
        <w:pStyle w:val="Heading2"/>
      </w:pPr>
      <w:r>
        <w:t xml:space="preserve">5.2 Options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c>
          <w:tcPr>
            <w:tcW w:type="dxa" w:w="16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Metric</w:t>
            </w:r>
          </w:p>
        </w:tc>
        <w:tc>
          <w:tcPr>
            <w:tcW w:type="dxa" w:w="14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356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Definition</w:t>
            </w:r>
          </w:p>
        </w:tc>
        <w:tc>
          <w:tcPr>
            <w:tcW w:type="dxa" w:w="28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PCR OI</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NSE options chain</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Put-Call Ratio by Open Interest. Total put OI / total call OI.</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&lt;0.7 bearish; 0.7–1.3 neutral; &gt;1.3 bullish (heavy put protection)</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NET GEX</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Calculated</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Gamma Exposure: net dealer gamma across strikes. In ₹ Crores.</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Positive = pinning (price sticky); Negative = volatile moves amplified</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OI Support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Strike-level OI</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Strike price with highest put open interest below spot.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Strong support floor; price tends to bounce here</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OI Resistance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Strike-level OI</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Strike price with highest call open interest above spot.</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Ceiling for upside; sellers defend this level</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Max Pain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Calculated</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Strike where total option holder losses are maximized.</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Price gravitates here near expiry</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DTE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Expiry calendar</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Days To Expiry for nearest options series.</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&lt;4d = pin risk; &gt;10d = normal</w:t>
            </w:r>
          </w:p>
        </w:tc>
      </w:tr>
    </w:tbl>
    <w:p>
      <w:pPr>
        <w:pStyle w:val="Heading2"/>
      </w:pPr>
      <w:r>
        <w:t xml:space="preserve">5.3 Sector &amp; Flow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Metric</w:t>
            </w:r>
          </w:p>
        </w:tc>
        <w:tc>
          <w:tcPr>
            <w:tcW w:type="dxa" w:w="702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Definition</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RS (Relative Strength)</w:t>
            </w:r>
          </w:p>
        </w:tc>
        <w:tc>
          <w:tcPr>
            <w:tcW w:type="dxa" w:w="7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Multi-timeframe momentum score vs NIFTY 500 benchmark. Weighted: 10D (30%), 1M (40%), 3M (30%).</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Convergence</w:t>
            </w:r>
          </w:p>
        </w:tc>
        <w:tc>
          <w:tcPr>
            <w:tcW w:type="dxa" w:w="70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RS trend acceleration. Positive = sector strengthening vs market.</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Rotation Phase</w:t>
            </w:r>
          </w:p>
        </w:tc>
        <w:tc>
          <w:tcPr>
            <w:tcW w:type="dxa" w:w="7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LEADING (RS+, Conv+), WEAKENING (RS+, Conv-), IMPROVING (RS-, Conv+), LAGGING (RS-, Conv-)</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FII/DII Net</w:t>
            </w:r>
          </w:p>
        </w:tc>
        <w:tc>
          <w:tcPr>
            <w:tcW w:type="dxa" w:w="70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Foreign Institutional / Domestic Institutional daily net buy/sell in ₹ Crores.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ADTV</w:t>
            </w:r>
          </w:p>
        </w:tc>
        <w:tc>
          <w:tcPr>
            <w:tcW w:type="dxa" w:w="7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Average Daily Traded Value. 20-day mean of Close × Volume, in ₹ Crores.</w:t>
            </w:r>
          </w:p>
        </w:tc>
      </w:tr>
    </w:tbl>
    <w:p>
      <w:r>
        <w:br w:type="page"/>
      </w:r>
    </w:p>
    <w:p>
      <w:pPr>
        <w:pStyle w:val="Heading1"/>
      </w:pPr>
      <w:r>
        <w:t xml:space="preserve">6. How to Read &amp; Act on Signals</w:t>
      </w:r>
    </w:p>
    <w:p>
      <w:pPr>
        <w:pStyle w:val="Heading2"/>
      </w:pPr>
      <w:r>
        <w:t xml:space="preserve">6.1 Equity Scanner Workflow</w:t>
      </w:r>
    </w:p>
    <w:p>
      <w:pPr>
        <w:spacing w:after="120"/>
      </w:pPr>
      <w:r>
        <w:rPr>
          <w:rFonts w:ascii="Arial" w:cs="Arial" w:eastAsia="Arial" w:hAnsi="Arial"/>
          <w:sz w:val="21"/>
          <w:szCs w:val="21"/>
        </w:rPr>
        <w:t xml:space="preserve">When you run the Scanner (NIFTY 100 or F&amp;O Full), the system scores every stock and ranks them. Here is the decision process:</w:t>
      </w:r>
    </w:p>
    <w:p>
      <w:pPr>
        <w:pStyle w:val="ListParagraph"/>
        <w:numPr>
          <w:ilvl w:val="0"/>
          <w:numId w:val="3"/>
        </w:numPr>
        <w:spacing w:after="80"/>
      </w:pPr>
      <w:r>
        <w:rPr>
          <w:rFonts w:ascii="Arial" w:cs="Arial" w:eastAsia="Arial" w:hAnsi="Arial"/>
          <w:sz w:val="21"/>
          <w:szCs w:val="21"/>
        </w:rPr>
        <w:t xml:space="preserve">Run Scanner. Look at the top-ranked entries (sorted by score descending).</w:t>
      </w:r>
    </w:p>
    <w:p>
      <w:pPr>
        <w:pStyle w:val="ListParagraph"/>
        <w:numPr>
          <w:ilvl w:val="0"/>
          <w:numId w:val="3"/>
        </w:numPr>
        <w:spacing w:after="80"/>
      </w:pPr>
      <w:r>
        <w:rPr>
          <w:rFonts w:ascii="Arial" w:cs="Arial" w:eastAsia="Arial" w:hAnsi="Arial"/>
          <w:sz w:val="21"/>
          <w:szCs w:val="21"/>
        </w:rPr>
        <w:t xml:space="preserve">Check Verdict column: ▶ BUY FULL = highest conviction. ▷ BUY HALF = lower conviction.</w:t>
      </w:r>
    </w:p>
    <w:p>
      <w:pPr>
        <w:pStyle w:val="ListParagraph"/>
        <w:numPr>
          <w:ilvl w:val="0"/>
          <w:numId w:val="3"/>
        </w:numPr>
        <w:spacing w:after="80"/>
      </w:pPr>
      <w:r>
        <w:rPr>
          <w:rFonts w:ascii="Arial" w:cs="Arial" w:eastAsia="Arial" w:hAnsi="Arial"/>
          <w:sz w:val="21"/>
          <w:szCs w:val="21"/>
        </w:rPr>
        <w:t xml:space="preserve">Double-click to open in Dashboard for deep-dive analysis.</w:t>
      </w:r>
    </w:p>
    <w:p>
      <w:pPr>
        <w:pStyle w:val="ListParagraph"/>
        <w:numPr>
          <w:ilvl w:val="0"/>
          <w:numId w:val="3"/>
        </w:numPr>
        <w:spacing w:after="80"/>
      </w:pPr>
      <w:r>
        <w:rPr>
          <w:rFonts w:ascii="Arial" w:cs="Arial" w:eastAsia="Arial" w:hAnsi="Arial"/>
          <w:sz w:val="21"/>
          <w:szCs w:val="21"/>
        </w:rPr>
        <w:t xml:space="preserve">Review Pre-Trade Checklist: all green = strongest setup.</w:t>
      </w:r>
    </w:p>
    <w:p>
      <w:pPr>
        <w:pStyle w:val="ListParagraph"/>
        <w:numPr>
          <w:ilvl w:val="0"/>
          <w:numId w:val="3"/>
        </w:numPr>
        <w:spacing w:after="80"/>
      </w:pPr>
      <w:r>
        <w:rPr>
          <w:rFonts w:ascii="Arial" w:cs="Arial" w:eastAsia="Arial" w:hAnsi="Arial"/>
          <w:sz w:val="21"/>
          <w:szCs w:val="21"/>
        </w:rPr>
        <w:t xml:space="preserve">Check Risk Notes in Trade Viability. If PCR is bearish or TRAP is flagged, reduce conviction.</w:t>
      </w:r>
    </w:p>
    <w:p>
      <w:pPr>
        <w:pStyle w:val="ListParagraph"/>
        <w:numPr>
          <w:ilvl w:val="0"/>
          <w:numId w:val="3"/>
        </w:numPr>
        <w:spacing w:after="80"/>
      </w:pPr>
      <w:r>
        <w:rPr>
          <w:rFonts w:ascii="Arial" w:cs="Arial" w:eastAsia="Arial" w:hAnsi="Arial"/>
          <w:sz w:val="21"/>
          <w:szCs w:val="21"/>
        </w:rPr>
        <w:t xml:space="preserve">Enter position at market. Set alerts for +5% profit target.</w:t>
      </w:r>
    </w:p>
    <w:p>
      <w:pPr>
        <w:pStyle w:val="ListParagraph"/>
        <w:numPr>
          <w:ilvl w:val="0"/>
          <w:numId w:val="3"/>
        </w:numPr>
        <w:spacing w:after="80"/>
      </w:pPr>
      <w:r>
        <w:rPr>
          <w:rFonts w:ascii="Arial" w:cs="Arial" w:eastAsia="Arial" w:hAnsi="Arial"/>
          <w:sz w:val="21"/>
          <w:szCs w:val="21"/>
        </w:rPr>
        <w:t xml:space="preserve">Monitor daily: exit on +5% PT, BBW contraction above SMA, or 25-day max hold.</w:t>
      </w:r>
    </w:p>
    <w:p>
      <w:pPr>
        <w:pStyle w:val="Heading2"/>
      </w:pPr>
      <w:r>
        <w:t xml:space="preserve">6.2 ETF Momentum Workflow</w:t>
      </w:r>
    </w:p>
    <w:p>
      <w:pPr>
        <w:pStyle w:val="ListParagraph"/>
        <w:numPr>
          <w:ilvl w:val="0"/>
          <w:numId w:val="3"/>
        </w:numPr>
        <w:spacing w:after="80"/>
      </w:pPr>
      <w:r>
        <w:rPr>
          <w:rFonts w:ascii="Arial" w:cs="Arial" w:eastAsia="Arial" w:hAnsi="Arial"/>
          <w:sz w:val="21"/>
          <w:szCs w:val="21"/>
        </w:rPr>
        <w:t xml:space="preserve">Click Scan ETFs. System scans 31 NSE ETFs.</w:t>
      </w:r>
    </w:p>
    <w:p>
      <w:pPr>
        <w:pStyle w:val="ListParagraph"/>
        <w:numPr>
          <w:ilvl w:val="0"/>
          <w:numId w:val="3"/>
        </w:numPr>
        <w:spacing w:after="80"/>
      </w:pPr>
      <w:r>
        <w:rPr>
          <w:rFonts w:ascii="Arial" w:cs="Arial" w:eastAsia="Arial" w:hAnsi="Arial"/>
          <w:sz w:val="21"/>
          <w:szCs w:val="21"/>
        </w:rPr>
        <w:t xml:space="preserve">Look for Trend = ▲ UP (above SMA 50). Ignore ▼ DN entries (no uptrend).</w:t>
      </w:r>
    </w:p>
    <w:p>
      <w:pPr>
        <w:pStyle w:val="ListParagraph"/>
        <w:numPr>
          <w:ilvl w:val="0"/>
          <w:numId w:val="3"/>
        </w:numPr>
        <w:spacing w:after="80"/>
      </w:pPr>
      <w:r>
        <w:rPr>
          <w:rFonts w:ascii="Arial" w:cs="Arial" w:eastAsia="Arial" w:hAnsi="Arial"/>
          <w:sz w:val="21"/>
          <w:szCs w:val="21"/>
        </w:rPr>
        <w:t xml:space="preserve">WAIT verdicts = dip is happening but hasn't recovered. Watch daily for recovery.</w:t>
      </w:r>
    </w:p>
    <w:p>
      <w:pPr>
        <w:pStyle w:val="ListParagraph"/>
        <w:numPr>
          <w:ilvl w:val="0"/>
          <w:numId w:val="3"/>
        </w:numPr>
        <w:spacing w:after="80"/>
      </w:pPr>
      <w:r>
        <w:rPr>
          <w:rFonts w:ascii="Arial" w:cs="Arial" w:eastAsia="Arial" w:hAnsi="Arial"/>
          <w:sz w:val="21"/>
          <w:szCs w:val="21"/>
        </w:rPr>
        <w:t xml:space="preserve">When WR recovers above -30 and entry triggers: check ADTV ≥ ₹1 Cr (liquid enough).</w:t>
      </w:r>
    </w:p>
    <w:p>
      <w:pPr>
        <w:pStyle w:val="ListParagraph"/>
        <w:numPr>
          <w:ilvl w:val="0"/>
          <w:numId w:val="3"/>
        </w:numPr>
        <w:spacing w:after="80"/>
      </w:pPr>
      <w:r>
        <w:rPr>
          <w:rFonts w:ascii="Arial" w:cs="Arial" w:eastAsia="Arial" w:hAnsi="Arial"/>
          <w:sz w:val="21"/>
          <w:szCs w:val="21"/>
        </w:rPr>
        <w:t xml:space="preserve">Enter position. Track trailing stop = peak price - 2×ATR daily.</w:t>
      </w:r>
    </w:p>
    <w:p>
      <w:pPr>
        <w:pStyle w:val="ListParagraph"/>
        <w:numPr>
          <w:ilvl w:val="0"/>
          <w:numId w:val="3"/>
        </w:numPr>
        <w:spacing w:after="80"/>
      </w:pPr>
      <w:r>
        <w:rPr>
          <w:rFonts w:ascii="Arial" w:cs="Arial" w:eastAsia="Arial" w:hAnsi="Arial"/>
          <w:sz w:val="21"/>
          <w:szCs w:val="21"/>
        </w:rPr>
        <w:t xml:space="preserve">Exit when: trailing stop hit, price closes below SMA(20), +10% PT reached, or 40d max hold.</w:t>
      </w:r>
    </w:p>
    <w:p>
      <w:pPr>
        <w:pStyle w:val="Heading2"/>
      </w:pPr>
      <w:r>
        <w:t xml:space="preserve">6.3 What Makes a Strong Setup</w:t>
      </w:r>
    </w:p>
    <w:p>
      <w:pPr>
        <w:spacing w:after="120"/>
      </w:pPr>
      <w:r>
        <w:rPr>
          <w:rFonts w:ascii="Arial" w:cs="Arial" w:eastAsia="Arial" w:hAnsi="Arial"/>
          <w:sz w:val="21"/>
          <w:szCs w:val="21"/>
        </w:rPr>
        <w:t xml:space="preserve">The best setups combine multiple confirming factors:</w:t>
      </w:r>
    </w:p>
    <w:p>
      <w:pPr>
        <w:pStyle w:val="ListParagraph"/>
        <w:numPr>
          <w:ilvl w:val="0"/>
          <w:numId w:val="2"/>
        </w:numPr>
        <w:spacing w:after="60"/>
      </w:pPr>
      <w:r>
        <w:rPr>
          <w:rFonts w:ascii="Arial" w:cs="Arial" w:eastAsia="Arial" w:hAnsi="Arial"/>
          <w:b/>
          <w:bCs/>
          <w:sz w:val="21"/>
          <w:szCs w:val="21"/>
        </w:rPr>
        <w:t xml:space="preserve">Score ≥ 75: </w:t>
      </w:r>
      <w:r>
        <w:rPr>
          <w:rFonts w:ascii="Arial" w:cs="Arial" w:eastAsia="Arial" w:hAnsi="Arial"/>
          <w:sz w:val="21"/>
          <w:szCs w:val="21"/>
        </w:rPr>
        <w:t xml:space="preserve">Technical factors strongly aligned</w:t>
      </w:r>
    </w:p>
    <w:p>
      <w:pPr>
        <w:pStyle w:val="ListParagraph"/>
        <w:numPr>
          <w:ilvl w:val="0"/>
          <w:numId w:val="2"/>
        </w:numPr>
        <w:spacing w:after="60"/>
      </w:pPr>
      <w:r>
        <w:rPr>
          <w:rFonts w:ascii="Arial" w:cs="Arial" w:eastAsia="Arial" w:hAnsi="Arial"/>
          <w:b/>
          <w:bCs/>
          <w:sz w:val="21"/>
          <w:szCs w:val="21"/>
        </w:rPr>
        <w:t xml:space="preserve">PRIMARY tier: </w:t>
      </w:r>
      <w:r>
        <w:rPr>
          <w:rFonts w:ascii="Arial" w:cs="Arial" w:eastAsia="Arial" w:hAnsi="Arial"/>
          <w:sz w:val="21"/>
          <w:szCs w:val="21"/>
        </w:rPr>
        <w:t xml:space="preserve">All 7 conditions met, not just the core 3</w:t>
      </w:r>
    </w:p>
    <w:p>
      <w:pPr>
        <w:pStyle w:val="ListParagraph"/>
        <w:numPr>
          <w:ilvl w:val="0"/>
          <w:numId w:val="2"/>
        </w:numPr>
        <w:spacing w:after="60"/>
      </w:pPr>
      <w:r>
        <w:rPr>
          <w:rFonts w:ascii="Arial" w:cs="Arial" w:eastAsia="Arial" w:hAnsi="Arial"/>
          <w:b/>
          <w:bCs/>
          <w:sz w:val="21"/>
          <w:szCs w:val="21"/>
        </w:rPr>
        <w:t xml:space="preserve">Options supportive: </w:t>
      </w:r>
      <w:r>
        <w:rPr>
          <w:rFonts w:ascii="Arial" w:cs="Arial" w:eastAsia="Arial" w:hAnsi="Arial"/>
          <w:sz w:val="21"/>
          <w:szCs w:val="21"/>
        </w:rPr>
        <w:t xml:space="preserve">PCR &gt; 1.0 (put protection), GEX neutral or positive</w:t>
      </w:r>
    </w:p>
    <w:p>
      <w:pPr>
        <w:pStyle w:val="ListParagraph"/>
        <w:numPr>
          <w:ilvl w:val="0"/>
          <w:numId w:val="2"/>
        </w:numPr>
        <w:spacing w:after="60"/>
      </w:pPr>
      <w:r>
        <w:rPr>
          <w:rFonts w:ascii="Arial" w:cs="Arial" w:eastAsia="Arial" w:hAnsi="Arial"/>
          <w:b/>
          <w:bCs/>
          <w:sz w:val="21"/>
          <w:szCs w:val="21"/>
        </w:rPr>
        <w:t xml:space="preserve">No TRAP: </w:t>
      </w:r>
      <w:r>
        <w:rPr>
          <w:rFonts w:ascii="Arial" w:cs="Arial" w:eastAsia="Arial" w:hAnsi="Arial"/>
          <w:sz w:val="21"/>
          <w:szCs w:val="21"/>
        </w:rPr>
        <w:t xml:space="preserve">No adverse insider filings</w:t>
      </w:r>
    </w:p>
    <w:p>
      <w:pPr>
        <w:pStyle w:val="ListParagraph"/>
        <w:numPr>
          <w:ilvl w:val="0"/>
          <w:numId w:val="2"/>
        </w:numPr>
        <w:spacing w:after="60"/>
      </w:pPr>
      <w:r>
        <w:rPr>
          <w:rFonts w:ascii="Arial" w:cs="Arial" w:eastAsia="Arial" w:hAnsi="Arial"/>
          <w:b/>
          <w:bCs/>
          <w:sz w:val="21"/>
          <w:szCs w:val="21"/>
        </w:rPr>
        <w:t xml:space="preserve">Sector LEADING/IMPROVING: </w:t>
      </w:r>
      <w:r>
        <w:rPr>
          <w:rFonts w:ascii="Arial" w:cs="Arial" w:eastAsia="Arial" w:hAnsi="Arial"/>
          <w:sz w:val="21"/>
          <w:szCs w:val="21"/>
        </w:rPr>
        <w:t xml:space="preserve">The sector itself has tailwind, not just the stock</w:t>
      </w:r>
    </w:p>
    <w:p>
      <w:pPr>
        <w:pStyle w:val="ListParagraph"/>
        <w:numPr>
          <w:ilvl w:val="0"/>
          <w:numId w:val="2"/>
        </w:numPr>
        <w:spacing w:after="60"/>
      </w:pPr>
      <w:r>
        <w:rPr>
          <w:rFonts w:ascii="Arial" w:cs="Arial" w:eastAsia="Arial" w:hAnsi="Arial"/>
          <w:b/>
          <w:bCs/>
          <w:sz w:val="21"/>
          <w:szCs w:val="21"/>
        </w:rPr>
        <w:t xml:space="preserve">Volume present: </w:t>
      </w:r>
      <w:r>
        <w:rPr>
          <w:rFonts w:ascii="Arial" w:cs="Arial" w:eastAsia="Arial" w:hAnsi="Arial"/>
          <w:sz w:val="21"/>
          <w:szCs w:val="21"/>
        </w:rPr>
        <w:t xml:space="preserve">Vol ratio ≥ 1.0x shows genuine market interest</w:t>
      </w:r>
    </w:p>
    <w:p>
      <w:pPr>
        <w:pStyle w:val="Heading2"/>
      </w:pPr>
      <w:r>
        <w:t xml:space="preserve">6.4 Red Flags (Reduce Conviction)</w:t>
      </w:r>
    </w:p>
    <w:p>
      <w:pPr>
        <w:pStyle w:val="ListParagraph"/>
        <w:numPr>
          <w:ilvl w:val="0"/>
          <w:numId w:val="2"/>
        </w:numPr>
        <w:spacing w:after="60"/>
      </w:pPr>
      <w:r>
        <w:rPr>
          <w:rFonts w:ascii="Arial" w:cs="Arial" w:eastAsia="Arial" w:hAnsi="Arial"/>
          <w:b/>
          <w:bCs/>
          <w:sz w:val="21"/>
          <w:szCs w:val="21"/>
        </w:rPr>
        <w:t xml:space="preserve">PCR bearish (&lt; 0.7): </w:t>
      </w:r>
      <w:r>
        <w:rPr>
          <w:rFonts w:ascii="Arial" w:cs="Arial" w:eastAsia="Arial" w:hAnsi="Arial"/>
          <w:sz w:val="21"/>
          <w:szCs w:val="21"/>
        </w:rPr>
        <w:t xml:space="preserve">Options market positioned for more downside</w:t>
      </w:r>
    </w:p>
    <w:p>
      <w:pPr>
        <w:pStyle w:val="ListParagraph"/>
        <w:numPr>
          <w:ilvl w:val="0"/>
          <w:numId w:val="2"/>
        </w:numPr>
        <w:spacing w:after="60"/>
      </w:pPr>
      <w:r>
        <w:rPr>
          <w:rFonts w:ascii="Arial" w:cs="Arial" w:eastAsia="Arial" w:hAnsi="Arial"/>
          <w:b/>
          <w:bCs/>
          <w:sz w:val="21"/>
          <w:szCs w:val="21"/>
        </w:rPr>
        <w:t xml:space="preserve">TRAP or insider selling: </w:t>
      </w:r>
      <w:r>
        <w:rPr>
          <w:rFonts w:ascii="Arial" w:cs="Arial" w:eastAsia="Arial" w:hAnsi="Arial"/>
          <w:sz w:val="21"/>
          <w:szCs w:val="21"/>
        </w:rPr>
        <w:t xml:space="preserve">Management knows something negative</w:t>
      </w:r>
    </w:p>
    <w:p>
      <w:pPr>
        <w:pStyle w:val="ListParagraph"/>
        <w:numPr>
          <w:ilvl w:val="0"/>
          <w:numId w:val="2"/>
        </w:numPr>
        <w:spacing w:after="60"/>
      </w:pPr>
      <w:r>
        <w:rPr>
          <w:rFonts w:ascii="Arial" w:cs="Arial" w:eastAsia="Arial" w:hAnsi="Arial"/>
          <w:b/>
          <w:bCs/>
          <w:sz w:val="21"/>
          <w:szCs w:val="21"/>
        </w:rPr>
        <w:t xml:space="preserve">Sector LAGGING/WEAKENING: </w:t>
      </w:r>
      <w:r>
        <w:rPr>
          <w:rFonts w:ascii="Arial" w:cs="Arial" w:eastAsia="Arial" w:hAnsi="Arial"/>
          <w:sz w:val="21"/>
          <w:szCs w:val="21"/>
        </w:rPr>
        <w:t xml:space="preserve">Entire sector has headwind</w:t>
      </w:r>
    </w:p>
    <w:p>
      <w:pPr>
        <w:pStyle w:val="ListParagraph"/>
        <w:numPr>
          <w:ilvl w:val="0"/>
          <w:numId w:val="2"/>
        </w:numPr>
        <w:spacing w:after="60"/>
      </w:pPr>
      <w:r>
        <w:rPr>
          <w:rFonts w:ascii="Arial" w:cs="Arial" w:eastAsia="Arial" w:hAnsi="Arial"/>
          <w:b/>
          <w:bCs/>
          <w:sz w:val="21"/>
          <w:szCs w:val="21"/>
        </w:rPr>
        <w:t xml:space="preserve">MFI &lt; 30 (capitulation): </w:t>
      </w:r>
      <w:r>
        <w:rPr>
          <w:rFonts w:ascii="Arial" w:cs="Arial" w:eastAsia="Arial" w:hAnsi="Arial"/>
          <w:sz w:val="21"/>
          <w:szCs w:val="21"/>
        </w:rPr>
        <w:t xml:space="preserve">No institutional buyers yet. Wait for MFI to recover.</w:t>
      </w:r>
    </w:p>
    <w:p>
      <w:pPr>
        <w:pStyle w:val="ListParagraph"/>
        <w:numPr>
          <w:ilvl w:val="0"/>
          <w:numId w:val="2"/>
        </w:numPr>
        <w:spacing w:after="60"/>
      </w:pPr>
      <w:r>
        <w:rPr>
          <w:rFonts w:ascii="Arial" w:cs="Arial" w:eastAsia="Arial" w:hAnsi="Arial"/>
          <w:b/>
          <w:bCs/>
          <w:sz w:val="21"/>
          <w:szCs w:val="21"/>
        </w:rPr>
        <w:t xml:space="preserve">Multiple correlated entries: </w:t>
      </w:r>
      <w:r>
        <w:rPr>
          <w:rFonts w:ascii="Arial" w:cs="Arial" w:eastAsia="Arial" w:hAnsi="Arial"/>
          <w:sz w:val="21"/>
          <w:szCs w:val="21"/>
        </w:rPr>
        <w:t xml:space="preserve">If scanner shows 8 banking stocks all firing PRIMARY, that is one concentrated bet on banking, not 8 independent trades</w:t>
      </w:r>
    </w:p>
    <w:p>
      <w:r>
        <w:br w:type="page"/>
      </w:r>
    </w:p>
    <w:p>
      <w:pPr>
        <w:pStyle w:val="Heading1"/>
      </w:pPr>
      <w:r>
        <w:t xml:space="preserve">7. Validation Methodology</w:t>
      </w:r>
    </w:p>
    <w:p>
      <w:pPr>
        <w:pStyle w:val="Heading2"/>
      </w:pPr>
      <w:r>
        <w:t xml:space="preserve">7.1 Walk-Forward Optimization</w:t>
      </w:r>
    </w:p>
    <w:p>
      <w:pPr>
        <w:spacing w:after="120"/>
      </w:pPr>
      <w:r>
        <w:rPr>
          <w:rFonts w:ascii="Arial" w:cs="Arial" w:eastAsia="Arial" w:hAnsi="Arial"/>
          <w:sz w:val="21"/>
          <w:szCs w:val="21"/>
        </w:rPr>
        <w:t xml:space="preserve">Every parameter in the system was selected through walk-forward optimization, the gold standard for strategy validation. The process:</w:t>
      </w:r>
    </w:p>
    <w:p>
      <w:pPr>
        <w:pStyle w:val="ListParagraph"/>
        <w:numPr>
          <w:ilvl w:val="0"/>
          <w:numId w:val="3"/>
        </w:numPr>
        <w:spacing w:after="80"/>
      </w:pPr>
      <w:r>
        <w:rPr>
          <w:rFonts w:ascii="Arial" w:cs="Arial" w:eastAsia="Arial" w:hAnsi="Arial"/>
          <w:sz w:val="21"/>
          <w:szCs w:val="21"/>
        </w:rPr>
        <w:t xml:space="preserve">Divide historical data into rolling windows: 18-month train, 6-month test, advancing 6 months.</w:t>
      </w:r>
    </w:p>
    <w:p>
      <w:pPr>
        <w:pStyle w:val="ListParagraph"/>
        <w:numPr>
          <w:ilvl w:val="0"/>
          <w:numId w:val="3"/>
        </w:numPr>
        <w:spacing w:after="80"/>
      </w:pPr>
      <w:r>
        <w:rPr>
          <w:rFonts w:ascii="Arial" w:cs="Arial" w:eastAsia="Arial" w:hAnsi="Arial"/>
          <w:sz w:val="21"/>
          <w:szCs w:val="21"/>
        </w:rPr>
        <w:t xml:space="preserve">In each training window, sweep 576 parameter combinations and select the best by IS Sharpe.</w:t>
      </w:r>
    </w:p>
    <w:p>
      <w:pPr>
        <w:pStyle w:val="ListParagraph"/>
        <w:numPr>
          <w:ilvl w:val="0"/>
          <w:numId w:val="3"/>
        </w:numPr>
        <w:spacing w:after="80"/>
      </w:pPr>
      <w:r>
        <w:rPr>
          <w:rFonts w:ascii="Arial" w:cs="Arial" w:eastAsia="Arial" w:hAnsi="Arial"/>
          <w:sz w:val="21"/>
          <w:szCs w:val="21"/>
        </w:rPr>
        <w:t xml:space="preserve">Apply the selected parameters to the unseen test window and record OOS performance.</w:t>
      </w:r>
    </w:p>
    <w:p>
      <w:pPr>
        <w:pStyle w:val="ListParagraph"/>
        <w:numPr>
          <w:ilvl w:val="0"/>
          <w:numId w:val="3"/>
        </w:numPr>
        <w:spacing w:after="80"/>
      </w:pPr>
      <w:r>
        <w:rPr>
          <w:rFonts w:ascii="Arial" w:cs="Arial" w:eastAsia="Arial" w:hAnsi="Arial"/>
          <w:sz w:val="21"/>
          <w:szCs w:val="21"/>
        </w:rPr>
        <w:t xml:space="preserve">Advance 6 months and repeat. Parameters may change between folds.</w:t>
      </w:r>
    </w:p>
    <w:p>
      <w:pPr>
        <w:pStyle w:val="ListParagraph"/>
        <w:numPr>
          <w:ilvl w:val="0"/>
          <w:numId w:val="3"/>
        </w:numPr>
        <w:spacing w:after="80"/>
      </w:pPr>
      <w:r>
        <w:rPr>
          <w:rFonts w:ascii="Arial" w:cs="Arial" w:eastAsia="Arial" w:hAnsi="Arial"/>
          <w:sz w:val="21"/>
          <w:szCs w:val="21"/>
        </w:rPr>
        <w:t xml:space="preserve">Aggregate all OOS trades (never trained on) for final performance metrics.</w:t>
      </w:r>
    </w:p>
    <w:p>
      <w:pPr>
        <w:pStyle w:val="Heading2"/>
      </w:pPr>
      <w:r>
        <w:t xml:space="preserve">7.2 Parameter Stability</w:t>
      </w:r>
    </w:p>
    <w:p>
      <w:pPr>
        <w:spacing w:after="120"/>
      </w:pPr>
      <w:r>
        <w:rPr>
          <w:rFonts w:ascii="Arial" w:cs="Arial" w:eastAsia="Arial" w:hAnsi="Arial"/>
          <w:sz w:val="21"/>
          <w:szCs w:val="21"/>
        </w:rPr>
        <w:t xml:space="preserve">The most trustworthy parameters are those chosen unanimously across all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2000"/>
        <w:gridCol w:w="3020"/>
      </w:tblGrid>
      <w:tr>
        <w:tc>
          <w:tcPr>
            <w:tcW w:type="dxa" w:w="234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Parameter</w:t>
            </w:r>
          </w:p>
        </w:tc>
        <w:tc>
          <w:tcPr>
            <w:tcW w:type="dxa" w:w="20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Equity (5 folds)</w:t>
            </w:r>
          </w:p>
        </w:tc>
        <w:tc>
          <w:tcPr>
            <w:tcW w:type="dxa" w:w="200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ETF (2 folds)</w:t>
            </w:r>
          </w:p>
        </w:tc>
        <w:tc>
          <w:tcPr>
            <w:tcW w:type="dxa" w:w="302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Stability</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Profit Target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5% (5/5)</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10% (N/A)</w:t>
            </w:r>
          </w:p>
        </w:tc>
        <w:tc>
          <w:tcPr>
            <w:tcW w:type="dxa" w:w="3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Locked</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DD Threshold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-5% (5/5)</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N/A</w:t>
            </w:r>
          </w:p>
        </w:tc>
        <w:tc>
          <w:tcPr>
            <w:tcW w:type="dxa" w:w="30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Locked</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Streak Minimum</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 (5/5)</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N/A</w:t>
            </w:r>
          </w:p>
        </w:tc>
        <w:tc>
          <w:tcPr>
            <w:tcW w:type="dxa" w:w="3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Locked</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SMA Period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20 (4/5)</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20 (2/2)</w:t>
            </w:r>
          </w:p>
        </w:tc>
        <w:tc>
          <w:tcPr>
            <w:tcW w:type="dxa" w:w="30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Stable</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MFI Minimum</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30 (3/5)</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N/A</w:t>
            </w:r>
          </w:p>
        </w:tc>
        <w:tc>
          <w:tcPr>
            <w:tcW w:type="dxa" w:w="3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Stable</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Entry Mode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N/A</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pullback_in_trend (2/2)</w:t>
            </w:r>
          </w:p>
        </w:tc>
        <w:tc>
          <w:tcPr>
            <w:tcW w:type="dxa" w:w="30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Locked</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Trail ATR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N/A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2.0 (2/2)</w:t>
            </w:r>
          </w:p>
        </w:tc>
        <w:tc>
          <w:tcPr>
            <w:tcW w:type="dxa" w:w="3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Locked</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WR Dip Level</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N/A</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-60 (2/2)</w:t>
            </w:r>
          </w:p>
        </w:tc>
        <w:tc>
          <w:tcPr>
            <w:tcW w:type="dxa" w:w="30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Locked</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WR Period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Varies (14/20/30)</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20 (2/2)</w:t>
            </w:r>
          </w:p>
        </w:tc>
        <w:tc>
          <w:tcPr>
            <w:tcW w:type="dxa" w:w="3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Unstable (equity)</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Max Hold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25 (3/5)</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40 (split 30/50)</w:t>
            </w:r>
          </w:p>
        </w:tc>
        <w:tc>
          <w:tcPr>
            <w:tcW w:type="dxa" w:w="30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Moderate</w:t>
            </w:r>
          </w:p>
        </w:tc>
      </w:tr>
    </w:tbl>
    <w:p>
      <w:pPr>
        <w:pStyle w:val="Heading2"/>
      </w:pPr>
      <w:r>
        <w:t xml:space="preserve">7.3 Key Metrics Explained</w:t>
      </w:r>
    </w:p>
    <w:p>
      <w:pPr>
        <w:pStyle w:val="ListParagraph"/>
        <w:numPr>
          <w:ilvl w:val="0"/>
          <w:numId w:val="2"/>
        </w:numPr>
        <w:spacing w:after="60"/>
      </w:pPr>
      <w:r>
        <w:rPr>
          <w:rFonts w:ascii="Arial" w:cs="Arial" w:eastAsia="Arial" w:hAnsi="Arial"/>
          <w:b/>
          <w:bCs/>
          <w:sz w:val="21"/>
          <w:szCs w:val="21"/>
        </w:rPr>
        <w:t xml:space="preserve">Sharpe Ratio: </w:t>
      </w:r>
      <w:r>
        <w:rPr>
          <w:rFonts w:ascii="Arial" w:cs="Arial" w:eastAsia="Arial" w:hAnsi="Arial"/>
          <w:sz w:val="21"/>
          <w:szCs w:val="21"/>
        </w:rPr>
        <w:t xml:space="preserve">Risk-adjusted return. Annualized: mean return / std dev × √(252/avg_hold). Above 1.0 is good; above 2.0 is excellent.</w:t>
      </w:r>
    </w:p>
    <w:p>
      <w:pPr>
        <w:pStyle w:val="ListParagraph"/>
        <w:numPr>
          <w:ilvl w:val="0"/>
          <w:numId w:val="2"/>
        </w:numPr>
        <w:spacing w:after="60"/>
      </w:pPr>
      <w:r>
        <w:rPr>
          <w:rFonts w:ascii="Arial" w:cs="Arial" w:eastAsia="Arial" w:hAnsi="Arial"/>
          <w:b/>
          <w:bCs/>
          <w:sz w:val="21"/>
          <w:szCs w:val="21"/>
        </w:rPr>
        <w:t xml:space="preserve">Win Rate: </w:t>
      </w:r>
      <w:r>
        <w:rPr>
          <w:rFonts w:ascii="Arial" w:cs="Arial" w:eastAsia="Arial" w:hAnsi="Arial"/>
          <w:sz w:val="21"/>
          <w:szCs w:val="21"/>
        </w:rPr>
        <w:t xml:space="preserve">Percentage of trades that were profitable. 60–75% is typical for mean-reversion.</w:t>
      </w:r>
    </w:p>
    <w:p>
      <w:pPr>
        <w:pStyle w:val="ListParagraph"/>
        <w:numPr>
          <w:ilvl w:val="0"/>
          <w:numId w:val="2"/>
        </w:numPr>
        <w:spacing w:after="60"/>
      </w:pPr>
      <w:r>
        <w:rPr>
          <w:rFonts w:ascii="Arial" w:cs="Arial" w:eastAsia="Arial" w:hAnsi="Arial"/>
          <w:b/>
          <w:bCs/>
          <w:sz w:val="21"/>
          <w:szCs w:val="21"/>
        </w:rPr>
        <w:t xml:space="preserve">Profit Factor: </w:t>
      </w:r>
      <w:r>
        <w:rPr>
          <w:rFonts w:ascii="Arial" w:cs="Arial" w:eastAsia="Arial" w:hAnsi="Arial"/>
          <w:sz w:val="21"/>
          <w:szCs w:val="21"/>
        </w:rPr>
        <w:t xml:space="preserve">Gross profit / gross loss. Above 1.5 is a clear edge.</w:t>
      </w:r>
    </w:p>
    <w:p>
      <w:pPr>
        <w:pStyle w:val="ListParagraph"/>
        <w:numPr>
          <w:ilvl w:val="0"/>
          <w:numId w:val="2"/>
        </w:numPr>
        <w:spacing w:after="60"/>
      </w:pPr>
      <w:r>
        <w:rPr>
          <w:rFonts w:ascii="Arial" w:cs="Arial" w:eastAsia="Arial" w:hAnsi="Arial"/>
          <w:b/>
          <w:bCs/>
          <w:sz w:val="21"/>
          <w:szCs w:val="21"/>
        </w:rPr>
        <w:t xml:space="preserve">WF Efficiency: </w:t>
      </w:r>
      <w:r>
        <w:rPr>
          <w:rFonts w:ascii="Arial" w:cs="Arial" w:eastAsia="Arial" w:hAnsi="Arial"/>
          <w:sz w:val="21"/>
          <w:szCs w:val="21"/>
        </w:rPr>
        <w:t xml:space="preserve">OOS Sharpe / IS Sharpe × 100. Above 50% is good; above 70% is excellent. The equity system showed 147%.</w:t>
      </w:r>
    </w:p>
    <w:p>
      <w:pPr>
        <w:pStyle w:val="Heading2"/>
      </w:pPr>
      <w:r>
        <w:t xml:space="preserve">7.4 Recalibration</w:t>
      </w:r>
    </w:p>
    <w:p>
      <w:pPr>
        <w:spacing w:after="120"/>
      </w:pPr>
      <w:r>
        <w:rPr>
          <w:rFonts w:ascii="Arial" w:cs="Arial" w:eastAsia="Arial" w:hAnsi="Arial"/>
          <w:sz w:val="21"/>
          <w:szCs w:val="21"/>
        </w:rPr>
        <w:t xml:space="preserve">Run the walk-forward script every 6–12 months to check for parameter drift:</w:t>
      </w:r>
    </w:p>
    <w:p>
      <w:pPr>
        <w:spacing w:after="120"/>
      </w:pPr>
      <w:r>
        <w:rPr>
          <w:rFonts w:ascii="Courier New" w:cs="Courier New" w:eastAsia="Courier New" w:hAnsi="Courier New"/>
          <w:sz w:val="20"/>
          <w:szCs w:val="20"/>
        </w:rPr>
        <w:t xml:space="preserve">python3 run_walkforward.py --live --n 70 --years 5</w:t>
      </w:r>
    </w:p>
    <w:p>
      <w:pPr>
        <w:spacing w:after="120"/>
      </w:pPr>
      <w:r>
        <w:rPr>
          <w:rFonts w:ascii="Arial" w:cs="Arial" w:eastAsia="Arial" w:hAnsi="Arial"/>
          <w:sz w:val="21"/>
          <w:szCs w:val="21"/>
        </w:rPr>
        <w:t xml:space="preserve">If the stable parameters (PT, DD, streak) shift, update dual_mode.py constants. If the unstable parameters (WR period/threshold) shift, they can be left as-is since the edge does not depend heavily on them.</w:t>
      </w:r>
    </w:p>
    <w:p>
      <w:r>
        <w:br w:type="page"/>
      </w:r>
    </w:p>
    <w:p>
      <w:pPr>
        <w:pStyle w:val="Heading1"/>
      </w:pPr>
      <w:r>
        <w:t xml:space="preserve">8. Forward Validation &amp; Signal Tracking</w:t>
      </w:r>
    </w:p>
    <w:p>
      <w:pPr>
        <w:spacing w:after="120"/>
      </w:pPr>
      <w:r>
        <w:rPr>
          <w:rFonts w:ascii="Arial" w:cs="Arial" w:eastAsia="Arial" w:hAnsi="Arial"/>
          <w:sz w:val="21"/>
          <w:szCs w:val="21"/>
        </w:rPr>
        <w:t xml:space="preserve">The system includes a built-in signal tracker that logs every entry signal to a SQLite database and monitors live performance against walk-forward expectations.</w:t>
      </w:r>
    </w:p>
    <w:p>
      <w:pPr>
        <w:pStyle w:val="Heading2"/>
      </w:pPr>
      <w:r>
        <w:t xml:space="preserve">8.1 Automatic Signal Logging</w:t>
      </w:r>
    </w:p>
    <w:p>
      <w:pPr>
        <w:spacing w:after="120"/>
      </w:pPr>
      <w:r>
        <w:rPr>
          <w:rFonts w:ascii="Arial" w:cs="Arial" w:eastAsia="Arial" w:hAnsi="Arial"/>
          <w:sz w:val="21"/>
          <w:szCs w:val="21"/>
        </w:rPr>
        <w:t xml:space="preserve">Every time you view a stock on the Dashboard and an entry triggers (PRIMARY or SECONDARY), the signal is automatically logged with: symbol, date, entry price, score, tier, and entry reason. Duplicate signals (same symbol + date) are skipped.</w:t>
      </w:r>
    </w:p>
    <w:p>
      <w:pPr>
        <w:pStyle w:val="Heading2"/>
      </w:pPr>
      <w:r>
        <w:t xml:space="preserve">8.2 Resolution</w:t>
      </w:r>
    </w:p>
    <w:p>
      <w:pPr>
        <w:spacing w:after="120"/>
      </w:pPr>
      <w:r>
        <w:rPr>
          <w:rFonts w:ascii="Arial" w:cs="Arial" w:eastAsia="Arial" w:hAnsi="Arial"/>
          <w:sz w:val="21"/>
          <w:szCs w:val="21"/>
        </w:rPr>
        <w:t xml:space="preserve">After signals have aged enough (25+ trading days), run the resolver:</w:t>
      </w:r>
    </w:p>
    <w:p>
      <w:pPr>
        <w:spacing w:after="120"/>
      </w:pPr>
      <w:r>
        <w:rPr>
          <w:rFonts w:ascii="Courier New" w:cs="Courier New" w:eastAsia="Courier New" w:hAnsi="Courier New"/>
          <w:sz w:val="20"/>
          <w:szCs w:val="20"/>
        </w:rPr>
        <w:t xml:space="preserve">python3 run_resolve.py</w:t>
      </w:r>
    </w:p>
    <w:p>
      <w:pPr>
        <w:spacing w:after="120"/>
      </w:pPr>
      <w:r>
        <w:rPr>
          <w:rFonts w:ascii="Arial" w:cs="Arial" w:eastAsia="Arial" w:hAnsi="Arial"/>
          <w:sz w:val="21"/>
          <w:szCs w:val="21"/>
        </w:rPr>
        <w:t xml:space="preserve">This fetches the actual price path after entry and applies the same exit rules (+5% PT, BBW contraction, 25d max hold) to determine the outcome. Each signal is marked as WIN or LOSS with the actual P&amp;L.</w:t>
      </w:r>
    </w:p>
    <w:p>
      <w:pPr>
        <w:pStyle w:val="Heading2"/>
      </w:pPr>
      <w:r>
        <w:t xml:space="preserve">8.3 Drift Detection</w:t>
      </w:r>
    </w:p>
    <w:p>
      <w:pPr>
        <w:spacing w:after="120"/>
      </w:pPr>
      <w:r>
        <w:rPr>
          <w:rFonts w:ascii="Courier New" w:cs="Courier New" w:eastAsia="Courier New" w:hAnsi="Courier New"/>
          <w:sz w:val="20"/>
          <w:szCs w:val="20"/>
        </w:rPr>
        <w:t xml:space="preserve">python3 run_resolve.py --status</w:t>
      </w:r>
    </w:p>
    <w:p>
      <w:pPr>
        <w:spacing w:after="120"/>
      </w:pPr>
      <w:r>
        <w:rPr>
          <w:rFonts w:ascii="Arial" w:cs="Arial" w:eastAsia="Arial" w:hAnsi="Arial"/>
          <w:sz w:val="21"/>
          <w:szCs w:val="21"/>
        </w:rPr>
        <w:t xml:space="preserve">Compares rolling 20-signal performance against expected values. If live win rate drops below alert thresholds, the system flags potential regime drift, meaning the edge may be weakening and recalibration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
            </w:r>
          </w:p>
        </w:tc>
        <w:tc>
          <w:tcPr>
            <w:tcW w:type="dxa" w:w="234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Expected Win Rate</w:t>
            </w:r>
          </w:p>
        </w:tc>
        <w:tc>
          <w:tcPr>
            <w:tcW w:type="dxa" w:w="234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Expected Avg Return</w:t>
            </w:r>
          </w:p>
        </w:tc>
        <w:tc>
          <w:tcPr>
            <w:tcW w:type="dxa" w:w="2340"/>
            <w:tcBorders>
              <w:top w:val="single" w:color="D1D5DB" w:sz="1"/>
              <w:left w:val="single" w:color="D1D5DB" w:sz="1"/>
              <w:bottom w:val="single" w:color="D1D5DB" w:sz="1"/>
              <w:right w:val="single" w:color="D1D5DB" w:sz="1"/>
            </w:tcBorders>
            <w:shd w:fill="064E3B" w:val="clear"/>
            <w:tcMar>
              <w:top w:type="dxa" w:w="60"/>
              <w:left w:type="dxa" w:w="100"/>
              <w:bottom w:type="dxa" w:w="60"/>
              <w:right w:type="dxa" w:w="100"/>
            </w:tcMar>
            <w:vAlign w:val="center"/>
          </w:tcPr>
          <w:p>
            <w:r>
              <w:rPr>
                <w:rFonts w:ascii="Arial" w:cs="Arial" w:eastAsia="Arial" w:hAnsi="Arial"/>
                <w:b/>
                <w:bCs/>
                <w:color w:val="FFFFFF"/>
                <w:sz w:val="19"/>
                <w:szCs w:val="19"/>
              </w:rPr>
              <w:t xml:space="preserve">Alert If</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PRIMARY</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73.4%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+1.26%</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9"/>
                <w:szCs w:val="19"/>
              </w:rPr>
              <w:t xml:space="preserve">Win &lt; threshold or avg &lt; 0</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SECONDARY</w:t>
            </w:r>
          </w:p>
        </w:tc>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73.7%</w:t>
            </w:r>
          </w:p>
        </w:tc>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+1.32%</w:t>
            </w:r>
          </w:p>
        </w:tc>
        <w:tc>
          <w:tcPr>
            <w:tcW w:type="dxa" w:w="23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9"/>
                <w:szCs w:val="19"/>
              </w:rPr>
              <w:t xml:space="preserve">Win &lt; threshold or avg &lt; 0</w:t>
            </w:r>
          </w:p>
        </w:tc>
      </w:tr>
    </w:tbl>
    <w:p>
      <w:r>
        <w:br w:type="page"/>
      </w:r>
    </w:p>
    <w:p>
      <w:pPr>
        <w:pStyle w:val="Heading1"/>
      </w:pPr>
      <w:r>
        <w:t xml:space="preserve">9. Risk Management Notes</w:t>
      </w:r>
    </w:p>
    <w:p>
      <w:pPr>
        <w:spacing w:after="120"/>
      </w:pPr>
      <w:r>
        <w:rPr>
          <w:rFonts w:ascii="Arial" w:cs="Arial" w:eastAsia="Arial" w:hAnsi="Arial"/>
          <w:sz w:val="21"/>
          <w:szCs w:val="21"/>
        </w:rPr>
        <w:t xml:space="preserve">The system provides individual signal-level analysis but does not manage portfolio-level risk. These guidelines should be applied manually:</w:t>
      </w:r>
    </w:p>
    <w:p>
      <w:pPr>
        <w:pStyle w:val="Heading2"/>
      </w:pPr>
      <w:r>
        <w:t xml:space="preserve">9.1 Position Sizing</w:t>
      </w:r>
    </w:p>
    <w:p>
      <w:pPr>
        <w:pStyle w:val="ListParagraph"/>
        <w:numPr>
          <w:ilvl w:val="0"/>
          <w:numId w:val="2"/>
        </w:numPr>
        <w:spacing w:after="60"/>
      </w:pPr>
      <w:r>
        <w:rPr>
          <w:rFonts w:ascii="Arial" w:cs="Arial" w:eastAsia="Arial" w:hAnsi="Arial"/>
          <w:b/>
          <w:bCs/>
          <w:sz w:val="21"/>
          <w:szCs w:val="21"/>
        </w:rPr>
        <w:t xml:space="preserve">PRIMARY (FULL): </w:t>
      </w:r>
      <w:r>
        <w:rPr>
          <w:rFonts w:ascii="Arial" w:cs="Arial" w:eastAsia="Arial" w:hAnsi="Arial"/>
          <w:sz w:val="21"/>
          <w:szCs w:val="21"/>
        </w:rPr>
        <w:t xml:space="preserve">Standard position size. The walk-forward showed these have the highest conviction.</w:t>
      </w:r>
    </w:p>
    <w:p>
      <w:pPr>
        <w:pStyle w:val="ListParagraph"/>
        <w:numPr>
          <w:ilvl w:val="0"/>
          <w:numId w:val="2"/>
        </w:numPr>
        <w:spacing w:after="60"/>
      </w:pPr>
      <w:r>
        <w:rPr>
          <w:rFonts w:ascii="Arial" w:cs="Arial" w:eastAsia="Arial" w:hAnsi="Arial"/>
          <w:b/>
          <w:bCs/>
          <w:sz w:val="21"/>
          <w:szCs w:val="21"/>
        </w:rPr>
        <w:t xml:space="preserve">SECONDARY (HALF): </w:t>
      </w:r>
      <w:r>
        <w:rPr>
          <w:rFonts w:ascii="Arial" w:cs="Arial" w:eastAsia="Arial" w:hAnsi="Arial"/>
          <w:sz w:val="21"/>
          <w:szCs w:val="21"/>
        </w:rPr>
        <w:t xml:space="preserve">Half the standard position. Missing conditions reduce edge reliability.</w:t>
      </w:r>
    </w:p>
    <w:p>
      <w:pPr>
        <w:pStyle w:val="ListParagraph"/>
        <w:numPr>
          <w:ilvl w:val="0"/>
          <w:numId w:val="2"/>
        </w:numPr>
        <w:spacing w:after="60"/>
      </w:pPr>
      <w:r>
        <w:rPr>
          <w:rFonts w:ascii="Arial" w:cs="Arial" w:eastAsia="Arial" w:hAnsi="Arial"/>
          <w:b/>
          <w:bCs/>
          <w:sz w:val="21"/>
          <w:szCs w:val="21"/>
        </w:rPr>
        <w:t xml:space="preserve">ETF entries: </w:t>
      </w:r>
      <w:r>
        <w:rPr>
          <w:rFonts w:ascii="Arial" w:cs="Arial" w:eastAsia="Arial" w:hAnsi="Arial"/>
          <w:sz w:val="21"/>
          <w:szCs w:val="21"/>
        </w:rPr>
        <w:t xml:space="preserve">Size based on score. ≥75 = FULL, ≥60 = HALF.</w:t>
      </w:r>
    </w:p>
    <w:p>
      <w:pPr>
        <w:pStyle w:val="Heading2"/>
      </w:pPr>
      <w:r>
        <w:t xml:space="preserve">9.2 Portfolio Constraints (Manual)</w:t>
      </w:r>
    </w:p>
    <w:p>
      <w:pPr>
        <w:pStyle w:val="ListParagraph"/>
        <w:numPr>
          <w:ilvl w:val="0"/>
          <w:numId w:val="2"/>
        </w:numPr>
        <w:spacing w:after="60"/>
      </w:pPr>
      <w:r>
        <w:rPr>
          <w:rFonts w:ascii="Arial" w:cs="Arial" w:eastAsia="Arial" w:hAnsi="Arial"/>
          <w:b/>
          <w:bCs/>
          <w:sz w:val="21"/>
          <w:szCs w:val="21"/>
        </w:rPr>
        <w:t xml:space="preserve">Max 5 concurrent positions: </w:t>
      </w:r>
      <w:r>
        <w:rPr>
          <w:rFonts w:ascii="Arial" w:cs="Arial" w:eastAsia="Arial" w:hAnsi="Arial"/>
          <w:sz w:val="21"/>
          <w:szCs w:val="21"/>
        </w:rPr>
        <w:t xml:space="preserve">Prevents overexposure during broad selloffs</w:t>
      </w:r>
    </w:p>
    <w:p>
      <w:pPr>
        <w:pStyle w:val="ListParagraph"/>
        <w:numPr>
          <w:ilvl w:val="0"/>
          <w:numId w:val="2"/>
        </w:numPr>
        <w:spacing w:after="60"/>
      </w:pPr>
      <w:r>
        <w:rPr>
          <w:rFonts w:ascii="Arial" w:cs="Arial" w:eastAsia="Arial" w:hAnsi="Arial"/>
          <w:b/>
          <w:bCs/>
          <w:sz w:val="21"/>
          <w:szCs w:val="21"/>
        </w:rPr>
        <w:t xml:space="preserve">Max 2 per sector: </w:t>
      </w:r>
      <w:r>
        <w:rPr>
          <w:rFonts w:ascii="Arial" w:cs="Arial" w:eastAsia="Arial" w:hAnsi="Arial"/>
          <w:sz w:val="21"/>
          <w:szCs w:val="21"/>
        </w:rPr>
        <w:t xml:space="preserve">Avoids correlated drawdowns (the fold 5 lesson)</w:t>
      </w:r>
    </w:p>
    <w:p>
      <w:pPr>
        <w:pStyle w:val="ListParagraph"/>
        <w:numPr>
          <w:ilvl w:val="0"/>
          <w:numId w:val="2"/>
        </w:numPr>
        <w:spacing w:after="60"/>
      </w:pPr>
      <w:r>
        <w:rPr>
          <w:rFonts w:ascii="Arial" w:cs="Arial" w:eastAsia="Arial" w:hAnsi="Arial"/>
          <w:b/>
          <w:bCs/>
          <w:sz w:val="21"/>
          <w:szCs w:val="21"/>
        </w:rPr>
        <w:t xml:space="preserve">Total portfolio heat &lt; 10%: </w:t>
      </w:r>
      <w:r>
        <w:rPr>
          <w:rFonts w:ascii="Arial" w:cs="Arial" w:eastAsia="Arial" w:hAnsi="Arial"/>
          <w:sz w:val="21"/>
          <w:szCs w:val="21"/>
        </w:rPr>
        <w:t xml:space="preserve">If all positions hit max loss simultaneously, total drawdown stays manageable</w:t>
      </w:r>
    </w:p>
    <w:p>
      <w:pPr>
        <w:pStyle w:val="Heading2"/>
      </w:pPr>
      <w:r>
        <w:t xml:space="preserve">9.3 Known Failure Modes</w:t>
      </w:r>
    </w:p>
    <w:p>
      <w:pPr>
        <w:pStyle w:val="ListParagraph"/>
        <w:numPr>
          <w:ilvl w:val="0"/>
          <w:numId w:val="2"/>
        </w:numPr>
        <w:spacing w:after="60"/>
      </w:pPr>
      <w:r>
        <w:rPr>
          <w:rFonts w:ascii="Arial" w:cs="Arial" w:eastAsia="Arial" w:hAnsi="Arial"/>
          <w:b/>
          <w:bCs/>
          <w:sz w:val="21"/>
          <w:szCs w:val="21"/>
        </w:rPr>
        <w:t xml:space="preserve">Broad market selloff: </w:t>
      </w:r>
      <w:r>
        <w:rPr>
          <w:rFonts w:ascii="Arial" w:cs="Arial" w:eastAsia="Arial" w:hAnsi="Arial"/>
          <w:sz w:val="21"/>
          <w:szCs w:val="21"/>
        </w:rPr>
        <w:t xml:space="preserve">When NIFTY drops 10%+ in a month, many stocks trigger simultaneously. The system fires correctly (they are oversold) but mean reversion may fail because the pullback is structural, not technical.</w:t>
      </w:r>
    </w:p>
    <w:p>
      <w:pPr>
        <w:pStyle w:val="ListParagraph"/>
        <w:numPr>
          <w:ilvl w:val="0"/>
          <w:numId w:val="2"/>
        </w:numPr>
        <w:spacing w:after="60"/>
      </w:pPr>
      <w:r>
        <w:rPr>
          <w:rFonts w:ascii="Arial" w:cs="Arial" w:eastAsia="Arial" w:hAnsi="Arial"/>
          <w:b/>
          <w:bCs/>
          <w:sz w:val="21"/>
          <w:szCs w:val="21"/>
        </w:rPr>
        <w:t xml:space="preserve">Sector re-rating: </w:t>
      </w:r>
      <w:r>
        <w:rPr>
          <w:rFonts w:ascii="Arial" w:cs="Arial" w:eastAsia="Arial" w:hAnsi="Arial"/>
          <w:sz w:val="21"/>
          <w:szCs w:val="21"/>
        </w:rPr>
        <w:t xml:space="preserve">When an entire sector gets repriced (e.g., IT selloff, banking crisis), individual stock signals within that sector are correlated bets.</w:t>
      </w:r>
    </w:p>
    <w:p>
      <w:pPr>
        <w:pStyle w:val="ListParagraph"/>
        <w:numPr>
          <w:ilvl w:val="0"/>
          <w:numId w:val="2"/>
        </w:numPr>
        <w:spacing w:after="60"/>
      </w:pPr>
      <w:r>
        <w:rPr>
          <w:rFonts w:ascii="Arial" w:cs="Arial" w:eastAsia="Arial" w:hAnsi="Arial"/>
          <w:b/>
          <w:bCs/>
          <w:sz w:val="21"/>
          <w:szCs w:val="21"/>
        </w:rPr>
        <w:t xml:space="preserve">Stock-specific events: </w:t>
      </w:r>
      <w:r>
        <w:rPr>
          <w:rFonts w:ascii="Arial" w:cs="Arial" w:eastAsia="Arial" w:hAnsi="Arial"/>
          <w:sz w:val="21"/>
          <w:szCs w:val="21"/>
        </w:rPr>
        <w:t xml:space="preserve">Governance failures, fraud, or regulatory action can cause 20–40% drops that no technical indicator can predict. PCR bearish and filing TRAP are the only early warnings.</w:t>
      </w:r>
    </w:p>
    <w:p>
      <w:pPr>
        <w:pStyle w:val="ListParagraph"/>
        <w:numPr>
          <w:ilvl w:val="0"/>
          <w:numId w:val="2"/>
        </w:numPr>
        <w:spacing w:after="60"/>
      </w:pPr>
      <w:r>
        <w:rPr>
          <w:rFonts w:ascii="Arial" w:cs="Arial" w:eastAsia="Arial" w:hAnsi="Arial"/>
          <w:b/>
          <w:bCs/>
          <w:sz w:val="21"/>
          <w:szCs w:val="21"/>
        </w:rPr>
        <w:t xml:space="preserve">ETF illiquidity: </w:t>
      </w:r>
      <w:r>
        <w:rPr>
          <w:rFonts w:ascii="Arial" w:cs="Arial" w:eastAsia="Arial" w:hAnsi="Arial"/>
          <w:sz w:val="21"/>
          <w:szCs w:val="21"/>
        </w:rPr>
        <w:t xml:space="preserve">Some sectoral ETFs trade &lt;₹1 Cr daily. The ADTV filter blocks these, but always check the bid-ask spread before entering.</w:t>
      </w:r>
    </w:p>
    <w:p>
      <w:pPr>
        <w:pStyle w:val="Heading2"/>
      </w:pPr>
      <w:r>
        <w:t xml:space="preserve">9.4 When the System Says SKIP</w:t>
      </w:r>
    </w:p>
    <w:p>
      <w:pPr>
        <w:spacing w:after="120"/>
      </w:pPr>
      <w:r>
        <w:rPr>
          <w:rFonts w:ascii="Arial" w:cs="Arial" w:eastAsia="Arial" w:hAnsi="Arial"/>
          <w:sz w:val="21"/>
          <w:szCs w:val="21"/>
        </w:rPr>
        <w:t xml:space="preserve">SKIP is not a failure. In the walk-forward, the system was on the sidelines for extended periods (e.g., the 2023–2024 bull run had few oversold signals). During trending markets, use the ETF Momentum tab instead. The two strategies complement each other across market regimes.</w:t>
      </w:r>
    </w:p>
    <w:p>
      <w:pPr>
        <w:pBdr>
          <w:bottom w:val="single" w:color="10B981" w:sz="2" w:space="1"/>
        </w:pBdr>
        <w:spacing w:before="200" w:after="200"/>
      </w:pPr>
    </w:p>
    <w:p>
      <w:pPr>
        <w:spacing w:after="80"/>
      </w:pPr>
    </w:p>
    <w:p>
      <w:pPr>
        <w:jc w:val="center"/>
      </w:pPr>
      <w:r>
        <w:rPr>
          <w:rFonts w:ascii="Arial" w:cs="Arial" w:eastAsia="Arial" w:hAnsi="Arial"/>
          <w:i/>
          <w:iCs/>
          <w:color w:val="6B7280"/>
          <w:sz w:val="20"/>
          <w:szCs w:val="20"/>
        </w:rPr>
        <w:t xml:space="preserve">End of Manual</w:t>
      </w:r>
    </w:p>
    <w:p>
      <w:pPr>
        <w:spacing w:after="200"/>
        <w:jc w:val="center"/>
      </w:pPr>
      <w:r>
        <w:rPr>
          <w:rFonts w:ascii="Arial" w:cs="Arial" w:eastAsia="Arial" w:hAnsi="Arial"/>
          <w:color w:val="10B981"/>
          <w:sz w:val="18"/>
          <w:szCs w:val="18"/>
        </w:rPr>
        <w:t xml:space="preserve">NIMBUS Emerald Slate v18  |  Walk-Forward Validated  |  March 2026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NIMBUS Emerald Slate</w:t>
    </w:r>
    <w:r>
      <w:rPr>
        <w:rFonts w:ascii="Arial" w:cs="Arial" w:eastAsia="Arial" w:hAnsi="Arial"/>
        <w:color w:val="6B7280"/>
        <w:sz w:val="16"/>
        <w:szCs w:val="16"/>
      </w:rPr>
      <w:t xml:space="preserve">  |  Trading Terminal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0B981" w:sz="3" w:space="4"/>
      </w:pBd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6B4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2026-03-20T19:55:21.971Z</dcterms:created>
  <dcterms:modified xsi:type="dcterms:W3CDTF">2026-03-20T19:55:21.972Z</dcterms:modified>
</cp:coreProperties>
</file>

<file path=docProps/custom.xml><?xml version="1.0" encoding="utf-8"?>
<Properties xmlns="http://schemas.openxmlformats.org/officeDocument/2006/custom-properties" xmlns:vt="http://schemas.openxmlformats.org/officeDocument/2006/docPropsVTypes"/>
</file>