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0A0" w:rsidRDefault="005A70A0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A70A0" w:rsidRDefault="005A70A0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</w:t>
      </w:r>
      <w:r>
        <w:rPr>
          <w:rFonts w:ascii="Open Sans" w:hAnsi="Open Sans" w:cs="Open Sans"/>
          <w:color w:val="333333"/>
          <w:sz w:val="18"/>
          <w:szCs w:val="18"/>
        </w:rPr>
        <w:t>POT28031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cs="Arial"/>
          <w:b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</w:t>
      </w:r>
    </w:p>
    <w:p w:rsidR="005A70A0" w:rsidRDefault="005A70A0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5A70A0" w:rsidRDefault="005A70A0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BG/N/011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>
        <w:rPr>
          <w:rFonts w:ascii="Arial" w:hAnsi="Arial" w:cs="Arial"/>
          <w:b/>
          <w:bCs/>
          <w:sz w:val="18"/>
          <w:szCs w:val="18"/>
        </w:rPr>
        <w:t>05.04.2018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5A70A0" w:rsidRDefault="005A70A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>: Burns &amp; McDonnell Engineering India Pvt. Ltd.</w:t>
      </w:r>
      <w:r>
        <w:rPr>
          <w:rFonts w:ascii="Arial" w:hAnsi="Arial" w:cs="Arial"/>
          <w:sz w:val="18"/>
          <w:szCs w:val="18"/>
        </w:rPr>
        <w:tab/>
        <w:t>Galaxy Billing from (Location) :Andheri</w:t>
      </w:r>
      <w:r>
        <w:rPr>
          <w:rFonts w:ascii="Arial" w:hAnsi="Arial" w:cs="Arial"/>
          <w:bCs/>
          <w:sz w:val="18"/>
          <w:szCs w:val="18"/>
        </w:rPr>
        <w:t xml:space="preserve"> </w:t>
      </w:r>
    </w:p>
    <w:p w:rsidR="005A70A0" w:rsidRDefault="005A70A0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5A70A0" w:rsidRDefault="005A70A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No.PO1819/0004</w:t>
      </w:r>
      <w:r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 xml:space="preserve"> 04.04.2018</w:t>
      </w:r>
    </w:p>
    <w:p w:rsidR="005A70A0" w:rsidRDefault="005A70A0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2" w:type="dxa"/>
        <w:tblLayout w:type="fixed"/>
        <w:tblLook w:val="0000" w:firstRow="0" w:lastRow="0" w:firstColumn="0" w:lastColumn="0" w:noHBand="0" w:noVBand="0"/>
      </w:tblPr>
      <w:tblGrid>
        <w:gridCol w:w="4607"/>
        <w:gridCol w:w="4634"/>
      </w:tblGrid>
      <w:tr w:rsidR="005A70A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A70A0" w:rsidRDefault="005A70A0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5A70A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0A0" w:rsidRDefault="005A70A0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Burns &amp; McDonnell Engineering India Pvt. Ltd.</w:t>
            </w:r>
          </w:p>
        </w:tc>
        <w:tc>
          <w:tcPr>
            <w:tcW w:w="4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A70A0" w:rsidRDefault="005A70A0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Burns &amp; McDonnell Engineering India Pvt. Ltd.</w:t>
            </w:r>
          </w:p>
        </w:tc>
      </w:tr>
      <w:tr w:rsidR="005A70A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0A0" w:rsidRDefault="005A70A0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r>
              <w:rPr>
                <w:rFonts w:ascii="Arial" w:hAnsi="Arial" w:cs="Arial"/>
                <w:b w:val="0"/>
                <w:position w:val="22"/>
                <w:sz w:val="18"/>
                <w:szCs w:val="18"/>
              </w:rPr>
              <w:t>th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Floor, Block-A, Godrej IT Park-P2 </w:t>
            </w:r>
          </w:p>
        </w:tc>
        <w:tc>
          <w:tcPr>
            <w:tcW w:w="4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A70A0" w:rsidRDefault="005A70A0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r>
              <w:rPr>
                <w:rFonts w:ascii="Arial" w:hAnsi="Arial" w:cs="Arial"/>
                <w:b w:val="0"/>
                <w:position w:val="15"/>
                <w:sz w:val="18"/>
                <w:szCs w:val="18"/>
              </w:rPr>
              <w:t>th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Floor, Block-A, Godrej IT Park-P2 </w:t>
            </w:r>
          </w:p>
        </w:tc>
      </w:tr>
      <w:tr w:rsidR="005A70A0">
        <w:trPr>
          <w:trHeight w:hRule="exact" w:val="4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0A0" w:rsidRDefault="005A70A0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Godrej &amp; Boyce Complex, Pirojshanagar </w:t>
            </w:r>
          </w:p>
        </w:tc>
        <w:tc>
          <w:tcPr>
            <w:tcW w:w="4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A70A0" w:rsidRDefault="005A70A0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Godrej &amp; Boyce Complex, Pirojshanagar </w:t>
            </w:r>
          </w:p>
        </w:tc>
      </w:tr>
      <w:tr w:rsidR="005A70A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0A0" w:rsidRDefault="005A70A0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LBS Marg, Vikhroli (West) , Mumbai-400 079 </w:t>
            </w:r>
          </w:p>
        </w:tc>
        <w:tc>
          <w:tcPr>
            <w:tcW w:w="4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A70A0" w:rsidRDefault="005A70A0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LBS Marg, Vikhroli (West) , Mumbai-400 079 </w:t>
            </w:r>
          </w:p>
        </w:tc>
      </w:tr>
      <w:tr w:rsidR="005A70A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0A0" w:rsidRDefault="005A70A0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Contact Person: Mr. Chandrakant Jadhav </w:t>
            </w:r>
          </w:p>
        </w:tc>
        <w:tc>
          <w:tcPr>
            <w:tcW w:w="4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A70A0" w:rsidRDefault="005A70A0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Contact Person: Mr. Chandrakant Jadhav </w:t>
            </w:r>
          </w:p>
        </w:tc>
      </w:tr>
      <w:tr w:rsidR="005A70A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0A0" w:rsidRDefault="005A70A0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Tel #  2519 6617 / 9819507005 </w:t>
            </w:r>
          </w:p>
        </w:tc>
        <w:tc>
          <w:tcPr>
            <w:tcW w:w="4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A70A0" w:rsidRDefault="005A70A0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Tel #  2519 6617 / 9819507005 </w:t>
            </w:r>
          </w:p>
        </w:tc>
      </w:tr>
      <w:tr w:rsidR="005A70A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Email# CSJadhav@burnsmcd.in</w:t>
            </w:r>
          </w:p>
        </w:tc>
        <w:tc>
          <w:tcPr>
            <w:tcW w:w="4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A70A0" w:rsidRDefault="005A70A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Email# CSJadhav@burnsmcd.in</w:t>
            </w:r>
          </w:p>
        </w:tc>
      </w:tr>
      <w:tr w:rsidR="005A70A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27AAECD4290N1Z8</w:t>
            </w:r>
          </w:p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AAECD4290N</w:t>
            </w:r>
          </w:p>
        </w:tc>
        <w:tc>
          <w:tcPr>
            <w:tcW w:w="4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27AAECD4290N1Z8</w:t>
            </w:r>
          </w:p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5A70A0" w:rsidRDefault="005A70A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AAECD4290N</w:t>
            </w:r>
          </w:p>
        </w:tc>
      </w:tr>
      <w:tr w:rsidR="005A70A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A70A0" w:rsidRDefault="005A70A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5A70A0" w:rsidRDefault="005A70A0">
      <w:pPr>
        <w:ind w:right="-619"/>
        <w:rPr>
          <w:rFonts w:ascii="Arial" w:hAnsi="Arial" w:cs="Arial"/>
          <w:b/>
          <w:sz w:val="18"/>
          <w:szCs w:val="18"/>
        </w:rPr>
      </w:pPr>
    </w:p>
    <w:p w:rsidR="005A70A0" w:rsidRDefault="005A70A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488"/>
      </w:tblGrid>
      <w:tr w:rsidR="005A70A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5A70A0" w:rsidRDefault="005A70A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5A70A0">
        <w:trPr>
          <w:trHeight w:hRule="exact" w:val="60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70A0" w:rsidRDefault="005A70A0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70A0" w:rsidRDefault="005A70A0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Aruba IAP-315 (RW) Instant 2x/4x 11ac AP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Part No: JW811A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70A0" w:rsidRDefault="005A70A0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24,750.00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0A0" w:rsidRDefault="005A70A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1,23,750.00</w:t>
            </w:r>
          </w:p>
        </w:tc>
      </w:tr>
      <w:tr w:rsidR="005A70A0">
        <w:trPr>
          <w:trHeight w:hRule="exact" w:val="617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70A0" w:rsidRDefault="005A70A0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70A0" w:rsidRDefault="005A70A0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AP-220-MNT-W1W Mt Basic White Kit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Part No: JW047A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70A0" w:rsidRDefault="005A70A0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700.00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0A0" w:rsidRDefault="005A70A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3,500.00</w:t>
            </w:r>
          </w:p>
        </w:tc>
      </w:tr>
      <w:tr w:rsidR="005A70A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1,27,250.00</w:t>
            </w:r>
          </w:p>
        </w:tc>
      </w:tr>
      <w:tr w:rsidR="005A70A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22,905.00</w:t>
            </w:r>
          </w:p>
        </w:tc>
      </w:tr>
      <w:tr w:rsidR="005A70A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11,452.50</w:t>
            </w:r>
          </w:p>
        </w:tc>
      </w:tr>
      <w:tr w:rsidR="005A70A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70A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70A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5A70A0" w:rsidRDefault="005A70A0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1,61,607.50</w:t>
            </w:r>
          </w:p>
        </w:tc>
      </w:tr>
    </w:tbl>
    <w:p w:rsidR="005A70A0" w:rsidRDefault="005A70A0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63"/>
      </w:tblGrid>
      <w:tr w:rsidR="005A70A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5A70A0" w:rsidRDefault="005A70A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5A70A0" w:rsidRDefault="005A70A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5A70A0" w:rsidRDefault="005A70A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5A70A0" w:rsidRDefault="005A70A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5A70A0" w:rsidRDefault="005A70A0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5A70A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A70A0" w:rsidRDefault="005A70A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5A70A0" w:rsidRDefault="005A70A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5A70A0" w:rsidRDefault="005A70A0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5A70A0" w:rsidRDefault="005A70A0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30 </w:t>
      </w:r>
      <w:r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5A70A0" w:rsidRDefault="005A70A0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5A70A0" w:rsidRDefault="005A70A0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5A70A0" w:rsidRDefault="005A70A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5A70A0" w:rsidRDefault="005A70A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5A70A0" w:rsidRDefault="005A70A0">
      <w:pPr>
        <w:ind w:right="-619"/>
        <w:rPr>
          <w:rFonts w:ascii="Arial" w:hAnsi="Arial" w:cs="Arial"/>
          <w:sz w:val="18"/>
          <w:szCs w:val="18"/>
        </w:rPr>
      </w:pPr>
    </w:p>
    <w:p w:rsidR="005A70A0" w:rsidRDefault="005A70A0">
      <w:pPr>
        <w:ind w:right="-619"/>
        <w:rPr>
          <w:rFonts w:ascii="Arial" w:hAnsi="Arial" w:cs="Arial"/>
          <w:sz w:val="18"/>
          <w:szCs w:val="18"/>
        </w:rPr>
      </w:pPr>
    </w:p>
    <w:p w:rsidR="005A70A0" w:rsidRDefault="005A70A0">
      <w:pPr>
        <w:ind w:right="-619"/>
        <w:rPr>
          <w:rFonts w:ascii="Arial" w:hAnsi="Arial" w:cs="Arial"/>
          <w:sz w:val="18"/>
          <w:szCs w:val="18"/>
        </w:rPr>
      </w:pPr>
    </w:p>
    <w:p w:rsidR="005A70A0" w:rsidRDefault="005A70A0">
      <w:pPr>
        <w:ind w:right="-619"/>
        <w:rPr>
          <w:rFonts w:ascii="Arial" w:hAnsi="Arial" w:cs="Arial"/>
          <w:sz w:val="18"/>
          <w:szCs w:val="18"/>
        </w:rPr>
      </w:pPr>
    </w:p>
    <w:p w:rsidR="005A70A0" w:rsidRDefault="005A70A0">
      <w:pPr>
        <w:ind w:right="-619"/>
        <w:rPr>
          <w:rFonts w:ascii="Arial" w:hAnsi="Arial" w:cs="Arial"/>
          <w:sz w:val="18"/>
          <w:szCs w:val="18"/>
        </w:rPr>
      </w:pPr>
    </w:p>
    <w:p w:rsidR="005A70A0" w:rsidRDefault="005A70A0">
      <w:pPr>
        <w:ind w:right="-619"/>
        <w:rPr>
          <w:rFonts w:ascii="Arial" w:hAnsi="Arial" w:cs="Arial"/>
          <w:sz w:val="18"/>
          <w:szCs w:val="18"/>
        </w:rPr>
      </w:pPr>
    </w:p>
    <w:p w:rsidR="005A70A0" w:rsidRDefault="005A70A0">
      <w:pPr>
        <w:ind w:right="-619"/>
        <w:rPr>
          <w:rFonts w:ascii="Arial" w:hAnsi="Arial" w:cs="Arial"/>
          <w:sz w:val="18"/>
          <w:szCs w:val="18"/>
        </w:rPr>
      </w:pPr>
    </w:p>
    <w:p w:rsidR="005A70A0" w:rsidRDefault="005A70A0">
      <w:pPr>
        <w:ind w:right="-619"/>
        <w:rPr>
          <w:rFonts w:ascii="Arial" w:hAnsi="Arial" w:cs="Arial"/>
          <w:sz w:val="18"/>
          <w:szCs w:val="18"/>
        </w:rPr>
      </w:pPr>
    </w:p>
    <w:p w:rsidR="005A70A0" w:rsidRDefault="005A70A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5A70A0" w:rsidRDefault="005A70A0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5A70A0" w:rsidRDefault="005A70A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42"/>
        <w:gridCol w:w="10"/>
      </w:tblGrid>
      <w:tr w:rsidR="005A70A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5A70A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5A70A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</w:pPr>
            <w:r>
              <w:t xml:space="preserve">Andheri </w:t>
            </w:r>
            <w:r>
              <w:sym w:font="Wingdings" w:char="F0E0"/>
            </w:r>
            <w: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JW811A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70A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</w:t>
            </w:r>
            <w:r w:rsidRPr="005A70A0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JW047A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70A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70A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70A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70A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70A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A70A0" w:rsidRDefault="005A70A0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5A70A0" w:rsidRDefault="005A70A0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5A70A0" w:rsidRDefault="005A70A0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6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13"/>
      </w:tblGrid>
      <w:tr w:rsidR="005A70A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5A70A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5A70A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70A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70A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5A70A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70A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0A0" w:rsidRDefault="005A70A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0A0" w:rsidRDefault="005A70A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5A70A0" w:rsidRDefault="005A70A0">
      <w:pPr>
        <w:rPr>
          <w:rFonts w:ascii="Arial" w:hAnsi="Arial" w:cs="Arial"/>
          <w:sz w:val="18"/>
          <w:szCs w:val="18"/>
        </w:rPr>
      </w:pPr>
    </w:p>
    <w:p w:rsidR="005A70A0" w:rsidRDefault="005A70A0">
      <w:pPr>
        <w:rPr>
          <w:rFonts w:ascii="Arial" w:hAnsi="Arial" w:cs="Arial"/>
          <w:sz w:val="18"/>
          <w:szCs w:val="18"/>
        </w:rPr>
      </w:pPr>
    </w:p>
    <w:p w:rsidR="005A70A0" w:rsidRDefault="005A70A0">
      <w:pPr>
        <w:rPr>
          <w:rFonts w:ascii="Arial" w:hAnsi="Arial" w:cs="Arial"/>
          <w:sz w:val="18"/>
          <w:szCs w:val="18"/>
        </w:rPr>
      </w:pPr>
    </w:p>
    <w:p w:rsidR="005A70A0" w:rsidRDefault="005A70A0">
      <w:pPr>
        <w:rPr>
          <w:rFonts w:ascii="Arial" w:hAnsi="Arial" w:cs="Arial"/>
          <w:sz w:val="18"/>
          <w:szCs w:val="18"/>
        </w:rPr>
      </w:pPr>
    </w:p>
    <w:p w:rsidR="005A70A0" w:rsidRDefault="005A70A0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5A70A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96D" w:rsidRDefault="00F0196D">
      <w:r>
        <w:separator/>
      </w:r>
    </w:p>
  </w:endnote>
  <w:endnote w:type="continuationSeparator" w:id="0">
    <w:p w:rsidR="00F0196D" w:rsidRDefault="00F0196D">
      <w:r>
        <w:continuationSeparator/>
      </w:r>
    </w:p>
  </w:endnote>
  <w:endnote w:type="continuationNotice" w:id="1">
    <w:p w:rsidR="00F0196D" w:rsidRDefault="00F019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0A0" w:rsidRDefault="005A70A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0A0" w:rsidRDefault="005A70A0">
    <w:pPr>
      <w:pStyle w:val="Footer"/>
      <w:rPr>
        <w:b/>
      </w:rPr>
    </w:pPr>
    <w:r>
      <w:rPr>
        <w:b/>
      </w:rPr>
      <w:t>_______________________</w:t>
    </w:r>
  </w:p>
  <w:p w:rsidR="005A70A0" w:rsidRDefault="005A70A0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5A70A0" w:rsidRDefault="005A70A0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0A0" w:rsidRDefault="005A70A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96D" w:rsidRDefault="00F0196D">
      <w:r>
        <w:separator/>
      </w:r>
    </w:p>
  </w:footnote>
  <w:footnote w:type="continuationSeparator" w:id="0">
    <w:p w:rsidR="00F0196D" w:rsidRDefault="00F0196D">
      <w:r>
        <w:continuationSeparator/>
      </w:r>
    </w:p>
  </w:footnote>
  <w:footnote w:type="continuationNotice" w:id="1">
    <w:p w:rsidR="00F0196D" w:rsidRDefault="00F0196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0A0" w:rsidRDefault="005A70A0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0A0" w:rsidRDefault="005A70A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70A0"/>
    <w:rsid w:val="000E7CA7"/>
    <w:rsid w:val="00134752"/>
    <w:rsid w:val="005A70A0"/>
    <w:rsid w:val="006A6E23"/>
    <w:rsid w:val="00F0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B5835B-991C-4482-B18B-749CF9CC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