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4135" w14:textId="40AB06BE" w:rsidR="00F444BD" w:rsidRDefault="00522321">
      <w:pPr>
        <w:rPr>
          <w:b/>
          <w:bCs/>
          <w:sz w:val="28"/>
          <w:szCs w:val="28"/>
        </w:rPr>
      </w:pPr>
      <w:r>
        <w:rPr>
          <w:b/>
          <w:bCs/>
          <w:sz w:val="28"/>
          <w:szCs w:val="28"/>
        </w:rPr>
        <w:t>Inductor Selection:</w:t>
      </w:r>
    </w:p>
    <w:p w14:paraId="693F7C91" w14:textId="0035B856" w:rsidR="00781A62" w:rsidRPr="00781A62" w:rsidRDefault="00781A62">
      <w:pPr>
        <w:rPr>
          <w:b/>
          <w:bCs/>
          <w:sz w:val="24"/>
          <w:szCs w:val="24"/>
        </w:rPr>
      </w:pPr>
      <w:r>
        <w:rPr>
          <w:b/>
          <w:bCs/>
          <w:sz w:val="24"/>
          <w:szCs w:val="24"/>
        </w:rPr>
        <w:t>Based upon the electrical survivability-</w:t>
      </w:r>
    </w:p>
    <w:p w14:paraId="1D800211" w14:textId="63B2B6E4" w:rsidR="00522321" w:rsidRDefault="00522321" w:rsidP="00522321">
      <w:pPr>
        <w:pStyle w:val="ListParagraph"/>
        <w:numPr>
          <w:ilvl w:val="0"/>
          <w:numId w:val="1"/>
        </w:numPr>
      </w:pPr>
      <w:r>
        <w:t>For the synchronous buck topology, the inductor is used as a filter to reduce the output current ripple</w:t>
      </w:r>
    </w:p>
    <w:p w14:paraId="7AFFC392" w14:textId="77777777" w:rsidR="00522321" w:rsidRDefault="00522321" w:rsidP="00522321">
      <w:pPr>
        <w:pStyle w:val="ListParagraph"/>
        <w:jc w:val="center"/>
      </w:pPr>
    </w:p>
    <w:p w14:paraId="0484F001" w14:textId="59C0B700" w:rsidR="00522321" w:rsidRPr="003F6270" w:rsidRDefault="003F6270" w:rsidP="00522321">
      <w:pPr>
        <w:pStyle w:val="ListParagraph"/>
        <w:jc w:val="cente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in MicroHenry</m:t>
              </m:r>
            </m:e>
          </m:d>
          <m:r>
            <w:rPr>
              <w:rFonts w:ascii="Cambria Math" w:hAnsi="Cambria Math"/>
            </w:rPr>
            <m:t>=</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 MIN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 RIPPLE</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m:oMathPara>
    </w:p>
    <w:p w14:paraId="43AC6E9E" w14:textId="77777777" w:rsidR="003F6270" w:rsidRDefault="003F6270" w:rsidP="00522321">
      <w:pPr>
        <w:pStyle w:val="ListParagraph"/>
        <w:jc w:val="center"/>
      </w:pPr>
    </w:p>
    <w:p w14:paraId="2235EE39" w14:textId="77777777" w:rsidR="003F6270" w:rsidRDefault="003F6270" w:rsidP="00522321">
      <w:pPr>
        <w:pStyle w:val="ListParagraph"/>
        <w:jc w:val="center"/>
      </w:pPr>
    </w:p>
    <w:p w14:paraId="791A6AB5" w14:textId="77777777" w:rsidR="003F6270" w:rsidRDefault="00000000" w:rsidP="003F6270">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MAX</m:t>
            </m:r>
          </m:sub>
        </m:sSub>
      </m:oMath>
      <w:r w:rsidR="003F6270">
        <w:t>=</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 MAX</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MIN</m:t>
                </m:r>
              </m:sub>
            </m:sSub>
          </m:den>
        </m:f>
      </m:oMath>
    </w:p>
    <w:p w14:paraId="563442E9" w14:textId="1D7A78FF" w:rsidR="006A4B9D" w:rsidRPr="006A4B9D" w:rsidRDefault="003A2681" w:rsidP="006A4B9D">
      <w:pPr>
        <w:pStyle w:val="ListParagraph"/>
        <w:numPr>
          <w:ilvl w:val="0"/>
          <w:numId w:val="2"/>
        </w:numPr>
        <w:rPr>
          <w:rFonts w:eastAsiaTheme="minorEastAsia"/>
        </w:rPr>
      </w:pPr>
      <w:r>
        <w:rPr>
          <w:rFonts w:eastAsiaTheme="minorEastAsia"/>
        </w:rPr>
        <w:t xml:space="preserve">In many cases </w:t>
      </w:r>
      <w:r w:rsidR="003F6270" w:rsidRPr="00180B1F">
        <w:rPr>
          <w:rFonts w:eastAsiaTheme="minorEastAsia"/>
        </w:rPr>
        <w:t>While selecting inductor</w:t>
      </w:r>
      <w:r w:rsidR="001F016A">
        <w:rPr>
          <w:rFonts w:eastAsiaTheme="minorEastAsia"/>
        </w:rPr>
        <w:t xml:space="preserve"> from the dataset, </w:t>
      </w:r>
      <w:r w:rsidR="006A4B9D">
        <w:rPr>
          <w:rFonts w:eastAsiaTheme="minorEastAsia"/>
        </w:rPr>
        <w:t xml:space="preserve">the agent </w:t>
      </w:r>
      <w:r w:rsidR="001F016A">
        <w:rPr>
          <w:rFonts w:eastAsiaTheme="minorEastAsia"/>
        </w:rPr>
        <w:t>look</w:t>
      </w:r>
      <w:r w:rsidR="006A4B9D">
        <w:rPr>
          <w:rFonts w:eastAsiaTheme="minorEastAsia"/>
        </w:rPr>
        <w:t>s</w:t>
      </w:r>
      <w:r w:rsidR="001F016A">
        <w:rPr>
          <w:rFonts w:eastAsiaTheme="minorEastAsia"/>
        </w:rPr>
        <w:t xml:space="preserve"> at following information from the datasheet</w:t>
      </w:r>
      <w:r w:rsidR="006A4B9D">
        <w:rPr>
          <w:rFonts w:eastAsiaTheme="minorEastAsia"/>
        </w:rPr>
        <w:t xml:space="preserve"> and compute:</w:t>
      </w:r>
    </w:p>
    <w:p w14:paraId="2DF7B592" w14:textId="77777777" w:rsidR="006A4B9D" w:rsidRPr="001A7ED3" w:rsidRDefault="006A4B9D" w:rsidP="00FC7533">
      <w:pPr>
        <w:pStyle w:val="ListParagraph"/>
        <w:numPr>
          <w:ilvl w:val="0"/>
          <w:numId w:val="11"/>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sat,usable</m:t>
            </m:r>
          </m:sub>
        </m:sSub>
        <m:r>
          <w:rPr>
            <w:rFonts w:ascii="Cambria Math" w:eastAsiaTheme="minorEastAsia" w:hAnsi="Cambria Math"/>
          </w:rPr>
          <m:t>=0.7×</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sat,datasheet</m:t>
            </m:r>
          </m:sub>
        </m:sSub>
      </m:oMath>
    </w:p>
    <w:p w14:paraId="12FD5C1D" w14:textId="77777777" w:rsidR="006A4B9D" w:rsidRPr="001A7ED3" w:rsidRDefault="006A4B9D" w:rsidP="00FC7533">
      <w:pPr>
        <w:pStyle w:val="ListParagraph"/>
        <w:numPr>
          <w:ilvl w:val="0"/>
          <w:numId w:val="11"/>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rms,usable</m:t>
            </m:r>
          </m:sub>
        </m:sSub>
        <m:r>
          <w:rPr>
            <w:rFonts w:ascii="Cambria Math" w:eastAsiaTheme="minorEastAsia" w:hAnsi="Cambria Math"/>
          </w:rPr>
          <m:t>=0.8×</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rms,datasheet</m:t>
            </m:r>
          </m:sub>
        </m:sSub>
      </m:oMath>
    </w:p>
    <w:p w14:paraId="1CC36F3F" w14:textId="77777777" w:rsidR="006A4B9D" w:rsidRPr="001A7ED3" w:rsidRDefault="006A4B9D" w:rsidP="00FC7533">
      <w:pPr>
        <w:pStyle w:val="ListParagraph"/>
        <w:numPr>
          <w:ilvl w:val="0"/>
          <w:numId w:val="11"/>
        </w:numPr>
        <w:rPr>
          <w:rFonts w:eastAsiaTheme="minorEastAsia"/>
        </w:rPr>
      </w:pPr>
      <m:oMath>
        <m:r>
          <w:rPr>
            <w:rFonts w:ascii="Cambria Math" w:eastAsiaTheme="minorEastAsia" w:hAnsi="Cambria Math"/>
          </w:rPr>
          <m:t>DC</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hot</m:t>
            </m:r>
          </m:sub>
        </m:sSub>
        <m:r>
          <w:rPr>
            <w:rFonts w:ascii="Cambria Math" w:eastAsiaTheme="minorEastAsia" w:hAnsi="Cambria Math"/>
          </w:rPr>
          <m:t>=1.3×DC</m:t>
        </m:r>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25</m:t>
            </m:r>
            <m:r>
              <m:rPr>
                <m:sty m:val="p"/>
              </m:rPr>
              <w:rPr>
                <w:rFonts w:ascii="Cambria Math" w:eastAsiaTheme="minorEastAsia" w:hAnsi="Cambria Math"/>
              </w:rPr>
              <m:t>°</m:t>
            </m:r>
            <m:r>
              <w:rPr>
                <w:rFonts w:ascii="Cambria Math" w:eastAsiaTheme="minorEastAsia" w:hAnsi="Cambria Math"/>
              </w:rPr>
              <m:t>C</m:t>
            </m:r>
          </m:sub>
        </m:sSub>
      </m:oMath>
    </w:p>
    <w:p w14:paraId="7DB6EA46" w14:textId="77777777" w:rsidR="003A2681" w:rsidRPr="003A2681" w:rsidRDefault="003A2681" w:rsidP="00FC7533">
      <w:pPr>
        <w:pStyle w:val="ListParagraph"/>
        <w:rPr>
          <w:rFonts w:eastAsiaTheme="minorEastAsia"/>
        </w:rPr>
      </w:pPr>
      <w:r>
        <w:rPr>
          <w:rFonts w:eastAsiaTheme="minorEastAsia"/>
        </w:rPr>
        <w:t xml:space="preserve">This is because </w:t>
      </w:r>
      <w:proofErr w:type="spellStart"/>
      <w:r w:rsidRPr="003A2681">
        <w:rPr>
          <w:rFonts w:eastAsiaTheme="minorEastAsia"/>
          <w:b/>
          <w:bCs/>
        </w:rPr>
        <w:t>Isat</w:t>
      </w:r>
      <w:proofErr w:type="spellEnd"/>
      <w:r w:rsidRPr="003A2681">
        <w:rPr>
          <w:rFonts w:eastAsiaTheme="minorEastAsia"/>
        </w:rPr>
        <w:t xml:space="preserve"> is often quoted at:</w:t>
      </w:r>
    </w:p>
    <w:p w14:paraId="6D467151" w14:textId="77777777" w:rsidR="003A2681" w:rsidRPr="003A2681" w:rsidRDefault="003A2681" w:rsidP="00FC7533">
      <w:pPr>
        <w:pStyle w:val="ListParagraph"/>
        <w:numPr>
          <w:ilvl w:val="0"/>
          <w:numId w:val="15"/>
        </w:numPr>
        <w:rPr>
          <w:rFonts w:eastAsiaTheme="minorEastAsia"/>
        </w:rPr>
      </w:pPr>
      <w:r w:rsidRPr="003A2681">
        <w:rPr>
          <w:rFonts w:eastAsiaTheme="minorEastAsia"/>
        </w:rPr>
        <w:t>20–30% inductance drop</w:t>
      </w:r>
    </w:p>
    <w:p w14:paraId="4276343A" w14:textId="77777777" w:rsidR="003A2681" w:rsidRPr="003A2681" w:rsidRDefault="003A2681" w:rsidP="00FC7533">
      <w:pPr>
        <w:pStyle w:val="ListParagraph"/>
        <w:numPr>
          <w:ilvl w:val="0"/>
          <w:numId w:val="15"/>
        </w:numPr>
        <w:rPr>
          <w:rFonts w:eastAsiaTheme="minorEastAsia"/>
        </w:rPr>
      </w:pPr>
      <w:r w:rsidRPr="003A2681">
        <w:rPr>
          <w:rFonts w:eastAsiaTheme="minorEastAsia"/>
        </w:rPr>
        <w:t>at 25 °C core temperature</w:t>
      </w:r>
    </w:p>
    <w:p w14:paraId="139F89D9" w14:textId="2020287C" w:rsidR="003A2681" w:rsidRPr="003A2681" w:rsidRDefault="003A2681" w:rsidP="00FC7533">
      <w:pPr>
        <w:pStyle w:val="ListParagraph"/>
        <w:rPr>
          <w:rFonts w:eastAsiaTheme="minorEastAsia"/>
        </w:rPr>
      </w:pPr>
      <w:proofErr w:type="spellStart"/>
      <w:r w:rsidRPr="003A2681">
        <w:rPr>
          <w:rFonts w:eastAsiaTheme="minorEastAsia"/>
          <w:b/>
          <w:bCs/>
        </w:rPr>
        <w:t>Irms</w:t>
      </w:r>
      <w:proofErr w:type="spellEnd"/>
      <w:r w:rsidRPr="003A2681">
        <w:rPr>
          <w:rFonts w:eastAsiaTheme="minorEastAsia"/>
        </w:rPr>
        <w:t xml:space="preserve"> is usually quoted at:</w:t>
      </w:r>
    </w:p>
    <w:p w14:paraId="6A78156F" w14:textId="77777777" w:rsidR="003A2681" w:rsidRPr="003A2681" w:rsidRDefault="003A2681" w:rsidP="00FC7533">
      <w:pPr>
        <w:pStyle w:val="ListParagraph"/>
        <w:numPr>
          <w:ilvl w:val="0"/>
          <w:numId w:val="15"/>
        </w:numPr>
        <w:rPr>
          <w:rFonts w:eastAsiaTheme="minorEastAsia"/>
        </w:rPr>
      </w:pPr>
      <w:r w:rsidRPr="003A2681">
        <w:rPr>
          <w:rFonts w:eastAsiaTheme="minorEastAsia"/>
        </w:rPr>
        <w:t>ΔT = 40 °C rise</w:t>
      </w:r>
    </w:p>
    <w:p w14:paraId="1FFA7986" w14:textId="77777777" w:rsidR="00FC7533" w:rsidRDefault="003A2681" w:rsidP="00FC7533">
      <w:pPr>
        <w:pStyle w:val="ListParagraph"/>
        <w:numPr>
          <w:ilvl w:val="0"/>
          <w:numId w:val="15"/>
        </w:numPr>
        <w:rPr>
          <w:rFonts w:eastAsiaTheme="minorEastAsia"/>
        </w:rPr>
      </w:pPr>
      <w:r w:rsidRPr="003A2681">
        <w:rPr>
          <w:rFonts w:eastAsiaTheme="minorEastAsia"/>
        </w:rPr>
        <w:t>with ideal PCB copper</w:t>
      </w:r>
    </w:p>
    <w:p w14:paraId="418FF3B2" w14:textId="4E43F428" w:rsidR="003A2681" w:rsidRPr="00FC7533" w:rsidRDefault="003A2681" w:rsidP="00FC7533">
      <w:pPr>
        <w:pStyle w:val="ListParagraph"/>
        <w:rPr>
          <w:rFonts w:eastAsiaTheme="minorEastAsia"/>
        </w:rPr>
      </w:pPr>
      <w:r w:rsidRPr="00FC7533">
        <w:rPr>
          <w:rFonts w:eastAsiaTheme="minorEastAsia"/>
          <w:b/>
          <w:bCs/>
        </w:rPr>
        <w:t>DCR</w:t>
      </w:r>
      <w:r w:rsidRPr="00FC7533">
        <w:rPr>
          <w:rFonts w:eastAsiaTheme="minorEastAsia"/>
        </w:rPr>
        <w:t xml:space="preserve"> is almost always:</w:t>
      </w:r>
    </w:p>
    <w:p w14:paraId="4A84C76F" w14:textId="77777777" w:rsidR="003A2681" w:rsidRPr="003A2681" w:rsidRDefault="003A2681" w:rsidP="00FC7533">
      <w:pPr>
        <w:pStyle w:val="ListParagraph"/>
        <w:numPr>
          <w:ilvl w:val="0"/>
          <w:numId w:val="15"/>
        </w:numPr>
        <w:rPr>
          <w:rFonts w:eastAsiaTheme="minorEastAsia"/>
        </w:rPr>
      </w:pPr>
      <w:r w:rsidRPr="003A2681">
        <w:rPr>
          <w:rFonts w:eastAsiaTheme="minorEastAsia"/>
        </w:rPr>
        <w:t>measured at 25 °C copper temperature</w:t>
      </w:r>
    </w:p>
    <w:p w14:paraId="6005B66C" w14:textId="4BBE5C07" w:rsidR="006A4B9D" w:rsidRDefault="006A4B9D" w:rsidP="006A4B9D">
      <w:pPr>
        <w:pStyle w:val="ListParagraph"/>
        <w:rPr>
          <w:rFonts w:eastAsiaTheme="minorEastAsia"/>
        </w:rPr>
      </w:pPr>
    </w:p>
    <w:p w14:paraId="057C90F4" w14:textId="15FB8A58" w:rsidR="003F6270" w:rsidRDefault="003F6270" w:rsidP="001F016A">
      <w:pPr>
        <w:pStyle w:val="ListParagraph"/>
        <w:numPr>
          <w:ilvl w:val="0"/>
          <w:numId w:val="2"/>
        </w:numPr>
        <w:rPr>
          <w:rFonts w:eastAsiaTheme="minorEastAsia"/>
        </w:rPr>
      </w:pPr>
      <w:r w:rsidRPr="00180B1F">
        <w:rPr>
          <w:rFonts w:eastAsiaTheme="minorEastAsia"/>
        </w:rPr>
        <w:t>Saturation current &gt; Peak inductor current</w:t>
      </w:r>
      <w:r w:rsidR="00021D72">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L Peak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
              <w:rPr>
                <w:rFonts w:ascii="Cambria Math" w:hAnsi="Cambria Math"/>
              </w:rPr>
              <m:t>2</m:t>
            </m:r>
          </m:den>
        </m:f>
      </m:oMath>
      <w:r w:rsidR="00486DF3">
        <w:rPr>
          <w:rFonts w:eastAsiaTheme="minorEastAsia"/>
        </w:rPr>
        <w:t xml:space="preserve"> </w:t>
      </w:r>
    </w:p>
    <w:p w14:paraId="5C854D46" w14:textId="570D427E" w:rsidR="003F6270" w:rsidRDefault="003F6270" w:rsidP="00D33237">
      <w:pPr>
        <w:pStyle w:val="ListParagraph"/>
        <w:numPr>
          <w:ilvl w:val="0"/>
          <w:numId w:val="2"/>
        </w:numPr>
        <w:rPr>
          <w:rFonts w:eastAsiaTheme="minorEastAsia"/>
        </w:rPr>
      </w:pPr>
      <w:r w:rsidRPr="00180B1F">
        <w:rPr>
          <w:rFonts w:eastAsiaTheme="minorEastAsia"/>
        </w:rPr>
        <w:t>Low DCR</w:t>
      </w:r>
      <w:r w:rsidR="00781A62">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00781A62">
        <w:rPr>
          <w:rFonts w:eastAsiaTheme="minorEastAsia"/>
        </w:rPr>
        <w:t xml:space="preserve"> is preferred as it causes lower conduction loss</w:t>
      </w:r>
    </w:p>
    <w:p w14:paraId="511FFAFD" w14:textId="274CCC20" w:rsidR="00072BA4" w:rsidRPr="001A7ED3" w:rsidRDefault="00072BA4" w:rsidP="00072BA4">
      <w:pPr>
        <w:pStyle w:val="ListParagraph"/>
        <w:numPr>
          <w:ilvl w:val="0"/>
          <w:numId w:val="16"/>
        </w:numPr>
        <w:rPr>
          <w:rFonts w:eastAsiaTheme="minorEastAsia"/>
        </w:rPr>
      </w:pPr>
      <w:r>
        <w:rPr>
          <w:rFonts w:eastAsiaTheme="minorEastAsia"/>
        </w:rPr>
        <w:t xml:space="preserve">Rms current relationship should also be satisfied: </w:t>
      </w: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rms,usable</m:t>
            </m:r>
          </m:sub>
        </m:sSub>
        <m:r>
          <w:rPr>
            <w:rFonts w:ascii="Cambria Math" w:eastAsiaTheme="minorEastAsia" w:hAnsi="Cambria Math"/>
          </w:rPr>
          <m:t>&gt;</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rms</m:t>
            </m:r>
          </m:sub>
        </m:sSub>
      </m:oMath>
    </w:p>
    <w:p w14:paraId="16E15766" w14:textId="4DEB6690" w:rsidR="00072BA4" w:rsidRPr="00D33237" w:rsidRDefault="00072BA4" w:rsidP="00072BA4">
      <w:pPr>
        <w:pStyle w:val="ListParagraph"/>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LRMS</m:t>
              </m:r>
            </m:sub>
          </m:sSub>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OUTMAX</m:t>
                      </m:r>
                    </m:sub>
                  </m:sSub>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OUT RIPPLE</m:t>
                          </m:r>
                        </m:sub>
                      </m:sSub>
                    </m:e>
                    <m:sup>
                      <m:r>
                        <w:rPr>
                          <w:rFonts w:ascii="Cambria Math" w:hAnsi="Cambria Math"/>
                        </w:rPr>
                        <m:t>2</m:t>
                      </m:r>
                    </m:sup>
                  </m:sSup>
                </m:num>
                <m:den>
                  <m:r>
                    <w:rPr>
                      <w:rFonts w:ascii="Cambria Math" w:eastAsiaTheme="minorEastAsia" w:hAnsi="Cambria Math"/>
                    </w:rPr>
                    <m:t>12</m:t>
                  </m:r>
                </m:den>
              </m:f>
            </m:e>
          </m:rad>
        </m:oMath>
      </m:oMathPara>
    </w:p>
    <w:p w14:paraId="650BBE2F" w14:textId="7586DA32" w:rsidR="003F6270" w:rsidRPr="001F016A" w:rsidRDefault="00006DA3" w:rsidP="00006DA3">
      <w:pPr>
        <w:pStyle w:val="ListParagraph"/>
        <w:numPr>
          <w:ilvl w:val="0"/>
          <w:numId w:val="2"/>
        </w:numPr>
      </w:pPr>
      <w:r>
        <w:t xml:space="preserve">Rule of thumb to select output current ripple </w:t>
      </w:r>
      <m:oMath>
        <m:sSub>
          <m:sSubPr>
            <m:ctrlPr>
              <w:rPr>
                <w:rFonts w:ascii="Cambria Math" w:hAnsi="Cambria Math"/>
                <w:i/>
              </w:rPr>
            </m:ctrlPr>
          </m:sSubPr>
          <m:e>
            <m:r>
              <w:rPr>
                <w:rFonts w:ascii="Cambria Math" w:hAnsi="Cambria Math"/>
              </w:rPr>
              <m:t>I</m:t>
            </m:r>
          </m:e>
          <m:sub>
            <m:r>
              <w:rPr>
                <w:rFonts w:ascii="Cambria Math" w:hAnsi="Cambria Math"/>
              </w:rPr>
              <m:t>OUT RIPPLE</m:t>
            </m:r>
          </m:sub>
        </m:sSub>
      </m:oMath>
      <w:r>
        <w:rPr>
          <w:rFonts w:eastAsiaTheme="minorEastAsia"/>
        </w:rPr>
        <w:t xml:space="preserve"> </w:t>
      </w:r>
      <w:r w:rsidR="001F016A">
        <w:rPr>
          <w:rFonts w:eastAsiaTheme="minorEastAsia"/>
        </w:rPr>
        <w:t>to be from</w:t>
      </w:r>
      <w:r>
        <w:rPr>
          <w:rFonts w:eastAsiaTheme="minorEastAsia"/>
        </w:rPr>
        <w:t xml:space="preserve"> </w:t>
      </w:r>
      <w:r w:rsidR="00486DF3">
        <w:rPr>
          <w:rFonts w:eastAsiaTheme="minorEastAsia"/>
        </w:rPr>
        <w:t>20% to 40%</w:t>
      </w:r>
      <w:r w:rsidR="001F016A">
        <w:rPr>
          <w:rFonts w:eastAsiaTheme="minorEastAsia"/>
        </w:rPr>
        <w:t xml:space="preserve"> of the max load current which is </w:t>
      </w:r>
    </w:p>
    <w:p w14:paraId="7D66E90B" w14:textId="77777777" w:rsidR="001F016A" w:rsidRDefault="001F016A" w:rsidP="001F016A">
      <w:pPr>
        <w:pStyle w:val="ListParagraph"/>
      </w:pPr>
    </w:p>
    <w:p w14:paraId="28C12BB7" w14:textId="6A3EE660" w:rsidR="004254D3" w:rsidRPr="000731FC" w:rsidRDefault="00000000" w:rsidP="000731FC">
      <w:pPr>
        <w:pStyle w:val="ListParagraph"/>
        <w:jc w:val="center"/>
      </w:pPr>
      <m:oMathPara>
        <m:oMath>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OUTMAX</m:t>
                  </m:r>
                </m:sub>
              </m:sSub>
            </m:num>
            <m:den>
              <m:sSub>
                <m:sSubPr>
                  <m:ctrlPr>
                    <w:rPr>
                      <w:rFonts w:ascii="Cambria Math" w:hAnsi="Cambria Math"/>
                      <w:i/>
                    </w:rPr>
                  </m:ctrlPr>
                </m:sSubPr>
                <m:e>
                  <m:r>
                    <w:rPr>
                      <w:rFonts w:ascii="Cambria Math" w:hAnsi="Cambria Math"/>
                    </w:rPr>
                    <m:t>V</m:t>
                  </m:r>
                </m:e>
                <m:sub>
                  <m:r>
                    <w:rPr>
                      <w:rFonts w:ascii="Cambria Math" w:hAnsi="Cambria Math"/>
                    </w:rPr>
                    <m:t>OUT MIN</m:t>
                  </m:r>
                </m:sub>
              </m:sSub>
            </m:den>
          </m:f>
        </m:oMath>
      </m:oMathPara>
    </w:p>
    <w:p w14:paraId="23E193F7" w14:textId="77777777" w:rsidR="004254D3" w:rsidRDefault="004254D3" w:rsidP="0088133C">
      <w:pPr>
        <w:pStyle w:val="ListParagraph"/>
        <w:rPr>
          <w:rFonts w:eastAsiaTheme="minorEastAsia"/>
        </w:rPr>
      </w:pPr>
    </w:p>
    <w:p w14:paraId="0C8F16E0" w14:textId="77777777" w:rsidR="00A5057A" w:rsidRDefault="00781A62" w:rsidP="00F50863">
      <w:pPr>
        <w:rPr>
          <w:b/>
          <w:bCs/>
          <w:sz w:val="24"/>
          <w:szCs w:val="24"/>
        </w:rPr>
      </w:pPr>
      <w:r w:rsidRPr="00F50863">
        <w:rPr>
          <w:b/>
          <w:bCs/>
          <w:sz w:val="24"/>
          <w:szCs w:val="24"/>
        </w:rPr>
        <w:t>Based upon</w:t>
      </w:r>
      <w:r w:rsidR="0079586E" w:rsidRPr="00F50863">
        <w:rPr>
          <w:b/>
          <w:bCs/>
          <w:sz w:val="24"/>
          <w:szCs w:val="24"/>
        </w:rPr>
        <w:t xml:space="preserve"> Core properties and saturation physics</w:t>
      </w:r>
      <w:r w:rsidRPr="00F50863">
        <w:rPr>
          <w:b/>
          <w:bCs/>
          <w:sz w:val="24"/>
          <w:szCs w:val="24"/>
        </w:rPr>
        <w:t>-</w:t>
      </w:r>
    </w:p>
    <w:p w14:paraId="2BB5F972" w14:textId="42A60AE9" w:rsidR="00A5057A" w:rsidRDefault="00A5057A" w:rsidP="00A5057A">
      <w:pPr>
        <w:pStyle w:val="ListParagraph"/>
      </w:pPr>
      <w:r>
        <w:t>The Agent computes the actual required saturation current by taking into account the nature of the load which is given by the following equation:</w:t>
      </w:r>
    </w:p>
    <w:p w14:paraId="7064FD42" w14:textId="77777777" w:rsidR="00756326" w:rsidRDefault="00756326" w:rsidP="00CC6346">
      <w:pPr>
        <w:pStyle w:val="ListParagraph"/>
        <w:rPr>
          <w:rFonts w:eastAsiaTheme="minorEastAsia"/>
        </w:rPr>
      </w:pPr>
    </w:p>
    <w:p w14:paraId="01D20A36" w14:textId="03585FEF" w:rsidR="00CC6346" w:rsidRPr="00CC6346" w:rsidRDefault="00CC6346" w:rsidP="00CC6346">
      <w:pPr>
        <w:pStyle w:val="ListParagraph"/>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sat required</m:t>
              </m:r>
            </m:sub>
          </m:sSub>
          <m:r>
            <w:rPr>
              <w:rFonts w:ascii="Cambria Math" w:hAnsi="Cambria Math"/>
            </w:rPr>
            <m:t>=Margin</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 Peak</m:t>
              </m:r>
            </m:sub>
          </m:sSub>
        </m:oMath>
      </m:oMathPara>
    </w:p>
    <w:p w14:paraId="7A65A1E9" w14:textId="77777777" w:rsidR="00CC6346" w:rsidRDefault="00CC6346" w:rsidP="00CC6346">
      <w:pPr>
        <w:pStyle w:val="ListParagraph"/>
        <w:rPr>
          <w:rFonts w:eastAsiaTheme="minorEastAsia"/>
        </w:rPr>
      </w:pPr>
    </w:p>
    <w:p w14:paraId="1A313D42" w14:textId="2FA41F6A" w:rsidR="00EF4553" w:rsidRDefault="00A5057A" w:rsidP="001A7ED3">
      <w:pPr>
        <w:pStyle w:val="ListParagraph"/>
        <w:rPr>
          <w:rFonts w:eastAsiaTheme="minorEastAsia"/>
        </w:rPr>
      </w:pPr>
      <w:r w:rsidRPr="00CC6346">
        <w:rPr>
          <w:rFonts w:eastAsiaTheme="minorEastAsia"/>
        </w:rPr>
        <w:lastRenderedPageBreak/>
        <w:t xml:space="preserve">The Margin here is a number which is an estimate based upon the load current transient demands. Typically, in case of robotics, Peak transient current demand is high and also not exactly certain. And only in such cases where the current spikes suddenly </w:t>
      </w:r>
      <w:proofErr w:type="gramStart"/>
      <w:r w:rsidRPr="00CC6346">
        <w:rPr>
          <w:rFonts w:eastAsiaTheme="minorEastAsia"/>
        </w:rPr>
        <w:t>is</w:t>
      </w:r>
      <w:proofErr w:type="gramEnd"/>
      <w:r w:rsidRPr="00CC6346">
        <w:rPr>
          <w:rFonts w:eastAsiaTheme="minorEastAsia"/>
        </w:rPr>
        <w:t xml:space="preserve"> that inductor prone to saturation. So, the agent takes the Margin to be around 1.6 times the </w:t>
      </w:r>
      <m:oMath>
        <m:sSub>
          <m:sSubPr>
            <m:ctrlPr>
              <w:rPr>
                <w:rFonts w:ascii="Cambria Math" w:hAnsi="Cambria Math"/>
                <w:i/>
              </w:rPr>
            </m:ctrlPr>
          </m:sSubPr>
          <m:e>
            <m:r>
              <w:rPr>
                <w:rFonts w:ascii="Cambria Math" w:hAnsi="Cambria Math"/>
              </w:rPr>
              <m:t>I</m:t>
            </m:r>
          </m:e>
          <m:sub>
            <m:r>
              <w:rPr>
                <w:rFonts w:ascii="Cambria Math" w:hAnsi="Cambria Math"/>
              </w:rPr>
              <m:t>L Peak</m:t>
            </m:r>
          </m:sub>
        </m:sSub>
      </m:oMath>
      <w:r w:rsidRPr="00CC6346">
        <w:rPr>
          <w:rFonts w:eastAsiaTheme="minorEastAsia"/>
        </w:rPr>
        <w:t>.</w:t>
      </w:r>
    </w:p>
    <w:p w14:paraId="6BCA4FA8" w14:textId="49DE4E1C" w:rsidR="001A7ED3" w:rsidRPr="001A7ED3" w:rsidRDefault="003A2681" w:rsidP="001A7ED3">
      <w:pPr>
        <w:pStyle w:val="ListParagraph"/>
        <w:rPr>
          <w:rFonts w:eastAsiaTheme="minorEastAsia"/>
        </w:rPr>
      </w:pPr>
      <w:r>
        <w:rPr>
          <w:rFonts w:eastAsiaTheme="minorEastAsia"/>
        </w:rPr>
        <w:t xml:space="preserve">Now, the agent will look at the datasheet and see if the mentioned saturation current is greater than this required saturation current or not and if it </w:t>
      </w:r>
      <w:proofErr w:type="gramStart"/>
      <w:r>
        <w:rPr>
          <w:rFonts w:eastAsiaTheme="minorEastAsia"/>
        </w:rPr>
        <w:t>is ,</w:t>
      </w:r>
      <w:proofErr w:type="gramEnd"/>
      <w:r>
        <w:rPr>
          <w:rFonts w:eastAsiaTheme="minorEastAsia"/>
        </w:rPr>
        <w:t xml:space="preserve"> </w:t>
      </w:r>
      <w:r w:rsidR="007A1D80">
        <w:rPr>
          <w:rFonts w:eastAsiaTheme="minorEastAsia"/>
        </w:rPr>
        <w:t xml:space="preserve">only then </w:t>
      </w:r>
      <w:r>
        <w:rPr>
          <w:rFonts w:eastAsiaTheme="minorEastAsia"/>
        </w:rPr>
        <w:t>the inductor is further inspected.</w:t>
      </w:r>
    </w:p>
    <w:p w14:paraId="57EEF4F6" w14:textId="66779D3B" w:rsidR="006D197C" w:rsidRDefault="006D197C" w:rsidP="006D197C">
      <w:pPr>
        <w:pStyle w:val="ListParagraph"/>
        <w:numPr>
          <w:ilvl w:val="0"/>
          <w:numId w:val="5"/>
        </w:numPr>
      </w:pPr>
      <w:r>
        <w:t xml:space="preserve">Ferrite Cores </w:t>
      </w:r>
      <w:r w:rsidR="008819E8">
        <w:t xml:space="preserve">which are lightly gapped or </w:t>
      </w:r>
      <w:proofErr w:type="spellStart"/>
      <w:r w:rsidR="008819E8">
        <w:t>ungapped</w:t>
      </w:r>
      <w:proofErr w:type="spellEnd"/>
      <w:r w:rsidR="008819E8">
        <w:t xml:space="preserve"> </w:t>
      </w:r>
      <w:r>
        <w:t xml:space="preserve">have high permeability, low core loss at high frequency but have a sudden and sharp saturation knee due to which inductance drops suddenly which can cause sudden spikes in current, thus increasing the risk of saturation and damage to other components. </w:t>
      </w:r>
      <w:proofErr w:type="gramStart"/>
      <w:r>
        <w:t>So</w:t>
      </w:r>
      <w:proofErr w:type="gramEnd"/>
      <w:r>
        <w:t xml:space="preserve"> when using this, Margin must be aggressively high.</w:t>
      </w:r>
    </w:p>
    <w:p w14:paraId="11AA22A3" w14:textId="3FFDEA44" w:rsidR="006D197C" w:rsidRDefault="008819E8" w:rsidP="006D197C">
      <w:pPr>
        <w:pStyle w:val="ListParagraph"/>
        <w:numPr>
          <w:ilvl w:val="0"/>
          <w:numId w:val="5"/>
        </w:numPr>
      </w:pPr>
      <w:r>
        <w:t>Ferrite cores which are gapped have lower permeability which causes energy to be stored uniformly. This causes the saturation knee to be soft and gradual. So, Inductance drops gradually. The trade</w:t>
      </w:r>
      <w:r w:rsidR="00B55183">
        <w:t>-</w:t>
      </w:r>
      <w:r>
        <w:t>off is higher copper loss. This type of core has medium risk of saturation, so a medium margin is required for saturation current.</w:t>
      </w:r>
    </w:p>
    <w:p w14:paraId="22AA17E1" w14:textId="67895CEA" w:rsidR="008819E8" w:rsidRDefault="008819E8" w:rsidP="006D197C">
      <w:pPr>
        <w:pStyle w:val="ListParagraph"/>
        <w:numPr>
          <w:ilvl w:val="0"/>
          <w:numId w:val="5"/>
        </w:numPr>
      </w:pPr>
      <w:r>
        <w:t xml:space="preserve">Finally for distributed Air gap cores, the gaps are spread uniformly, so energy is naturally spread uniformly </w:t>
      </w:r>
      <w:proofErr w:type="spellStart"/>
      <w:r>
        <w:t>throughtout</w:t>
      </w:r>
      <w:proofErr w:type="spellEnd"/>
      <w:r>
        <w:t>.</w:t>
      </w:r>
      <w:r w:rsidR="002757F7">
        <w:t xml:space="preserve"> Inductance degrades </w:t>
      </w:r>
      <w:r w:rsidR="00621BDC">
        <w:t>gracefully. Efficiency drops first and temperature rises slowly. So</w:t>
      </w:r>
      <w:r w:rsidR="00421190">
        <w:t xml:space="preserve">, </w:t>
      </w:r>
      <w:r w:rsidR="00621BDC">
        <w:t>these are highly preferred for robotics and transient heavy loads.</w:t>
      </w:r>
    </w:p>
    <w:p w14:paraId="4E372893" w14:textId="570D3E15" w:rsidR="00621BDC" w:rsidRDefault="00621BDC" w:rsidP="00621BDC">
      <w:pPr>
        <w:ind w:left="1080"/>
      </w:pPr>
      <w:r>
        <w:t>Agent first identifies core from manufacturer datasheet and extracts following information:</w:t>
      </w:r>
    </w:p>
    <w:p w14:paraId="3F62A6D6" w14:textId="78FAE68F" w:rsidR="00621BDC" w:rsidRPr="00621BDC" w:rsidRDefault="00621BDC" w:rsidP="00621BDC">
      <w:pPr>
        <w:pStyle w:val="ListParagraph"/>
        <w:numPr>
          <w:ilvl w:val="0"/>
          <w:numId w:val="6"/>
        </w:numPr>
      </w:pPr>
      <w:r w:rsidRPr="00621BDC">
        <w:t xml:space="preserve">% L </w:t>
      </w:r>
      <w:r>
        <w:t xml:space="preserve">(Inductance) </w:t>
      </w:r>
      <w:r w:rsidRPr="00621BDC">
        <w:t>drop at operating current</w:t>
      </w:r>
      <w:r w:rsidR="0037262F">
        <w:t xml:space="preserve"> (peak current)</w:t>
      </w:r>
    </w:p>
    <w:p w14:paraId="46A73DB4" w14:textId="17601D20" w:rsidR="00621BDC" w:rsidRPr="00621BDC" w:rsidRDefault="00621BDC" w:rsidP="00621BDC">
      <w:pPr>
        <w:pStyle w:val="ListParagraph"/>
        <w:numPr>
          <w:ilvl w:val="0"/>
          <w:numId w:val="6"/>
        </w:numPr>
      </w:pPr>
      <w:r w:rsidRPr="00621BDC">
        <w:t>Slope of L(I)</w:t>
      </w:r>
    </w:p>
    <w:p w14:paraId="3569766F" w14:textId="31E2DB6B" w:rsidR="00621BDC" w:rsidRDefault="00815D41" w:rsidP="00621BDC">
      <w:pPr>
        <w:ind w:left="1080"/>
      </w:pPr>
      <w:r>
        <w:t>If the knee of the curve is sharp, then saturation risk is high. It classifies risk according to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421"/>
        <w:gridCol w:w="1932"/>
      </w:tblGrid>
      <w:tr w:rsidR="00815D41" w:rsidRPr="00815D41" w14:paraId="43252F03" w14:textId="77777777">
        <w:trPr>
          <w:tblHeader/>
          <w:tblCellSpacing w:w="15" w:type="dxa"/>
        </w:trPr>
        <w:tc>
          <w:tcPr>
            <w:tcW w:w="0" w:type="auto"/>
            <w:vAlign w:val="center"/>
            <w:hideMark/>
          </w:tcPr>
          <w:p w14:paraId="6071137C" w14:textId="77777777" w:rsidR="00815D41" w:rsidRPr="00815D41" w:rsidRDefault="00815D41" w:rsidP="00815D41">
            <w:pPr>
              <w:ind w:left="1080"/>
              <w:rPr>
                <w:b/>
                <w:bCs/>
              </w:rPr>
            </w:pPr>
            <w:r w:rsidRPr="00815D41">
              <w:rPr>
                <w:b/>
                <w:bCs/>
              </w:rPr>
              <w:t>Class</w:t>
            </w:r>
          </w:p>
        </w:tc>
        <w:tc>
          <w:tcPr>
            <w:tcW w:w="0" w:type="auto"/>
            <w:vAlign w:val="center"/>
            <w:hideMark/>
          </w:tcPr>
          <w:p w14:paraId="6D055B6E" w14:textId="77777777" w:rsidR="00815D41" w:rsidRPr="00815D41" w:rsidRDefault="00815D41" w:rsidP="00815D41">
            <w:pPr>
              <w:ind w:left="1080"/>
              <w:rPr>
                <w:b/>
                <w:bCs/>
              </w:rPr>
            </w:pPr>
            <w:r w:rsidRPr="00815D41">
              <w:rPr>
                <w:b/>
                <w:bCs/>
              </w:rPr>
              <w:t>Description</w:t>
            </w:r>
          </w:p>
        </w:tc>
        <w:tc>
          <w:tcPr>
            <w:tcW w:w="0" w:type="auto"/>
            <w:vAlign w:val="center"/>
            <w:hideMark/>
          </w:tcPr>
          <w:p w14:paraId="01916D92" w14:textId="77777777" w:rsidR="00815D41" w:rsidRPr="00815D41" w:rsidRDefault="00815D41" w:rsidP="00815D41">
            <w:pPr>
              <w:ind w:left="1080"/>
              <w:rPr>
                <w:b/>
                <w:bCs/>
              </w:rPr>
            </w:pPr>
            <w:r w:rsidRPr="00815D41">
              <w:rPr>
                <w:b/>
                <w:bCs/>
              </w:rPr>
              <w:t>Risk</w:t>
            </w:r>
          </w:p>
        </w:tc>
      </w:tr>
      <w:tr w:rsidR="00815D41" w:rsidRPr="00815D41" w14:paraId="2624B01E" w14:textId="77777777">
        <w:trPr>
          <w:tblCellSpacing w:w="15" w:type="dxa"/>
        </w:trPr>
        <w:tc>
          <w:tcPr>
            <w:tcW w:w="0" w:type="auto"/>
            <w:vAlign w:val="center"/>
            <w:hideMark/>
          </w:tcPr>
          <w:p w14:paraId="0489700B" w14:textId="77777777" w:rsidR="00815D41" w:rsidRPr="00815D41" w:rsidRDefault="00815D41" w:rsidP="00815D41">
            <w:pPr>
              <w:ind w:left="1080"/>
            </w:pPr>
            <w:r w:rsidRPr="00815D41">
              <w:t>A</w:t>
            </w:r>
          </w:p>
        </w:tc>
        <w:tc>
          <w:tcPr>
            <w:tcW w:w="0" w:type="auto"/>
            <w:vAlign w:val="center"/>
            <w:hideMark/>
          </w:tcPr>
          <w:p w14:paraId="279C0ECB" w14:textId="77777777" w:rsidR="00815D41" w:rsidRPr="00815D41" w:rsidRDefault="00815D41" w:rsidP="00815D41">
            <w:pPr>
              <w:ind w:left="1080"/>
            </w:pPr>
            <w:r w:rsidRPr="00815D41">
              <w:t>Distributed gap, smooth</w:t>
            </w:r>
          </w:p>
        </w:tc>
        <w:tc>
          <w:tcPr>
            <w:tcW w:w="0" w:type="auto"/>
            <w:vAlign w:val="center"/>
            <w:hideMark/>
          </w:tcPr>
          <w:p w14:paraId="28F04F73" w14:textId="77777777" w:rsidR="00815D41" w:rsidRPr="00815D41" w:rsidRDefault="00815D41" w:rsidP="00815D41">
            <w:pPr>
              <w:ind w:left="1080"/>
            </w:pPr>
            <w:r w:rsidRPr="00815D41">
              <w:t>Low</w:t>
            </w:r>
          </w:p>
        </w:tc>
      </w:tr>
      <w:tr w:rsidR="00815D41" w:rsidRPr="00815D41" w14:paraId="4C609007" w14:textId="77777777">
        <w:trPr>
          <w:tblCellSpacing w:w="15" w:type="dxa"/>
        </w:trPr>
        <w:tc>
          <w:tcPr>
            <w:tcW w:w="0" w:type="auto"/>
            <w:vAlign w:val="center"/>
            <w:hideMark/>
          </w:tcPr>
          <w:p w14:paraId="6885315C" w14:textId="77777777" w:rsidR="00815D41" w:rsidRPr="00815D41" w:rsidRDefault="00815D41" w:rsidP="00815D41">
            <w:pPr>
              <w:ind w:left="1080"/>
            </w:pPr>
            <w:r w:rsidRPr="00815D41">
              <w:t>B</w:t>
            </w:r>
          </w:p>
        </w:tc>
        <w:tc>
          <w:tcPr>
            <w:tcW w:w="0" w:type="auto"/>
            <w:vAlign w:val="center"/>
            <w:hideMark/>
          </w:tcPr>
          <w:p w14:paraId="58C374AE" w14:textId="77777777" w:rsidR="00815D41" w:rsidRPr="00815D41" w:rsidRDefault="00815D41" w:rsidP="00815D41">
            <w:pPr>
              <w:ind w:left="1080"/>
            </w:pPr>
            <w:r w:rsidRPr="00815D41">
              <w:t>Gapped ferrite</w:t>
            </w:r>
          </w:p>
        </w:tc>
        <w:tc>
          <w:tcPr>
            <w:tcW w:w="0" w:type="auto"/>
            <w:vAlign w:val="center"/>
            <w:hideMark/>
          </w:tcPr>
          <w:p w14:paraId="5D602461" w14:textId="77777777" w:rsidR="00815D41" w:rsidRPr="00815D41" w:rsidRDefault="00815D41" w:rsidP="00815D41">
            <w:pPr>
              <w:ind w:left="1080"/>
            </w:pPr>
            <w:r w:rsidRPr="00815D41">
              <w:t>Medium</w:t>
            </w:r>
          </w:p>
        </w:tc>
      </w:tr>
      <w:tr w:rsidR="00815D41" w:rsidRPr="00815D41" w14:paraId="36B6B7E7" w14:textId="77777777">
        <w:trPr>
          <w:tblCellSpacing w:w="15" w:type="dxa"/>
        </w:trPr>
        <w:tc>
          <w:tcPr>
            <w:tcW w:w="0" w:type="auto"/>
            <w:vAlign w:val="center"/>
            <w:hideMark/>
          </w:tcPr>
          <w:p w14:paraId="2F8240E0" w14:textId="77777777" w:rsidR="00815D41" w:rsidRPr="00815D41" w:rsidRDefault="00815D41" w:rsidP="00815D41">
            <w:pPr>
              <w:ind w:left="1080"/>
            </w:pPr>
            <w:r w:rsidRPr="00815D41">
              <w:t>C</w:t>
            </w:r>
          </w:p>
        </w:tc>
        <w:tc>
          <w:tcPr>
            <w:tcW w:w="0" w:type="auto"/>
            <w:vAlign w:val="center"/>
            <w:hideMark/>
          </w:tcPr>
          <w:p w14:paraId="32FF8D2B" w14:textId="77777777" w:rsidR="00815D41" w:rsidRPr="00815D41" w:rsidRDefault="00815D41" w:rsidP="00815D41">
            <w:pPr>
              <w:ind w:left="1080"/>
            </w:pPr>
            <w:r w:rsidRPr="00815D41">
              <w:t>Sharp ferrite knee</w:t>
            </w:r>
          </w:p>
        </w:tc>
        <w:tc>
          <w:tcPr>
            <w:tcW w:w="0" w:type="auto"/>
            <w:vAlign w:val="center"/>
            <w:hideMark/>
          </w:tcPr>
          <w:p w14:paraId="10D78284" w14:textId="77777777" w:rsidR="00815D41" w:rsidRPr="00815D41" w:rsidRDefault="00815D41" w:rsidP="00815D41">
            <w:pPr>
              <w:ind w:left="1080"/>
            </w:pPr>
            <w:r w:rsidRPr="00815D41">
              <w:t>High</w:t>
            </w:r>
          </w:p>
        </w:tc>
      </w:tr>
    </w:tbl>
    <w:p w14:paraId="4AC85BBC" w14:textId="673E785D" w:rsidR="00815D41" w:rsidRDefault="008733DA" w:rsidP="00621BDC">
      <w:pPr>
        <w:ind w:left="1080"/>
        <w:rPr>
          <w:b/>
          <w:bCs/>
        </w:rPr>
      </w:pPr>
      <w:r w:rsidRPr="008733DA">
        <w:rPr>
          <w:b/>
          <w:bCs/>
        </w:rPr>
        <w:t>Agent catches the major failure mode in robotics which is magnetics saturation.</w:t>
      </w:r>
    </w:p>
    <w:p w14:paraId="24A4C570" w14:textId="77777777" w:rsidR="008733DA" w:rsidRPr="008733DA" w:rsidRDefault="008733DA" w:rsidP="00621BDC">
      <w:pPr>
        <w:ind w:left="1080"/>
      </w:pPr>
    </w:p>
    <w:p w14:paraId="22ACC072" w14:textId="1A849E18" w:rsidR="00487272" w:rsidRPr="00F50863" w:rsidRDefault="00487272" w:rsidP="00F50863">
      <w:pPr>
        <w:rPr>
          <w:b/>
          <w:bCs/>
          <w:sz w:val="24"/>
          <w:szCs w:val="24"/>
        </w:rPr>
      </w:pPr>
      <w:r w:rsidRPr="00F50863">
        <w:rPr>
          <w:b/>
          <w:bCs/>
          <w:sz w:val="24"/>
          <w:szCs w:val="24"/>
        </w:rPr>
        <w:t>Based upon Loss Modelling and Energy Reality-</w:t>
      </w:r>
    </w:p>
    <w:p w14:paraId="778F7F86" w14:textId="4F5E2EE8" w:rsidR="00487272" w:rsidRDefault="00487272" w:rsidP="0088133C">
      <w:pPr>
        <w:pStyle w:val="ListParagraph"/>
        <w:rPr>
          <w:rFonts w:eastAsiaTheme="minorEastAsia"/>
        </w:rPr>
      </w:pPr>
      <w:r>
        <w:rPr>
          <w:rFonts w:eastAsiaTheme="minorEastAsia"/>
        </w:rPr>
        <w:t xml:space="preserve">The two losses in inductors are </w:t>
      </w:r>
      <w:r w:rsidR="00E708F5">
        <w:rPr>
          <w:rFonts w:eastAsiaTheme="minorEastAsia"/>
        </w:rPr>
        <w:t xml:space="preserve">Core loss and Copper Loss. Within the Copper loss, there are DC copper loss and </w:t>
      </w:r>
      <w:r w:rsidR="0004774A">
        <w:rPr>
          <w:rFonts w:eastAsiaTheme="minorEastAsia"/>
        </w:rPr>
        <w:t>AC Copper</w:t>
      </w:r>
      <w:r w:rsidR="00E708F5">
        <w:rPr>
          <w:rFonts w:eastAsiaTheme="minorEastAsia"/>
        </w:rPr>
        <w:t xml:space="preserve"> loss. </w:t>
      </w:r>
    </w:p>
    <w:p w14:paraId="0F38675D" w14:textId="77777777" w:rsidR="000731FC" w:rsidRDefault="000731FC" w:rsidP="000731FC">
      <w:pPr>
        <w:pStyle w:val="ListParagraph"/>
      </w:pPr>
      <w:r>
        <w:t xml:space="preserve">DC Conduction or DC Copper Loss (in Watts W) in the Inductor is </w:t>
      </w:r>
    </w:p>
    <w:p w14:paraId="01E2209F" w14:textId="77777777" w:rsidR="000731FC" w:rsidRDefault="000731FC" w:rsidP="000731FC">
      <w:pPr>
        <w:pStyle w:val="ListParagraph"/>
      </w:pPr>
    </w:p>
    <w:p w14:paraId="5B0A3253" w14:textId="77777777" w:rsidR="000731FC" w:rsidRPr="0088133C" w:rsidRDefault="00000000" w:rsidP="000731FC">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DCCopper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LRMS</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L</m:t>
              </m:r>
            </m:sub>
          </m:sSub>
        </m:oMath>
      </m:oMathPara>
    </w:p>
    <w:p w14:paraId="07FDB398" w14:textId="77777777" w:rsidR="000731FC" w:rsidRDefault="000731FC" w:rsidP="000731FC">
      <w:pPr>
        <w:pStyle w:val="ListParagraph"/>
      </w:pPr>
    </w:p>
    <w:p w14:paraId="2ADF7E19" w14:textId="6536AAF5" w:rsidR="000731FC" w:rsidRDefault="000731FC" w:rsidP="000731FC">
      <w:pPr>
        <w:pStyle w:val="ListParagraph"/>
        <w:rPr>
          <w:rFonts w:eastAsiaTheme="minorEastAsia"/>
        </w:rPr>
      </w:pPr>
      <w:r>
        <w:t xml:space="preserve">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Pr>
          <w:rFonts w:eastAsiaTheme="minorEastAsia"/>
        </w:rPr>
        <w:t xml:space="preserve"> is the DCR (DC Resistance) of the Inductor</w:t>
      </w:r>
    </w:p>
    <w:p w14:paraId="38D6B4D3" w14:textId="024CCEA1" w:rsidR="0004774A" w:rsidRDefault="0004774A" w:rsidP="0004774A">
      <w:pPr>
        <w:pStyle w:val="ListParagraph"/>
      </w:pPr>
      <w:r>
        <w:t xml:space="preserve">AC Conduction or AC Copper Loss (in Watts W) in the Inductor is </w:t>
      </w:r>
    </w:p>
    <w:p w14:paraId="1FE3DFDE" w14:textId="77777777" w:rsidR="0004774A" w:rsidRDefault="0004774A" w:rsidP="0004774A">
      <w:pPr>
        <w:pStyle w:val="ListParagraph"/>
      </w:pPr>
    </w:p>
    <w:p w14:paraId="040FF9A1" w14:textId="1FC7CF1B" w:rsidR="0004774A" w:rsidRPr="0088133C" w:rsidRDefault="00000000" w:rsidP="0004774A">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ACCopper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DCCopper</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AC</m:t>
              </m:r>
            </m:sub>
          </m:sSub>
        </m:oMath>
      </m:oMathPara>
    </w:p>
    <w:p w14:paraId="67BE6BBF" w14:textId="7D393832" w:rsidR="000731FC" w:rsidRDefault="00FB4427" w:rsidP="0088133C">
      <w:pPr>
        <w:pStyle w:val="ListParagraph"/>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K</m:t>
            </m:r>
          </m:e>
          <m:sub>
            <m:r>
              <w:rPr>
                <w:rFonts w:ascii="Cambria Math" w:hAnsi="Cambria Math"/>
              </w:rPr>
              <m:t>AC</m:t>
            </m:r>
          </m:sub>
        </m:sSub>
      </m:oMath>
      <w:r>
        <w:rPr>
          <w:rFonts w:eastAsiaTheme="minorEastAsia"/>
        </w:rPr>
        <w:t xml:space="preserve"> can be estimated empirically from Vendor inductor notes using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3952"/>
      </w:tblGrid>
      <w:tr w:rsidR="00FB4427" w:rsidRPr="00FB4427" w14:paraId="53EFBF14" w14:textId="77777777">
        <w:trPr>
          <w:tblHeader/>
          <w:tblCellSpacing w:w="15" w:type="dxa"/>
        </w:trPr>
        <w:tc>
          <w:tcPr>
            <w:tcW w:w="0" w:type="auto"/>
            <w:vAlign w:val="center"/>
            <w:hideMark/>
          </w:tcPr>
          <w:p w14:paraId="7223C515" w14:textId="77777777" w:rsidR="00FB4427" w:rsidRPr="00FB4427" w:rsidRDefault="00FB4427" w:rsidP="00FB4427">
            <w:pPr>
              <w:pStyle w:val="ListParagraph"/>
              <w:rPr>
                <w:rFonts w:eastAsiaTheme="minorEastAsia"/>
                <w:b/>
                <w:bCs/>
              </w:rPr>
            </w:pPr>
            <w:r w:rsidRPr="00FB4427">
              <w:rPr>
                <w:rFonts w:eastAsiaTheme="minorEastAsia"/>
                <w:b/>
                <w:bCs/>
              </w:rPr>
              <w:t>Condition</w:t>
            </w:r>
          </w:p>
        </w:tc>
        <w:tc>
          <w:tcPr>
            <w:tcW w:w="0" w:type="auto"/>
            <w:vAlign w:val="center"/>
            <w:hideMark/>
          </w:tcPr>
          <w:p w14:paraId="614CA200" w14:textId="2BFE8844" w:rsidR="00FB4427" w:rsidRPr="00FB4427" w:rsidRDefault="00FB4427" w:rsidP="00FB4427">
            <w:pPr>
              <w:pStyle w:val="ListParagraph"/>
              <w:rPr>
                <w:rFonts w:eastAsiaTheme="minorEastAsia"/>
                <w:b/>
                <w:bCs/>
              </w:rPr>
            </w:pPr>
            <w:r w:rsidRPr="00FB4427">
              <w:rPr>
                <w:rFonts w:eastAsiaTheme="minorEastAsia"/>
                <w:b/>
                <w:bCs/>
              </w:rPr>
              <w:t>Effective Cu Loss Multiplier</w:t>
            </w:r>
            <w:r>
              <w:rPr>
                <w:rFonts w:eastAsiaTheme="minorEastAsia"/>
                <w:b/>
                <w:bCs/>
              </w:rPr>
              <w:t xml:space="preserve"> </w:t>
            </w: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AC</m:t>
                  </m:r>
                </m:sub>
              </m:sSub>
            </m:oMath>
          </w:p>
        </w:tc>
      </w:tr>
      <w:tr w:rsidR="00FB4427" w:rsidRPr="00FB4427" w14:paraId="7B47B536" w14:textId="77777777">
        <w:trPr>
          <w:tblCellSpacing w:w="15" w:type="dxa"/>
        </w:trPr>
        <w:tc>
          <w:tcPr>
            <w:tcW w:w="0" w:type="auto"/>
            <w:vAlign w:val="center"/>
            <w:hideMark/>
          </w:tcPr>
          <w:p w14:paraId="2F823D61" w14:textId="77777777" w:rsidR="00FB4427" w:rsidRPr="00FB4427" w:rsidRDefault="00FB4427" w:rsidP="00FB4427">
            <w:pPr>
              <w:pStyle w:val="ListParagraph"/>
              <w:rPr>
                <w:rFonts w:eastAsiaTheme="minorEastAsia"/>
              </w:rPr>
            </w:pPr>
            <w:r w:rsidRPr="00FB4427">
              <w:rPr>
                <w:rFonts w:eastAsiaTheme="minorEastAsia"/>
              </w:rPr>
              <w:t>&lt; 50 kHz</w:t>
            </w:r>
          </w:p>
        </w:tc>
        <w:tc>
          <w:tcPr>
            <w:tcW w:w="0" w:type="auto"/>
            <w:vAlign w:val="center"/>
            <w:hideMark/>
          </w:tcPr>
          <w:p w14:paraId="32798748" w14:textId="77777777" w:rsidR="00FB4427" w:rsidRPr="00FB4427" w:rsidRDefault="00FB4427" w:rsidP="00FB4427">
            <w:pPr>
              <w:pStyle w:val="ListParagraph"/>
              <w:rPr>
                <w:rFonts w:eastAsiaTheme="minorEastAsia"/>
              </w:rPr>
            </w:pPr>
            <w:r w:rsidRPr="00FB4427">
              <w:rPr>
                <w:rFonts w:eastAsiaTheme="minorEastAsia"/>
              </w:rPr>
              <w:t>1.0</w:t>
            </w:r>
          </w:p>
        </w:tc>
      </w:tr>
      <w:tr w:rsidR="00FB4427" w:rsidRPr="00FB4427" w14:paraId="0138BF49" w14:textId="77777777">
        <w:trPr>
          <w:tblCellSpacing w:w="15" w:type="dxa"/>
        </w:trPr>
        <w:tc>
          <w:tcPr>
            <w:tcW w:w="0" w:type="auto"/>
            <w:vAlign w:val="center"/>
            <w:hideMark/>
          </w:tcPr>
          <w:p w14:paraId="08FFD394" w14:textId="77777777" w:rsidR="00FB4427" w:rsidRPr="00FB4427" w:rsidRDefault="00FB4427" w:rsidP="00FB4427">
            <w:pPr>
              <w:pStyle w:val="ListParagraph"/>
              <w:rPr>
                <w:rFonts w:eastAsiaTheme="minorEastAsia"/>
              </w:rPr>
            </w:pPr>
            <w:r w:rsidRPr="00FB4427">
              <w:rPr>
                <w:rFonts w:eastAsiaTheme="minorEastAsia"/>
              </w:rPr>
              <w:t>50–150 kHz</w:t>
            </w:r>
          </w:p>
        </w:tc>
        <w:tc>
          <w:tcPr>
            <w:tcW w:w="0" w:type="auto"/>
            <w:vAlign w:val="center"/>
            <w:hideMark/>
          </w:tcPr>
          <w:p w14:paraId="59648B16" w14:textId="77777777" w:rsidR="00FB4427" w:rsidRPr="00FB4427" w:rsidRDefault="00FB4427" w:rsidP="00FB4427">
            <w:pPr>
              <w:pStyle w:val="ListParagraph"/>
              <w:rPr>
                <w:rFonts w:eastAsiaTheme="minorEastAsia"/>
              </w:rPr>
            </w:pPr>
            <w:r w:rsidRPr="00FB4427">
              <w:rPr>
                <w:rFonts w:eastAsiaTheme="minorEastAsia"/>
              </w:rPr>
              <w:t>1.2</w:t>
            </w:r>
          </w:p>
        </w:tc>
      </w:tr>
      <w:tr w:rsidR="00FB4427" w:rsidRPr="00FB4427" w14:paraId="00D87EE1" w14:textId="77777777">
        <w:trPr>
          <w:tblCellSpacing w:w="15" w:type="dxa"/>
        </w:trPr>
        <w:tc>
          <w:tcPr>
            <w:tcW w:w="0" w:type="auto"/>
            <w:vAlign w:val="center"/>
            <w:hideMark/>
          </w:tcPr>
          <w:p w14:paraId="790F0365" w14:textId="77777777" w:rsidR="00FB4427" w:rsidRPr="00FB4427" w:rsidRDefault="00FB4427" w:rsidP="00FB4427">
            <w:pPr>
              <w:pStyle w:val="ListParagraph"/>
              <w:rPr>
                <w:rFonts w:eastAsiaTheme="minorEastAsia"/>
              </w:rPr>
            </w:pPr>
            <w:r w:rsidRPr="00FB4427">
              <w:rPr>
                <w:rFonts w:eastAsiaTheme="minorEastAsia"/>
              </w:rPr>
              <w:t>150–300 kHz</w:t>
            </w:r>
          </w:p>
        </w:tc>
        <w:tc>
          <w:tcPr>
            <w:tcW w:w="0" w:type="auto"/>
            <w:vAlign w:val="center"/>
            <w:hideMark/>
          </w:tcPr>
          <w:p w14:paraId="50023C84" w14:textId="77777777" w:rsidR="00FB4427" w:rsidRPr="00FB4427" w:rsidRDefault="00FB4427" w:rsidP="00FB4427">
            <w:pPr>
              <w:pStyle w:val="ListParagraph"/>
              <w:rPr>
                <w:rFonts w:eastAsiaTheme="minorEastAsia"/>
              </w:rPr>
            </w:pPr>
            <w:r w:rsidRPr="00FB4427">
              <w:rPr>
                <w:rFonts w:eastAsiaTheme="minorEastAsia"/>
              </w:rPr>
              <w:t>1.4</w:t>
            </w:r>
          </w:p>
        </w:tc>
      </w:tr>
      <w:tr w:rsidR="00FB4427" w:rsidRPr="00FB4427" w14:paraId="6276724C" w14:textId="77777777">
        <w:trPr>
          <w:tblCellSpacing w:w="15" w:type="dxa"/>
        </w:trPr>
        <w:tc>
          <w:tcPr>
            <w:tcW w:w="0" w:type="auto"/>
            <w:vAlign w:val="center"/>
            <w:hideMark/>
          </w:tcPr>
          <w:p w14:paraId="0C8838EF" w14:textId="77777777" w:rsidR="00FB4427" w:rsidRPr="00FB4427" w:rsidRDefault="00FB4427" w:rsidP="00FB4427">
            <w:pPr>
              <w:pStyle w:val="ListParagraph"/>
              <w:rPr>
                <w:rFonts w:eastAsiaTheme="minorEastAsia"/>
              </w:rPr>
            </w:pPr>
            <w:r w:rsidRPr="00FB4427">
              <w:rPr>
                <w:rFonts w:eastAsiaTheme="minorEastAsia"/>
              </w:rPr>
              <w:t>&gt; 300 kHz</w:t>
            </w:r>
          </w:p>
        </w:tc>
        <w:tc>
          <w:tcPr>
            <w:tcW w:w="0" w:type="auto"/>
            <w:vAlign w:val="center"/>
            <w:hideMark/>
          </w:tcPr>
          <w:p w14:paraId="60FCEF55" w14:textId="77777777" w:rsidR="00FB4427" w:rsidRPr="00FB4427" w:rsidRDefault="00FB4427" w:rsidP="00FB4427">
            <w:pPr>
              <w:pStyle w:val="ListParagraph"/>
              <w:rPr>
                <w:rFonts w:eastAsiaTheme="minorEastAsia"/>
              </w:rPr>
            </w:pPr>
            <w:r w:rsidRPr="00FB4427">
              <w:rPr>
                <w:rFonts w:eastAsiaTheme="minorEastAsia"/>
              </w:rPr>
              <w:t>1.6</w:t>
            </w:r>
          </w:p>
        </w:tc>
      </w:tr>
    </w:tbl>
    <w:p w14:paraId="51F083A4" w14:textId="6AC5D3BD" w:rsidR="00FB4427" w:rsidRPr="0079586E" w:rsidRDefault="00457FEB" w:rsidP="0088133C">
      <w:pPr>
        <w:pStyle w:val="ListParagraph"/>
        <w:rPr>
          <w:rFonts w:eastAsiaTheme="minorEastAsia"/>
        </w:rPr>
      </w:pPr>
      <w:r>
        <w:rPr>
          <w:rFonts w:eastAsiaTheme="minorEastAsia"/>
        </w:rPr>
        <w:t xml:space="preserve">The agent will reason as follows: </w:t>
      </w:r>
      <w:r w:rsidRPr="00457FEB">
        <w:rPr>
          <w:rFonts w:eastAsiaTheme="minorEastAsia"/>
        </w:rPr>
        <w:t>At the selected switching frequency, AC effects in the winding significantly increase effective resistance beyond DC values. Since detailed AC resistance data is unavailable, a conservative frequency-dependent correction is applied to avoid under-estimating copper loss.</w:t>
      </w:r>
    </w:p>
    <w:p w14:paraId="2CCA54AB" w14:textId="30CD96E0" w:rsidR="000C21A5" w:rsidRDefault="000C21A5" w:rsidP="000C21A5">
      <w:pPr>
        <w:pStyle w:val="ListParagraph"/>
        <w:numPr>
          <w:ilvl w:val="0"/>
          <w:numId w:val="4"/>
        </w:numPr>
      </w:pPr>
      <w:r>
        <w:t>We can even estimate Inductor Core loss</w:t>
      </w:r>
      <w:r w:rsidR="00DC7092">
        <w:t xml:space="preserve"> </w:t>
      </w:r>
      <m:oMath>
        <m:sSub>
          <m:sSubPr>
            <m:ctrlPr>
              <w:rPr>
                <w:rFonts w:ascii="Cambria Math" w:hAnsi="Cambria Math"/>
                <w:i/>
              </w:rPr>
            </m:ctrlPr>
          </m:sSubPr>
          <m:e>
            <m:r>
              <w:rPr>
                <w:rFonts w:ascii="Cambria Math" w:hAnsi="Cambria Math"/>
              </w:rPr>
              <m:t>P</m:t>
            </m:r>
          </m:e>
          <m:sub>
            <m:r>
              <w:rPr>
                <w:rFonts w:ascii="Cambria Math" w:hAnsi="Cambria Math"/>
              </w:rPr>
              <m:t>Core</m:t>
            </m:r>
          </m:sub>
        </m:sSub>
      </m:oMath>
      <w:r>
        <w:t xml:space="preserve"> from the manufacturers datasheet and </w:t>
      </w:r>
      <w:r w:rsidR="000A2C16">
        <w:t xml:space="preserve">roughly </w:t>
      </w:r>
      <w:proofErr w:type="gramStart"/>
      <w:r w:rsidR="000A2C16">
        <w:t xml:space="preserve">estimate </w:t>
      </w:r>
      <w:r>
        <w:t xml:space="preserve"> it</w:t>
      </w:r>
      <w:proofErr w:type="gramEnd"/>
      <w:r w:rsidR="000A2C16">
        <w:t xml:space="preserve"> from </w:t>
      </w:r>
      <w:proofErr w:type="spellStart"/>
      <w:r w:rsidR="00EB158C">
        <w:t>steimetz</w:t>
      </w:r>
      <w:proofErr w:type="spellEnd"/>
      <w:r w:rsidR="00EB158C">
        <w:t xml:space="preserve"> equation can be used:</w:t>
      </w:r>
    </w:p>
    <w:p w14:paraId="0ACDC02B" w14:textId="77777777" w:rsidR="00EB158C" w:rsidRDefault="00EB158C" w:rsidP="00EB158C">
      <w:pPr>
        <w:pStyle w:val="ListParagraph"/>
        <w:rPr>
          <w:rFonts w:eastAsiaTheme="minorEastAsia"/>
        </w:rPr>
      </w:pPr>
    </w:p>
    <w:p w14:paraId="67734AC6" w14:textId="179921B9" w:rsidR="00EB158C" w:rsidRPr="00EB158C" w:rsidRDefault="00EB158C" w:rsidP="00EB158C">
      <w:pPr>
        <w:pStyle w:val="ListParagraph"/>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Core</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β</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sw</m:t>
                  </m:r>
                </m:sub>
              </m:sSub>
            </m:e>
            <m:sup>
              <m:r>
                <w:rPr>
                  <w:rFonts w:ascii="Cambria Math" w:hAnsi="Cambria Math"/>
                </w:rPr>
                <m:t>α</m:t>
              </m:r>
            </m:sup>
          </m:sSup>
          <m:r>
            <w:rPr>
              <w:rFonts w:ascii="Cambria Math" w:hAnsi="Cambria Math"/>
            </w:rPr>
            <m:t>×</m:t>
          </m:r>
          <m:r>
            <w:rPr>
              <w:rFonts w:ascii="Cambria Math" w:hAnsi="Cambria Math"/>
            </w:rPr>
            <m:t>k</m:t>
          </m:r>
        </m:oMath>
      </m:oMathPara>
    </w:p>
    <w:p w14:paraId="5F5F1B93" w14:textId="77777777" w:rsidR="00EB158C" w:rsidRPr="00EB158C" w:rsidRDefault="00EB158C" w:rsidP="00EB158C">
      <w:pPr>
        <w:pStyle w:val="ListParagraph"/>
      </w:pPr>
      <w:r w:rsidRPr="00EB158C">
        <w:t>Where:</w:t>
      </w:r>
    </w:p>
    <w:p w14:paraId="5EB1BA21" w14:textId="7D0C5603" w:rsidR="00EB158C" w:rsidRPr="00EB158C" w:rsidRDefault="00EB158C" w:rsidP="00EB158C">
      <w:pPr>
        <w:pStyle w:val="ListParagraph"/>
        <w:numPr>
          <w:ilvl w:val="0"/>
          <w:numId w:val="9"/>
        </w:numPr>
      </w:pPr>
      <m:oMath>
        <m:r>
          <w:rPr>
            <w:rFonts w:ascii="Cambria Math" w:hAnsi="Cambria Math"/>
          </w:rPr>
          <m:t>α≈1.2</m:t>
        </m:r>
      </m:oMath>
      <w:r>
        <w:rPr>
          <w:rFonts w:eastAsiaTheme="minorEastAsia"/>
        </w:rPr>
        <w:t xml:space="preserve"> </w:t>
      </w:r>
      <w:r w:rsidRPr="00EB158C">
        <w:t xml:space="preserve">to </w:t>
      </w:r>
      <m:oMath>
        <m:r>
          <w:rPr>
            <w:rFonts w:ascii="Cambria Math" w:hAnsi="Cambria Math"/>
          </w:rPr>
          <m:t>1.8</m:t>
        </m:r>
      </m:oMath>
    </w:p>
    <w:p w14:paraId="633E7B1F" w14:textId="5D4C9D36" w:rsidR="00EB158C" w:rsidRPr="00EB158C" w:rsidRDefault="00EB158C" w:rsidP="00EB158C">
      <w:pPr>
        <w:pStyle w:val="ListParagraph"/>
        <w:numPr>
          <w:ilvl w:val="0"/>
          <w:numId w:val="8"/>
        </w:numPr>
      </w:pPr>
      <m:oMath>
        <m:r>
          <w:rPr>
            <w:rFonts w:ascii="Cambria Math" w:hAnsi="Cambria Math"/>
          </w:rPr>
          <m:t>β≈2.0</m:t>
        </m:r>
      </m:oMath>
      <w:r>
        <w:rPr>
          <w:rFonts w:eastAsiaTheme="minorEastAsia"/>
        </w:rPr>
        <w:t xml:space="preserve"> </w:t>
      </w:r>
      <w:r w:rsidRPr="00EB158C">
        <w:t xml:space="preserve">to </w:t>
      </w:r>
      <m:oMath>
        <m:r>
          <w:rPr>
            <w:rFonts w:ascii="Cambria Math" w:hAnsi="Cambria Math"/>
          </w:rPr>
          <m:t>2.7</m:t>
        </m:r>
      </m:oMath>
    </w:p>
    <w:p w14:paraId="02A29059" w14:textId="6FC0EE77" w:rsidR="00F747CD" w:rsidRPr="00F747CD" w:rsidRDefault="00F747CD" w:rsidP="00F747CD">
      <w:pPr>
        <w:pStyle w:val="ListParagraph"/>
        <w:numPr>
          <w:ilvl w:val="0"/>
          <w:numId w:val="9"/>
        </w:numPr>
      </w:pPr>
      <w:r>
        <w:t xml:space="preserve">What agent does is extract Core loss vs frequency curves, get multiple points to extract </w:t>
      </w:r>
      <m:oMath>
        <m:r>
          <w:rPr>
            <w:rFonts w:ascii="Cambria Math" w:hAnsi="Cambria Math"/>
          </w:rPr>
          <m:t>α</m:t>
        </m:r>
        <m:r>
          <w:rPr>
            <w:rFonts w:ascii="Cambria Math" w:hAnsi="Cambria Math"/>
          </w:rPr>
          <m:t xml:space="preserve"> and </m:t>
        </m:r>
        <m:r>
          <w:rPr>
            <w:rFonts w:ascii="Cambria Math" w:hAnsi="Cambria Math"/>
          </w:rPr>
          <m:t>β</m:t>
        </m:r>
      </m:oMath>
      <w:r>
        <w:rPr>
          <w:rFonts w:eastAsiaTheme="minorEastAsia"/>
          <w:iCs/>
        </w:rPr>
        <w:t>. Once it gets those, then use them and one operating point to get k. This can be used to calculate exact core loss in Watts.</w:t>
      </w:r>
    </w:p>
    <w:p w14:paraId="447F685A" w14:textId="505A0B76" w:rsidR="00F747CD" w:rsidRDefault="00F747CD" w:rsidP="00F747CD">
      <w:pPr>
        <w:ind w:left="1080"/>
      </w:pPr>
      <w:r>
        <w:t>Based upon the comparison between core and copper loss, the agent reasons that if core loss dominates copper loss, then thermal risk is likely.</w:t>
      </w:r>
    </w:p>
    <w:p w14:paraId="2B75CE7A" w14:textId="3CB07522" w:rsidR="00DF3455" w:rsidRDefault="00DF3455" w:rsidP="00DF3455">
      <w:pPr>
        <w:ind w:left="1080"/>
        <w:rPr>
          <w:rFonts w:eastAsiaTheme="minorEastAsia"/>
        </w:rPr>
      </w:pPr>
      <w:r>
        <w:t xml:space="preserve">Often Vendor curves are not provided. In such cases the agent will estimate core loss stress by omitting k value and identifying frequency and </w:t>
      </w:r>
      <m:oMath>
        <m:r>
          <w:rPr>
            <w:rFonts w:ascii="Cambria Math" w:hAnsi="Cambria Math"/>
          </w:rPr>
          <m:t>∆B</m:t>
        </m:r>
        <m:r>
          <w:rPr>
            <w:rFonts w:ascii="Cambria Math" w:hAnsi="Cambria Math"/>
          </w:rPr>
          <m:t xml:space="preserve"> </m:t>
        </m:r>
      </m:oMath>
      <w:r>
        <w:rPr>
          <w:rFonts w:eastAsiaTheme="minorEastAsia"/>
        </w:rPr>
        <w:t>d</w:t>
      </w:r>
      <w:proofErr w:type="spellStart"/>
      <w:r>
        <w:rPr>
          <w:rFonts w:eastAsiaTheme="minorEastAsia"/>
        </w:rPr>
        <w:t>ependency</w:t>
      </w:r>
      <w:proofErr w:type="spellEnd"/>
      <w:r>
        <w:rPr>
          <w:rFonts w:eastAsiaTheme="minorEastAsia"/>
        </w:rPr>
        <w:t xml:space="preserve">. The agent uses the following table to extract </w:t>
      </w:r>
      <m:oMath>
        <m:r>
          <w:rPr>
            <w:rFonts w:ascii="Cambria Math" w:hAnsi="Cambria Math"/>
          </w:rPr>
          <m:t>α</m:t>
        </m:r>
        <m:r>
          <w:rPr>
            <w:rFonts w:ascii="Cambria Math" w:hAnsi="Cambria Math"/>
          </w:rPr>
          <m:t xml:space="preserve"> and </m:t>
        </m:r>
        <m:r>
          <w:rPr>
            <w:rFonts w:ascii="Cambria Math" w:hAnsi="Cambria Math"/>
          </w:rPr>
          <m:t>β</m:t>
        </m:r>
      </m:oMath>
      <w:r w:rsidR="00E14379">
        <w:rPr>
          <w:rFonts w:eastAsiaTheme="minorEastAsia"/>
          <w:i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556"/>
        <w:gridCol w:w="1556"/>
        <w:gridCol w:w="3123"/>
      </w:tblGrid>
      <w:tr w:rsidR="0024689B" w:rsidRPr="0024689B" w14:paraId="35532CBA" w14:textId="77777777">
        <w:trPr>
          <w:tblHeader/>
          <w:tblCellSpacing w:w="15" w:type="dxa"/>
        </w:trPr>
        <w:tc>
          <w:tcPr>
            <w:tcW w:w="0" w:type="auto"/>
            <w:vAlign w:val="center"/>
            <w:hideMark/>
          </w:tcPr>
          <w:p w14:paraId="416DBC65" w14:textId="76860E3F" w:rsidR="0024689B" w:rsidRPr="0024689B" w:rsidRDefault="0024689B" w:rsidP="0024689B">
            <w:pPr>
              <w:ind w:left="1080"/>
              <w:rPr>
                <w:rFonts w:eastAsiaTheme="minorEastAsia"/>
                <w:b/>
                <w:bCs/>
              </w:rPr>
            </w:pPr>
            <w:r w:rsidRPr="0024689B">
              <w:rPr>
                <w:rFonts w:eastAsiaTheme="minorEastAsia"/>
                <w:b/>
                <w:bCs/>
              </w:rPr>
              <w:t>Core class</w:t>
            </w:r>
          </w:p>
        </w:tc>
        <w:tc>
          <w:tcPr>
            <w:tcW w:w="0" w:type="auto"/>
            <w:vAlign w:val="center"/>
            <w:hideMark/>
          </w:tcPr>
          <w:p w14:paraId="29E14503" w14:textId="77777777" w:rsidR="0024689B" w:rsidRPr="0024689B" w:rsidRDefault="0024689B" w:rsidP="0024689B">
            <w:pPr>
              <w:ind w:left="1080"/>
              <w:rPr>
                <w:rFonts w:eastAsiaTheme="minorEastAsia"/>
                <w:b/>
                <w:bCs/>
              </w:rPr>
            </w:pPr>
            <w:r w:rsidRPr="0024689B">
              <w:rPr>
                <w:rFonts w:eastAsiaTheme="minorEastAsia"/>
                <w:b/>
                <w:bCs/>
              </w:rPr>
              <w:t>α</w:t>
            </w:r>
          </w:p>
        </w:tc>
        <w:tc>
          <w:tcPr>
            <w:tcW w:w="0" w:type="auto"/>
            <w:vAlign w:val="center"/>
            <w:hideMark/>
          </w:tcPr>
          <w:p w14:paraId="42214128" w14:textId="77777777" w:rsidR="0024689B" w:rsidRPr="0024689B" w:rsidRDefault="0024689B" w:rsidP="0024689B">
            <w:pPr>
              <w:ind w:left="1080"/>
              <w:rPr>
                <w:rFonts w:eastAsiaTheme="minorEastAsia"/>
                <w:b/>
                <w:bCs/>
              </w:rPr>
            </w:pPr>
            <w:r w:rsidRPr="0024689B">
              <w:rPr>
                <w:rFonts w:eastAsiaTheme="minorEastAsia"/>
                <w:b/>
                <w:bCs/>
              </w:rPr>
              <w:t>β</w:t>
            </w:r>
          </w:p>
        </w:tc>
        <w:tc>
          <w:tcPr>
            <w:tcW w:w="0" w:type="auto"/>
            <w:vAlign w:val="center"/>
            <w:hideMark/>
          </w:tcPr>
          <w:p w14:paraId="10CD76CC" w14:textId="77777777" w:rsidR="0024689B" w:rsidRPr="0024689B" w:rsidRDefault="0024689B" w:rsidP="0024689B">
            <w:pPr>
              <w:ind w:left="1080"/>
              <w:rPr>
                <w:rFonts w:eastAsiaTheme="minorEastAsia"/>
                <w:b/>
                <w:bCs/>
              </w:rPr>
            </w:pPr>
            <w:r w:rsidRPr="0024689B">
              <w:rPr>
                <w:rFonts w:eastAsiaTheme="minorEastAsia"/>
                <w:b/>
                <w:bCs/>
              </w:rPr>
              <w:t>Relative loss</w:t>
            </w:r>
          </w:p>
        </w:tc>
      </w:tr>
      <w:tr w:rsidR="0024689B" w:rsidRPr="0024689B" w14:paraId="1025F176" w14:textId="77777777">
        <w:trPr>
          <w:tblCellSpacing w:w="15" w:type="dxa"/>
        </w:trPr>
        <w:tc>
          <w:tcPr>
            <w:tcW w:w="0" w:type="auto"/>
            <w:vAlign w:val="center"/>
            <w:hideMark/>
          </w:tcPr>
          <w:p w14:paraId="52E7B363" w14:textId="77777777" w:rsidR="0024689B" w:rsidRPr="0024689B" w:rsidRDefault="0024689B" w:rsidP="0024689B">
            <w:pPr>
              <w:ind w:left="1080"/>
              <w:rPr>
                <w:rFonts w:eastAsiaTheme="minorEastAsia"/>
              </w:rPr>
            </w:pPr>
            <w:r w:rsidRPr="0024689B">
              <w:rPr>
                <w:rFonts w:eastAsiaTheme="minorEastAsia"/>
              </w:rPr>
              <w:t>Ferrite</w:t>
            </w:r>
          </w:p>
        </w:tc>
        <w:tc>
          <w:tcPr>
            <w:tcW w:w="0" w:type="auto"/>
            <w:vAlign w:val="center"/>
            <w:hideMark/>
          </w:tcPr>
          <w:p w14:paraId="1DD9B250" w14:textId="77777777" w:rsidR="0024689B" w:rsidRPr="0024689B" w:rsidRDefault="0024689B" w:rsidP="0024689B">
            <w:pPr>
              <w:ind w:left="1080"/>
              <w:rPr>
                <w:rFonts w:eastAsiaTheme="minorEastAsia"/>
              </w:rPr>
            </w:pPr>
            <w:r w:rsidRPr="0024689B">
              <w:rPr>
                <w:rFonts w:eastAsiaTheme="minorEastAsia"/>
              </w:rPr>
              <w:t>~1.5</w:t>
            </w:r>
          </w:p>
        </w:tc>
        <w:tc>
          <w:tcPr>
            <w:tcW w:w="0" w:type="auto"/>
            <w:vAlign w:val="center"/>
            <w:hideMark/>
          </w:tcPr>
          <w:p w14:paraId="439A5644" w14:textId="77777777" w:rsidR="0024689B" w:rsidRPr="0024689B" w:rsidRDefault="0024689B" w:rsidP="0024689B">
            <w:pPr>
              <w:ind w:left="1080"/>
              <w:rPr>
                <w:rFonts w:eastAsiaTheme="minorEastAsia"/>
              </w:rPr>
            </w:pPr>
            <w:r w:rsidRPr="0024689B">
              <w:rPr>
                <w:rFonts w:eastAsiaTheme="minorEastAsia"/>
              </w:rPr>
              <w:t>~2.5</w:t>
            </w:r>
          </w:p>
        </w:tc>
        <w:tc>
          <w:tcPr>
            <w:tcW w:w="0" w:type="auto"/>
            <w:vAlign w:val="center"/>
            <w:hideMark/>
          </w:tcPr>
          <w:p w14:paraId="12EC592E" w14:textId="77777777" w:rsidR="0024689B" w:rsidRPr="0024689B" w:rsidRDefault="0024689B" w:rsidP="0024689B">
            <w:pPr>
              <w:ind w:left="1080"/>
              <w:rPr>
                <w:rFonts w:eastAsiaTheme="minorEastAsia"/>
              </w:rPr>
            </w:pPr>
            <w:r w:rsidRPr="0024689B">
              <w:rPr>
                <w:rFonts w:eastAsiaTheme="minorEastAsia"/>
              </w:rPr>
              <w:t>Low @ HF, sharp rise</w:t>
            </w:r>
          </w:p>
        </w:tc>
      </w:tr>
      <w:tr w:rsidR="0024689B" w:rsidRPr="0024689B" w14:paraId="300F8FFB" w14:textId="77777777">
        <w:trPr>
          <w:tblCellSpacing w:w="15" w:type="dxa"/>
        </w:trPr>
        <w:tc>
          <w:tcPr>
            <w:tcW w:w="0" w:type="auto"/>
            <w:vAlign w:val="center"/>
            <w:hideMark/>
          </w:tcPr>
          <w:p w14:paraId="1AACF4BE" w14:textId="77777777" w:rsidR="0024689B" w:rsidRPr="0024689B" w:rsidRDefault="0024689B" w:rsidP="0024689B">
            <w:pPr>
              <w:ind w:left="1080"/>
              <w:rPr>
                <w:rFonts w:eastAsiaTheme="minorEastAsia"/>
              </w:rPr>
            </w:pPr>
            <w:r w:rsidRPr="0024689B">
              <w:rPr>
                <w:rFonts w:eastAsiaTheme="minorEastAsia"/>
              </w:rPr>
              <w:t>Powdered iron</w:t>
            </w:r>
          </w:p>
        </w:tc>
        <w:tc>
          <w:tcPr>
            <w:tcW w:w="0" w:type="auto"/>
            <w:vAlign w:val="center"/>
            <w:hideMark/>
          </w:tcPr>
          <w:p w14:paraId="7835CB53" w14:textId="77777777" w:rsidR="0024689B" w:rsidRPr="0024689B" w:rsidRDefault="0024689B" w:rsidP="0024689B">
            <w:pPr>
              <w:ind w:left="1080"/>
              <w:rPr>
                <w:rFonts w:eastAsiaTheme="minorEastAsia"/>
              </w:rPr>
            </w:pPr>
            <w:r w:rsidRPr="0024689B">
              <w:rPr>
                <w:rFonts w:eastAsiaTheme="minorEastAsia"/>
              </w:rPr>
              <w:t>~1.3</w:t>
            </w:r>
          </w:p>
        </w:tc>
        <w:tc>
          <w:tcPr>
            <w:tcW w:w="0" w:type="auto"/>
            <w:vAlign w:val="center"/>
            <w:hideMark/>
          </w:tcPr>
          <w:p w14:paraId="42C63918" w14:textId="77777777" w:rsidR="0024689B" w:rsidRPr="0024689B" w:rsidRDefault="0024689B" w:rsidP="0024689B">
            <w:pPr>
              <w:ind w:left="1080"/>
              <w:rPr>
                <w:rFonts w:eastAsiaTheme="minorEastAsia"/>
              </w:rPr>
            </w:pPr>
            <w:r w:rsidRPr="0024689B">
              <w:rPr>
                <w:rFonts w:eastAsiaTheme="minorEastAsia"/>
              </w:rPr>
              <w:t>~2.0</w:t>
            </w:r>
          </w:p>
        </w:tc>
        <w:tc>
          <w:tcPr>
            <w:tcW w:w="0" w:type="auto"/>
            <w:vAlign w:val="center"/>
            <w:hideMark/>
          </w:tcPr>
          <w:p w14:paraId="498936FE" w14:textId="77777777" w:rsidR="0024689B" w:rsidRPr="0024689B" w:rsidRDefault="0024689B" w:rsidP="0024689B">
            <w:pPr>
              <w:ind w:left="1080"/>
              <w:rPr>
                <w:rFonts w:eastAsiaTheme="minorEastAsia"/>
              </w:rPr>
            </w:pPr>
            <w:r w:rsidRPr="0024689B">
              <w:rPr>
                <w:rFonts w:eastAsiaTheme="minorEastAsia"/>
              </w:rPr>
              <w:t>Higher baseline, softer</w:t>
            </w:r>
          </w:p>
        </w:tc>
      </w:tr>
      <w:tr w:rsidR="0024689B" w:rsidRPr="0024689B" w14:paraId="5659B507" w14:textId="77777777">
        <w:trPr>
          <w:tblCellSpacing w:w="15" w:type="dxa"/>
        </w:trPr>
        <w:tc>
          <w:tcPr>
            <w:tcW w:w="0" w:type="auto"/>
            <w:vAlign w:val="center"/>
            <w:hideMark/>
          </w:tcPr>
          <w:p w14:paraId="601364A0" w14:textId="77777777" w:rsidR="0024689B" w:rsidRPr="0024689B" w:rsidRDefault="0024689B" w:rsidP="0024689B">
            <w:pPr>
              <w:ind w:left="1080"/>
              <w:rPr>
                <w:rFonts w:eastAsiaTheme="minorEastAsia"/>
              </w:rPr>
            </w:pPr>
            <w:proofErr w:type="spellStart"/>
            <w:r w:rsidRPr="0024689B">
              <w:rPr>
                <w:rFonts w:eastAsiaTheme="minorEastAsia"/>
              </w:rPr>
              <w:t>Sendust</w:t>
            </w:r>
            <w:proofErr w:type="spellEnd"/>
            <w:r w:rsidRPr="0024689B">
              <w:rPr>
                <w:rFonts w:eastAsiaTheme="minorEastAsia"/>
              </w:rPr>
              <w:t xml:space="preserve"> / Kool-Mu</w:t>
            </w:r>
          </w:p>
        </w:tc>
        <w:tc>
          <w:tcPr>
            <w:tcW w:w="0" w:type="auto"/>
            <w:vAlign w:val="center"/>
            <w:hideMark/>
          </w:tcPr>
          <w:p w14:paraId="63084329" w14:textId="77777777" w:rsidR="0024689B" w:rsidRPr="0024689B" w:rsidRDefault="0024689B" w:rsidP="0024689B">
            <w:pPr>
              <w:ind w:left="1080"/>
              <w:rPr>
                <w:rFonts w:eastAsiaTheme="minorEastAsia"/>
              </w:rPr>
            </w:pPr>
            <w:r w:rsidRPr="0024689B">
              <w:rPr>
                <w:rFonts w:eastAsiaTheme="minorEastAsia"/>
              </w:rPr>
              <w:t>~1.3</w:t>
            </w:r>
          </w:p>
        </w:tc>
        <w:tc>
          <w:tcPr>
            <w:tcW w:w="0" w:type="auto"/>
            <w:vAlign w:val="center"/>
            <w:hideMark/>
          </w:tcPr>
          <w:p w14:paraId="4F057175" w14:textId="77777777" w:rsidR="0024689B" w:rsidRPr="0024689B" w:rsidRDefault="0024689B" w:rsidP="0024689B">
            <w:pPr>
              <w:ind w:left="1080"/>
              <w:rPr>
                <w:rFonts w:eastAsiaTheme="minorEastAsia"/>
              </w:rPr>
            </w:pPr>
            <w:r w:rsidRPr="0024689B">
              <w:rPr>
                <w:rFonts w:eastAsiaTheme="minorEastAsia"/>
              </w:rPr>
              <w:t>~2.1</w:t>
            </w:r>
          </w:p>
        </w:tc>
        <w:tc>
          <w:tcPr>
            <w:tcW w:w="0" w:type="auto"/>
            <w:vAlign w:val="center"/>
            <w:hideMark/>
          </w:tcPr>
          <w:p w14:paraId="1EDE6F1F" w14:textId="77777777" w:rsidR="0024689B" w:rsidRPr="0024689B" w:rsidRDefault="0024689B" w:rsidP="0024689B">
            <w:pPr>
              <w:ind w:left="1080"/>
              <w:rPr>
                <w:rFonts w:eastAsiaTheme="minorEastAsia"/>
              </w:rPr>
            </w:pPr>
            <w:r w:rsidRPr="0024689B">
              <w:rPr>
                <w:rFonts w:eastAsiaTheme="minorEastAsia"/>
              </w:rPr>
              <w:t>Moderate</w:t>
            </w:r>
          </w:p>
        </w:tc>
      </w:tr>
    </w:tbl>
    <w:p w14:paraId="7D945955" w14:textId="6C570249" w:rsidR="00E972CD" w:rsidRPr="00EB158C" w:rsidRDefault="00E3556E" w:rsidP="00E972CD">
      <w:pPr>
        <w:pStyle w:val="ListParagraph"/>
        <w:rPr>
          <w:rFonts w:eastAsiaTheme="minorEastAsia"/>
        </w:rPr>
      </w:pPr>
      <w:r>
        <w:rPr>
          <w:rFonts w:eastAsiaTheme="minorEastAsia"/>
        </w:rPr>
        <w:t xml:space="preserve">And </w:t>
      </w:r>
      <w:r w:rsidR="00E972CD">
        <w:rPr>
          <w:rFonts w:eastAsiaTheme="minorEastAsia"/>
        </w:rPr>
        <w:t xml:space="preserve">uses </w:t>
      </w:r>
      <w:r w:rsidR="00E972CD" w:rsidRPr="00E972CD">
        <w:rPr>
          <w:rFonts w:ascii="Cambria Math" w:hAnsi="Cambria Math"/>
          <w:i/>
        </w:rPr>
        <w:br/>
      </w:r>
      <m:oMathPara>
        <m:oMath>
          <m:sSub>
            <m:sSubPr>
              <m:ctrlPr>
                <w:rPr>
                  <w:rFonts w:ascii="Cambria Math" w:hAnsi="Cambria Math"/>
                  <w:i/>
                </w:rPr>
              </m:ctrlPr>
            </m:sSubPr>
            <m:e>
              <m:r>
                <w:rPr>
                  <w:rFonts w:ascii="Cambria Math" w:hAnsi="Cambria Math"/>
                </w:rPr>
                <m:t>P</m:t>
              </m:r>
            </m:e>
            <m:sub>
              <m:r>
                <w:rPr>
                  <w:rFonts w:ascii="Cambria Math" w:hAnsi="Cambria Math"/>
                </w:rPr>
                <m:t>Core</m:t>
              </m:r>
              <m:r>
                <w:rPr>
                  <w:rFonts w:ascii="Cambria Math" w:hAnsi="Cambria Math"/>
                </w:rPr>
                <m:t>Stress</m:t>
              </m:r>
            </m:sub>
          </m:sSub>
          <m:r>
            <w:rPr>
              <w:rFonts w:ascii="Cambria Math" w:hAnsi="Cambria Math"/>
            </w:rPr>
            <m:t xml:space="preserve"> is proportional to (</m:t>
          </m:r>
          <m:sSup>
            <m:sSupPr>
              <m:ctrlPr>
                <w:rPr>
                  <w:rFonts w:ascii="Cambria Math" w:hAnsi="Cambria Math"/>
                  <w:i/>
                </w:rPr>
              </m:ctrlPr>
            </m:sSupPr>
            <m:e>
              <m:r>
                <w:rPr>
                  <w:rFonts w:ascii="Cambria Math" w:hAnsi="Cambria Math"/>
                </w:rPr>
                <m:t>∆B</m:t>
              </m:r>
            </m:e>
            <m:sup>
              <m:r>
                <w:rPr>
                  <w:rFonts w:ascii="Cambria Math" w:hAnsi="Cambria Math"/>
                </w:rPr>
                <m:t>β</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sw</m:t>
                  </m:r>
                </m:sub>
              </m:sSub>
            </m:e>
            <m:sup>
              <m:r>
                <w:rPr>
                  <w:rFonts w:ascii="Cambria Math" w:hAnsi="Cambria Math"/>
                </w:rPr>
                <m:t>α</m:t>
              </m:r>
            </m:sup>
          </m:sSup>
          <m:r>
            <w:rPr>
              <w:rFonts w:ascii="Cambria Math" w:hAnsi="Cambria Math"/>
            </w:rPr>
            <m:t>)</m:t>
          </m:r>
        </m:oMath>
      </m:oMathPara>
    </w:p>
    <w:p w14:paraId="0AFC9D67" w14:textId="7B44D1DB" w:rsidR="0024689B" w:rsidRPr="00DF3455" w:rsidRDefault="00E972CD" w:rsidP="00DF3455">
      <w:pPr>
        <w:ind w:left="1080"/>
        <w:rPr>
          <w:rFonts w:eastAsiaTheme="minorEastAsia"/>
        </w:rPr>
      </w:pPr>
      <w:r>
        <w:rPr>
          <w:rFonts w:eastAsiaTheme="minorEastAsia"/>
        </w:rPr>
        <w:t xml:space="preserve">Where </w:t>
      </w:r>
      <m:oMath>
        <m:r>
          <w:rPr>
            <w:rFonts w:ascii="Cambria Math" w:hAnsi="Cambria Math"/>
          </w:rPr>
          <m:t>∆B</m:t>
        </m:r>
        <m:r>
          <w:rPr>
            <w:rFonts w:ascii="Cambria Math" w:hAnsi="Cambria Math"/>
          </w:rPr>
          <m:t xml:space="preserve"> </m:t>
        </m:r>
      </m:oMath>
      <w:r>
        <w:rPr>
          <w:rFonts w:eastAsiaTheme="minorEastAsia"/>
        </w:rPr>
        <w:t xml:space="preserve">is proportional to </w:t>
      </w:r>
      <m:oMath>
        <m:r>
          <w:rPr>
            <w:rFonts w:ascii="Cambria Math" w:hAnsi="Cambria Math"/>
          </w:rPr>
          <m:t>∆</m:t>
        </m:r>
        <m:r>
          <w:rPr>
            <w:rFonts w:ascii="Cambria Math" w:hAnsi="Cambria Math"/>
          </w:rPr>
          <m:t>I</m:t>
        </m:r>
      </m:oMath>
      <w:r>
        <w:rPr>
          <w:rFonts w:eastAsiaTheme="minorEastAsia"/>
        </w:rPr>
        <w:t>/</w:t>
      </w:r>
      <m:oMath>
        <m:sSub>
          <m:sSubPr>
            <m:ctrlPr>
              <w:rPr>
                <w:rFonts w:ascii="Cambria Math" w:hAnsi="Cambria Math"/>
                <w:i/>
              </w:rPr>
            </m:ctrlPr>
          </m:sSubPr>
          <m:e>
            <m:r>
              <w:rPr>
                <w:rFonts w:ascii="Cambria Math" w:hAnsi="Cambria Math"/>
              </w:rPr>
              <m:t>I</m:t>
            </m:r>
          </m:e>
          <m:sub>
            <m:r>
              <w:rPr>
                <w:rFonts w:ascii="Cambria Math" w:hAnsi="Cambria Math"/>
              </w:rPr>
              <m:t>sat</m:t>
            </m:r>
          </m:sub>
        </m:sSub>
      </m:oMath>
      <w:r>
        <w:rPr>
          <w:rFonts w:eastAsiaTheme="minorEastAsia"/>
        </w:rPr>
        <w:t xml:space="preserve"> </w:t>
      </w:r>
    </w:p>
    <w:p w14:paraId="4DF2841C" w14:textId="0BC8B6D9" w:rsidR="00EB158C" w:rsidRDefault="00F56EDC" w:rsidP="00EB158C">
      <w:pPr>
        <w:pStyle w:val="ListParagraph"/>
      </w:pPr>
      <w:r>
        <w:t>Now the agent plugs in the values and estimates core stress and compares it to copper loss. If the ripple is high, if the switching frequency is stressing the core loss more than the copper loss, then the agent should flag this risk.</w:t>
      </w:r>
    </w:p>
    <w:p w14:paraId="0355D40C" w14:textId="33FD5CD0" w:rsidR="00AD25F7" w:rsidRPr="001E0711" w:rsidRDefault="00AD25F7" w:rsidP="00EB158C">
      <w:pPr>
        <w:pStyle w:val="ListParagraph"/>
        <w:rPr>
          <w:b/>
          <w:bCs/>
        </w:rPr>
      </w:pPr>
      <w:r w:rsidRPr="001E0711">
        <w:rPr>
          <w:b/>
          <w:bCs/>
        </w:rPr>
        <w:t>Basically</w:t>
      </w:r>
      <w:r w:rsidR="00E75182" w:rsidRPr="001E0711">
        <w:rPr>
          <w:b/>
          <w:bCs/>
        </w:rPr>
        <w:t xml:space="preserve">, </w:t>
      </w:r>
      <w:r w:rsidRPr="001E0711">
        <w:rPr>
          <w:b/>
          <w:bCs/>
        </w:rPr>
        <w:t xml:space="preserve">the agent will do a loss </w:t>
      </w:r>
      <w:proofErr w:type="spellStart"/>
      <w:r w:rsidRPr="001E0711">
        <w:rPr>
          <w:b/>
          <w:bCs/>
        </w:rPr>
        <w:t>analyisis</w:t>
      </w:r>
      <w:proofErr w:type="spellEnd"/>
      <w:r w:rsidRPr="001E0711">
        <w:rPr>
          <w:b/>
          <w:bCs/>
        </w:rPr>
        <w:t xml:space="preserve"> to identify which of the chosen inductors among the electrically survivable ones and the ones who won’t likely saturate are thermally safe.</w:t>
      </w:r>
      <w:r w:rsidR="00E75182" w:rsidRPr="001E0711">
        <w:rPr>
          <w:b/>
          <w:bCs/>
        </w:rPr>
        <w:t xml:space="preserve"> This way </w:t>
      </w:r>
      <w:proofErr w:type="gramStart"/>
      <w:r w:rsidR="00E75182" w:rsidRPr="001E0711">
        <w:rPr>
          <w:b/>
          <w:bCs/>
        </w:rPr>
        <w:t>it</w:t>
      </w:r>
      <w:proofErr w:type="gramEnd"/>
      <w:r w:rsidR="00E75182" w:rsidRPr="001E0711">
        <w:rPr>
          <w:b/>
          <w:bCs/>
        </w:rPr>
        <w:t xml:space="preserve"> choses and recommends the inductors which can be used in the design.</w:t>
      </w:r>
    </w:p>
    <w:p w14:paraId="4AD9CCA5" w14:textId="17DAEB5A" w:rsidR="000C21A5" w:rsidRDefault="000C21A5" w:rsidP="000C21A5">
      <w:pPr>
        <w:pStyle w:val="ListParagraph"/>
        <w:numPr>
          <w:ilvl w:val="0"/>
          <w:numId w:val="4"/>
        </w:numPr>
      </w:pPr>
      <w:r>
        <w:t>Other factors to consider:</w:t>
      </w:r>
    </w:p>
    <w:p w14:paraId="522A9B94" w14:textId="77777777" w:rsidR="000C21A5" w:rsidRDefault="000C21A5" w:rsidP="000C21A5">
      <w:pPr>
        <w:pStyle w:val="NormalWeb"/>
        <w:ind w:left="720"/>
      </w:pPr>
      <w:proofErr w:type="gramStart"/>
      <w:r>
        <w:rPr>
          <w:rFonts w:hAnsi="Symbol"/>
        </w:rPr>
        <w:t></w:t>
      </w:r>
      <w:r>
        <w:t xml:space="preserve">  Prefer</w:t>
      </w:r>
      <w:proofErr w:type="gramEnd"/>
      <w:r>
        <w:t xml:space="preserve"> </w:t>
      </w:r>
      <w:proofErr w:type="spellStart"/>
      <w:r>
        <w:t>molded</w:t>
      </w:r>
      <w:proofErr w:type="spellEnd"/>
      <w:r>
        <w:t>-shielded SMD inductors for low radiated EMI in dense layouts.</w:t>
      </w:r>
    </w:p>
    <w:p w14:paraId="4720861A" w14:textId="1B850806" w:rsidR="000C21A5" w:rsidRDefault="000C21A5" w:rsidP="00DC7092">
      <w:pPr>
        <w:pStyle w:val="NormalWeb"/>
        <w:ind w:left="720"/>
      </w:pPr>
      <w:proofErr w:type="gramStart"/>
      <w:r>
        <w:rPr>
          <w:rFonts w:hAnsi="Symbol"/>
        </w:rPr>
        <w:t></w:t>
      </w:r>
      <w:r>
        <w:t xml:space="preserve">  Check</w:t>
      </w:r>
      <w:proofErr w:type="gramEnd"/>
      <w:r>
        <w:t xml:space="preserve"> mechanical height, pad size, and </w:t>
      </w:r>
      <w:proofErr w:type="spellStart"/>
      <w:r>
        <w:t>keepou</w:t>
      </w:r>
      <w:r w:rsidR="00A72843">
        <w:t>t</w:t>
      </w:r>
      <w:proofErr w:type="spellEnd"/>
      <w:r w:rsidR="00A72843">
        <w:t xml:space="preserve"> if mechanical constraints are provided by the user</w:t>
      </w:r>
    </w:p>
    <w:p w14:paraId="06129CEB" w14:textId="7EE7B52A" w:rsidR="000C21A5" w:rsidRPr="001051A4" w:rsidRDefault="00DC7092" w:rsidP="00DC7092">
      <w:pPr>
        <w:pStyle w:val="ListParagraph"/>
        <w:numPr>
          <w:ilvl w:val="0"/>
          <w:numId w:val="4"/>
        </w:numPr>
        <w:rPr>
          <w:rStyle w:val="vlist-s"/>
        </w:rPr>
      </w:pPr>
      <w:r>
        <w:t>We can predict temperature rise</w:t>
      </w:r>
      <w:r w:rsidR="00596BF1">
        <w:t xml:space="preserve"> above ambient to be given by</w:t>
      </w:r>
      <w:r>
        <w:t xml:space="preserve"> </w:t>
      </w:r>
      <w:proofErr w:type="spellStart"/>
      <w:r>
        <w:rPr>
          <w:rStyle w:val="mord"/>
        </w:rPr>
        <w:t>ΔT</w:t>
      </w:r>
      <w:r>
        <w:rPr>
          <w:rStyle w:val="mrel"/>
        </w:rPr>
        <w:t>≈</w:t>
      </w:r>
      <w:r>
        <w:rPr>
          <w:rStyle w:val="mord"/>
        </w:rPr>
        <w:t>Ptot</w:t>
      </w:r>
      <w:proofErr w:type="spellEnd"/>
      <w:r>
        <w:rPr>
          <w:rStyle w:val="vlist-s"/>
          <w:rFonts w:ascii="Arial" w:hAnsi="Arial" w:cs="Arial"/>
        </w:rPr>
        <w:t>​</w:t>
      </w:r>
      <w:r>
        <w:rPr>
          <w:rStyle w:val="mbin"/>
          <w:rFonts w:ascii="Cambria Math" w:hAnsi="Cambria Math" w:cs="Cambria Math"/>
        </w:rPr>
        <w:t>⋅</w:t>
      </w:r>
      <w:proofErr w:type="spellStart"/>
      <w:r>
        <w:rPr>
          <w:rStyle w:val="mord"/>
        </w:rPr>
        <w:t>Rθ</w:t>
      </w:r>
      <w:proofErr w:type="spellEnd"/>
      <w:r>
        <w:rPr>
          <w:rStyle w:val="vlist-s"/>
          <w:rFonts w:ascii="Arial" w:hAnsi="Arial" w:cs="Arial"/>
        </w:rPr>
        <w:t>​</w:t>
      </w:r>
      <w:r>
        <w:t xml:space="preserve"> where </w:t>
      </w:r>
      <w:proofErr w:type="spellStart"/>
      <w:r>
        <w:t>Ptot</w:t>
      </w:r>
      <w:proofErr w:type="spellEnd"/>
      <w:r>
        <w:t xml:space="preserve"> is the total power loss </w:t>
      </w:r>
      <w:r w:rsidR="00596BF1">
        <w:t xml:space="preserve">in watts </w:t>
      </w:r>
      <w:r>
        <w:t xml:space="preserve">approximately to be sum of </w:t>
      </w:r>
      <m:oMath>
        <m:sSub>
          <m:sSubPr>
            <m:ctrlPr>
              <w:rPr>
                <w:rFonts w:ascii="Cambria Math" w:hAnsi="Cambria Math"/>
                <w:i/>
              </w:rPr>
            </m:ctrlPr>
          </m:sSubPr>
          <m:e>
            <m:r>
              <w:rPr>
                <w:rFonts w:ascii="Cambria Math" w:hAnsi="Cambria Math"/>
              </w:rPr>
              <m:t>P</m:t>
            </m:r>
          </m:e>
          <m:sub>
            <m:r>
              <w:rPr>
                <w:rFonts w:ascii="Cambria Math" w:hAnsi="Cambria Math"/>
              </w:rPr>
              <m:t>Core</m:t>
            </m:r>
          </m:sub>
        </m:sSub>
      </m:oMath>
      <w:r>
        <w:rPr>
          <w:rFonts w:eastAsiaTheme="minorEastAs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Copper</m:t>
            </m:r>
          </m:sub>
        </m:sSub>
      </m:oMath>
      <w:r>
        <w:rPr>
          <w:rFonts w:eastAsiaTheme="minorEastAsia"/>
        </w:rPr>
        <w:t xml:space="preserve">.  And </w:t>
      </w:r>
      <w:proofErr w:type="spellStart"/>
      <w:r>
        <w:rPr>
          <w:rStyle w:val="mord"/>
        </w:rPr>
        <w:t>Rθ</w:t>
      </w:r>
      <w:proofErr w:type="spellEnd"/>
      <w:r>
        <w:rPr>
          <w:rStyle w:val="vlist-s"/>
          <w:rFonts w:ascii="Arial" w:hAnsi="Arial" w:cs="Arial"/>
        </w:rPr>
        <w:t xml:space="preserve">​ </w:t>
      </w:r>
      <w:r w:rsidR="00596BF1">
        <w:rPr>
          <w:rStyle w:val="vlist-s"/>
          <w:rFonts w:ascii="Arial" w:hAnsi="Arial" w:cs="Arial"/>
        </w:rPr>
        <w:t xml:space="preserve">(thermal Resistance) </w:t>
      </w:r>
      <w:r>
        <w:rPr>
          <w:rStyle w:val="vlist-s"/>
          <w:rFonts w:ascii="Arial" w:hAnsi="Arial" w:cs="Arial"/>
        </w:rPr>
        <w:t>value we can get from the datasheet.</w:t>
      </w:r>
    </w:p>
    <w:p w14:paraId="0CD48F03" w14:textId="13104C58" w:rsidR="001051A4" w:rsidRDefault="001051A4" w:rsidP="001051A4">
      <w:pPr>
        <w:pStyle w:val="ListParagraph"/>
        <w:jc w:val="center"/>
        <w:rPr>
          <w:rStyle w:val="vlist-s"/>
          <w:rFonts w:ascii="Arial" w:hAnsi="Arial" w:cs="Arial"/>
        </w:rPr>
      </w:pPr>
    </w:p>
    <w:p w14:paraId="7FCE6232" w14:textId="78F83258" w:rsidR="001051A4" w:rsidRDefault="00000000" w:rsidP="001051A4">
      <w:pPr>
        <w:pStyle w:val="ListParagraph"/>
        <w:jc w:val="cente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Inductor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ambient</m:t>
            </m:r>
          </m:sub>
        </m:sSub>
        <m:r>
          <w:rPr>
            <w:rFonts w:ascii="Cambria Math" w:eastAsiaTheme="minorEastAsia" w:hAnsi="Cambria Math"/>
          </w:rPr>
          <m:t>+∆T</m:t>
        </m:r>
      </m:oMath>
      <w:r w:rsidR="001051A4">
        <w:rPr>
          <w:rFonts w:eastAsiaTheme="minorEastAsia"/>
        </w:rPr>
        <w:t>,</w:t>
      </w:r>
    </w:p>
    <w:p w14:paraId="59E81987" w14:textId="203C46EF" w:rsidR="001051A4" w:rsidRPr="001051A4" w:rsidRDefault="00000000" w:rsidP="001051A4">
      <w:pPr>
        <w:pStyle w:val="ListParagrap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Inductor</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limit</m:t>
              </m:r>
            </m:sub>
          </m:sSub>
        </m:oMath>
      </m:oMathPara>
    </w:p>
    <w:p w14:paraId="0434EB46" w14:textId="187F80AE" w:rsidR="001051A4" w:rsidRDefault="001051A4" w:rsidP="001051A4">
      <w:pPr>
        <w:pStyle w:val="ListParagraph"/>
      </w:pPr>
    </w:p>
    <w:p w14:paraId="091B8FBB" w14:textId="3BD4C654" w:rsidR="001051A4" w:rsidRPr="00090495" w:rsidRDefault="001051A4" w:rsidP="00090495">
      <w:pPr>
        <w:pStyle w:val="NormalWeb"/>
      </w:pPr>
      <w:r>
        <w:t xml:space="preserve">Where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T</m:t>
            </m:r>
          </m:e>
          <m:sub>
            <m:r>
              <w:rPr>
                <w:rFonts w:ascii="Cambria Math" w:hAnsi="Cambria Math"/>
              </w:rPr>
              <m:t>limit</m:t>
            </m:r>
          </m:sub>
        </m:sSub>
      </m:oMath>
      <w:r>
        <w:rPr>
          <w:rFonts w:eastAsiaTheme="minorEastAsia"/>
        </w:rPr>
        <w:t xml:space="preserve"> is defined based upon the core material used. Typicaly for </w:t>
      </w:r>
      <w:proofErr w:type="gramStart"/>
      <w:r>
        <w:rPr>
          <w:rFonts w:hAnsi="Symbol"/>
        </w:rPr>
        <w:t></w:t>
      </w:r>
      <w:r>
        <w:t xml:space="preserve">  </w:t>
      </w:r>
      <w:r>
        <w:rPr>
          <w:rStyle w:val="Strong"/>
          <w:rFonts w:eastAsiaTheme="majorEastAsia"/>
        </w:rPr>
        <w:t>Ferrite</w:t>
      </w:r>
      <w:proofErr w:type="gramEnd"/>
      <w:r>
        <w:rPr>
          <w:rStyle w:val="Strong"/>
          <w:rFonts w:eastAsiaTheme="majorEastAsia"/>
        </w:rPr>
        <w:t xml:space="preserve"> cores and </w:t>
      </w:r>
      <w:proofErr w:type="spellStart"/>
      <w:r>
        <w:rPr>
          <w:rStyle w:val="Strong"/>
          <w:rFonts w:eastAsiaTheme="majorEastAsia"/>
        </w:rPr>
        <w:t>molded</w:t>
      </w:r>
      <w:proofErr w:type="spellEnd"/>
      <w:r>
        <w:rPr>
          <w:rStyle w:val="Strong"/>
          <w:rFonts w:eastAsiaTheme="majorEastAsia"/>
        </w:rPr>
        <w:t>:</w:t>
      </w:r>
      <w:r>
        <w:t xml:space="preserve">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hAnsi="Cambria Math"/>
              </w:rPr>
              <m:t>T</m:t>
            </m:r>
          </m:e>
          <m:sub>
            <m:r>
              <w:rPr>
                <w:rFonts w:ascii="Cambria Math" w:hAnsi="Cambria Math"/>
              </w:rPr>
              <m:t>limit</m:t>
            </m:r>
          </m:sub>
        </m:sSub>
      </m:oMath>
      <w:r>
        <w:rPr>
          <w:kern w:val="2"/>
          <w:sz w:val="22"/>
          <w:szCs w:val="22"/>
          <w:lang w:eastAsia="en-US"/>
          <w14:ligatures w14:val="standardContextual"/>
        </w:rPr>
        <w:t xml:space="preserve"> is 125C </w:t>
      </w:r>
    </w:p>
    <w:sectPr w:rsidR="001051A4" w:rsidRPr="000904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751"/>
    <w:multiLevelType w:val="multilevel"/>
    <w:tmpl w:val="671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0F1"/>
    <w:multiLevelType w:val="hybridMultilevel"/>
    <w:tmpl w:val="DF8ED2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530459"/>
    <w:multiLevelType w:val="multilevel"/>
    <w:tmpl w:val="D11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2BF1"/>
    <w:multiLevelType w:val="multilevel"/>
    <w:tmpl w:val="CDC2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F16F9"/>
    <w:multiLevelType w:val="multilevel"/>
    <w:tmpl w:val="0E6E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26572"/>
    <w:multiLevelType w:val="hybridMultilevel"/>
    <w:tmpl w:val="17E4EE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D5313FF"/>
    <w:multiLevelType w:val="hybridMultilevel"/>
    <w:tmpl w:val="0EE84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337B28"/>
    <w:multiLevelType w:val="hybridMultilevel"/>
    <w:tmpl w:val="26969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141732"/>
    <w:multiLevelType w:val="hybridMultilevel"/>
    <w:tmpl w:val="FEAA8E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52F6EAC"/>
    <w:multiLevelType w:val="multilevel"/>
    <w:tmpl w:val="366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739F7"/>
    <w:multiLevelType w:val="multilevel"/>
    <w:tmpl w:val="DC7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B7681"/>
    <w:multiLevelType w:val="hybridMultilevel"/>
    <w:tmpl w:val="1B001B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EBB0994"/>
    <w:multiLevelType w:val="hybridMultilevel"/>
    <w:tmpl w:val="57560AC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13" w15:restartNumberingAfterBreak="0">
    <w:nsid w:val="6ED0743A"/>
    <w:multiLevelType w:val="hybridMultilevel"/>
    <w:tmpl w:val="65A4C6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5465E6A"/>
    <w:multiLevelType w:val="hybridMultilevel"/>
    <w:tmpl w:val="61E64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450E6E"/>
    <w:multiLevelType w:val="multilevel"/>
    <w:tmpl w:val="31BC69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03339">
    <w:abstractNumId w:val="7"/>
  </w:num>
  <w:num w:numId="2" w16cid:durableId="1649094279">
    <w:abstractNumId w:val="6"/>
  </w:num>
  <w:num w:numId="3" w16cid:durableId="1441531292">
    <w:abstractNumId w:val="12"/>
  </w:num>
  <w:num w:numId="4" w16cid:durableId="358513067">
    <w:abstractNumId w:val="14"/>
  </w:num>
  <w:num w:numId="5" w16cid:durableId="1336492301">
    <w:abstractNumId w:val="11"/>
  </w:num>
  <w:num w:numId="6" w16cid:durableId="1006634101">
    <w:abstractNumId w:val="5"/>
  </w:num>
  <w:num w:numId="7" w16cid:durableId="423765245">
    <w:abstractNumId w:val="10"/>
  </w:num>
  <w:num w:numId="8" w16cid:durableId="82918451">
    <w:abstractNumId w:val="8"/>
  </w:num>
  <w:num w:numId="9" w16cid:durableId="1707829144">
    <w:abstractNumId w:val="13"/>
  </w:num>
  <w:num w:numId="10" w16cid:durableId="747001616">
    <w:abstractNumId w:val="9"/>
  </w:num>
  <w:num w:numId="11" w16cid:durableId="1405178128">
    <w:abstractNumId w:val="15"/>
  </w:num>
  <w:num w:numId="12" w16cid:durableId="446196719">
    <w:abstractNumId w:val="4"/>
  </w:num>
  <w:num w:numId="13" w16cid:durableId="1344287980">
    <w:abstractNumId w:val="3"/>
  </w:num>
  <w:num w:numId="14" w16cid:durableId="768933923">
    <w:abstractNumId w:val="0"/>
  </w:num>
  <w:num w:numId="15" w16cid:durableId="924921381">
    <w:abstractNumId w:val="1"/>
  </w:num>
  <w:num w:numId="16" w16cid:durableId="2013532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28"/>
    <w:rsid w:val="00006DA3"/>
    <w:rsid w:val="00021D72"/>
    <w:rsid w:val="00023633"/>
    <w:rsid w:val="0004774A"/>
    <w:rsid w:val="00072BA4"/>
    <w:rsid w:val="000731FC"/>
    <w:rsid w:val="00090495"/>
    <w:rsid w:val="000A2C16"/>
    <w:rsid w:val="000C21A5"/>
    <w:rsid w:val="001051A4"/>
    <w:rsid w:val="001A7ED3"/>
    <w:rsid w:val="001E0711"/>
    <w:rsid w:val="001F016A"/>
    <w:rsid w:val="00200FAB"/>
    <w:rsid w:val="00222D40"/>
    <w:rsid w:val="0024689B"/>
    <w:rsid w:val="002757F7"/>
    <w:rsid w:val="002A034F"/>
    <w:rsid w:val="002E53E8"/>
    <w:rsid w:val="002F1150"/>
    <w:rsid w:val="00324506"/>
    <w:rsid w:val="00342D47"/>
    <w:rsid w:val="00353A6D"/>
    <w:rsid w:val="0037262F"/>
    <w:rsid w:val="003A2681"/>
    <w:rsid w:val="003F6270"/>
    <w:rsid w:val="003F6F9A"/>
    <w:rsid w:val="00421190"/>
    <w:rsid w:val="004254D3"/>
    <w:rsid w:val="00457FEB"/>
    <w:rsid w:val="00486DF3"/>
    <w:rsid w:val="00487272"/>
    <w:rsid w:val="00522321"/>
    <w:rsid w:val="00540A63"/>
    <w:rsid w:val="00585E28"/>
    <w:rsid w:val="00596BF1"/>
    <w:rsid w:val="005C1E12"/>
    <w:rsid w:val="00621BDC"/>
    <w:rsid w:val="006A4B9D"/>
    <w:rsid w:val="006D197C"/>
    <w:rsid w:val="00745219"/>
    <w:rsid w:val="00756326"/>
    <w:rsid w:val="00781A62"/>
    <w:rsid w:val="0079586E"/>
    <w:rsid w:val="007A1D80"/>
    <w:rsid w:val="00815D41"/>
    <w:rsid w:val="008733DA"/>
    <w:rsid w:val="0088133C"/>
    <w:rsid w:val="008819E8"/>
    <w:rsid w:val="009E4713"/>
    <w:rsid w:val="00A143B7"/>
    <w:rsid w:val="00A5057A"/>
    <w:rsid w:val="00A72843"/>
    <w:rsid w:val="00AB238C"/>
    <w:rsid w:val="00AD25F7"/>
    <w:rsid w:val="00B55183"/>
    <w:rsid w:val="00B65921"/>
    <w:rsid w:val="00C3538A"/>
    <w:rsid w:val="00C47EB4"/>
    <w:rsid w:val="00C938A2"/>
    <w:rsid w:val="00C950CA"/>
    <w:rsid w:val="00CC6346"/>
    <w:rsid w:val="00D33237"/>
    <w:rsid w:val="00D63169"/>
    <w:rsid w:val="00DC7092"/>
    <w:rsid w:val="00DF3455"/>
    <w:rsid w:val="00E14379"/>
    <w:rsid w:val="00E3556E"/>
    <w:rsid w:val="00E708F5"/>
    <w:rsid w:val="00E75182"/>
    <w:rsid w:val="00E972CD"/>
    <w:rsid w:val="00EB158C"/>
    <w:rsid w:val="00EE2498"/>
    <w:rsid w:val="00EF4553"/>
    <w:rsid w:val="00F444BD"/>
    <w:rsid w:val="00F50863"/>
    <w:rsid w:val="00F56EDC"/>
    <w:rsid w:val="00F747CD"/>
    <w:rsid w:val="00FB4427"/>
    <w:rsid w:val="00FC7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7165"/>
  <w15:chartTrackingRefBased/>
  <w15:docId w15:val="{8340C418-9E8B-482D-89ED-275570326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28"/>
    <w:rPr>
      <w:rFonts w:eastAsiaTheme="majorEastAsia" w:cstheme="majorBidi"/>
      <w:color w:val="272727" w:themeColor="text1" w:themeTint="D8"/>
    </w:rPr>
  </w:style>
  <w:style w:type="paragraph" w:styleId="Title">
    <w:name w:val="Title"/>
    <w:basedOn w:val="Normal"/>
    <w:next w:val="Normal"/>
    <w:link w:val="TitleChar"/>
    <w:uiPriority w:val="10"/>
    <w:qFormat/>
    <w:rsid w:val="00585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28"/>
    <w:pPr>
      <w:spacing w:before="160"/>
      <w:jc w:val="center"/>
    </w:pPr>
    <w:rPr>
      <w:i/>
      <w:iCs/>
      <w:color w:val="404040" w:themeColor="text1" w:themeTint="BF"/>
    </w:rPr>
  </w:style>
  <w:style w:type="character" w:customStyle="1" w:styleId="QuoteChar">
    <w:name w:val="Quote Char"/>
    <w:basedOn w:val="DefaultParagraphFont"/>
    <w:link w:val="Quote"/>
    <w:uiPriority w:val="29"/>
    <w:rsid w:val="00585E28"/>
    <w:rPr>
      <w:i/>
      <w:iCs/>
      <w:color w:val="404040" w:themeColor="text1" w:themeTint="BF"/>
    </w:rPr>
  </w:style>
  <w:style w:type="paragraph" w:styleId="ListParagraph">
    <w:name w:val="List Paragraph"/>
    <w:basedOn w:val="Normal"/>
    <w:uiPriority w:val="34"/>
    <w:qFormat/>
    <w:rsid w:val="00585E28"/>
    <w:pPr>
      <w:ind w:left="720"/>
      <w:contextualSpacing/>
    </w:pPr>
  </w:style>
  <w:style w:type="character" w:styleId="IntenseEmphasis">
    <w:name w:val="Intense Emphasis"/>
    <w:basedOn w:val="DefaultParagraphFont"/>
    <w:uiPriority w:val="21"/>
    <w:qFormat/>
    <w:rsid w:val="00585E28"/>
    <w:rPr>
      <w:i/>
      <w:iCs/>
      <w:color w:val="0F4761" w:themeColor="accent1" w:themeShade="BF"/>
    </w:rPr>
  </w:style>
  <w:style w:type="paragraph" w:styleId="IntenseQuote">
    <w:name w:val="Intense Quote"/>
    <w:basedOn w:val="Normal"/>
    <w:next w:val="Normal"/>
    <w:link w:val="IntenseQuoteChar"/>
    <w:uiPriority w:val="30"/>
    <w:qFormat/>
    <w:rsid w:val="00585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E28"/>
    <w:rPr>
      <w:i/>
      <w:iCs/>
      <w:color w:val="0F4761" w:themeColor="accent1" w:themeShade="BF"/>
    </w:rPr>
  </w:style>
  <w:style w:type="character" w:styleId="IntenseReference">
    <w:name w:val="Intense Reference"/>
    <w:basedOn w:val="DefaultParagraphFont"/>
    <w:uiPriority w:val="32"/>
    <w:qFormat/>
    <w:rsid w:val="00585E28"/>
    <w:rPr>
      <w:b/>
      <w:bCs/>
      <w:smallCaps/>
      <w:color w:val="0F4761" w:themeColor="accent1" w:themeShade="BF"/>
      <w:spacing w:val="5"/>
    </w:rPr>
  </w:style>
  <w:style w:type="character" w:styleId="PlaceholderText">
    <w:name w:val="Placeholder Text"/>
    <w:basedOn w:val="DefaultParagraphFont"/>
    <w:uiPriority w:val="99"/>
    <w:semiHidden/>
    <w:rsid w:val="00522321"/>
    <w:rPr>
      <w:color w:val="666666"/>
    </w:rPr>
  </w:style>
  <w:style w:type="paragraph" w:styleId="NormalWeb">
    <w:name w:val="Normal (Web)"/>
    <w:basedOn w:val="Normal"/>
    <w:uiPriority w:val="99"/>
    <w:unhideWhenUsed/>
    <w:rsid w:val="000C21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0C21A5"/>
  </w:style>
  <w:style w:type="character" w:customStyle="1" w:styleId="mord">
    <w:name w:val="mord"/>
    <w:basedOn w:val="DefaultParagraphFont"/>
    <w:rsid w:val="000C21A5"/>
  </w:style>
  <w:style w:type="character" w:customStyle="1" w:styleId="vlist-s">
    <w:name w:val="vlist-s"/>
    <w:basedOn w:val="DefaultParagraphFont"/>
    <w:rsid w:val="000C21A5"/>
  </w:style>
  <w:style w:type="character" w:customStyle="1" w:styleId="mrel">
    <w:name w:val="mrel"/>
    <w:basedOn w:val="DefaultParagraphFont"/>
    <w:rsid w:val="00DC7092"/>
  </w:style>
  <w:style w:type="character" w:customStyle="1" w:styleId="mbin">
    <w:name w:val="mbin"/>
    <w:basedOn w:val="DefaultParagraphFont"/>
    <w:rsid w:val="00DC7092"/>
  </w:style>
  <w:style w:type="character" w:styleId="Strong">
    <w:name w:val="Strong"/>
    <w:basedOn w:val="DefaultParagraphFont"/>
    <w:uiPriority w:val="22"/>
    <w:qFormat/>
    <w:rsid w:val="00105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12807">
      <w:bodyDiv w:val="1"/>
      <w:marLeft w:val="0"/>
      <w:marRight w:val="0"/>
      <w:marTop w:val="0"/>
      <w:marBottom w:val="0"/>
      <w:divBdr>
        <w:top w:val="none" w:sz="0" w:space="0" w:color="auto"/>
        <w:left w:val="none" w:sz="0" w:space="0" w:color="auto"/>
        <w:bottom w:val="none" w:sz="0" w:space="0" w:color="auto"/>
        <w:right w:val="none" w:sz="0" w:space="0" w:color="auto"/>
      </w:divBdr>
    </w:div>
    <w:div w:id="170806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10925</TotalTime>
  <Pages>4</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Yashowardhan Kashive</dc:creator>
  <cp:keywords/>
  <dc:description/>
  <cp:lastModifiedBy>yashowardhan kashive</cp:lastModifiedBy>
  <cp:revision>329</cp:revision>
  <dcterms:created xsi:type="dcterms:W3CDTF">2025-11-01T10:43:00Z</dcterms:created>
  <dcterms:modified xsi:type="dcterms:W3CDTF">2026-02-10T05:43:00Z</dcterms:modified>
</cp:coreProperties>
</file>