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Strategic Planning and Data Exploration in Logistics</w:t>
      </w:r>
    </w:p>
    <w:p>
      <w:pPr>
        <w:pStyle w:val="Subtitle"/>
      </w:pPr>
      <w:r>
        <w:t>Week 1 report on e commerce delivery reliability</w:t>
      </w:r>
    </w:p>
    <w:p>
      <w:r>
        <w:t>Prepared by Rishabh Bansal</w:t>
        <w:br/>
        <w:t>BTech Computer Science and Engineering</w:t>
        <w:br/>
        <w:t>11 September 2026</w:t>
      </w:r>
    </w:p>
    <w:p>
      <w:pPr>
        <w:pStyle w:val="Heading1"/>
      </w:pPr>
      <w:r>
        <w:t>Project overview</w:t>
      </w:r>
    </w:p>
    <w:p>
      <w:r>
        <w:t>This report proposes a Python based analysis of delivery delays for a simulated e-commerce logistics team. The immediate priority is to establish reliable delivery KPIs and identify where delays occur. A predictive model can then support exception handling and resource planning, with a controlled pilot needed to establish whether decisions improve service.</w:t>
      </w:r>
    </w:p>
    <w:p>
      <w:r>
        <w:t>The public Olist dataset is the proposed historical research source [1]. This is a planning submission: the report contains research, definitions, an analysis roadmap and illustrative code. No dataset results, achieved savings or completed deployment are claimed.</w:t>
      </w:r>
    </w:p>
    <w:p>
      <w:pPr>
        <w:pStyle w:val="Heading2"/>
      </w:pPr>
      <w:r>
        <w:t>Submission information</w:t>
      </w:r>
    </w:p>
    <w:p>
      <w:r>
        <w:rPr>
          <w:sz w:val="20"/>
        </w:rPr>
        <w:t>Project repository name: logistics-strategic-analysis</w:t>
        <w:br/>
        <w:t>GitHub repository URL: https://github.com/rishabh230707-afk/logistics-strategic-analysis</w:t>
      </w:r>
    </w:p>
    <w:p>
      <w:r>
        <w:t>The internship instructions require a GitHub URL for technical projects. Use the repository address above in the compulsory project field and submit this Word report with it.</w:t>
      </w:r>
    </w:p>
    <w:p>
      <w:pPr>
        <w:pStyle w:val="Heading2"/>
      </w:pPr>
      <w:r>
        <w:t>Report contents</w:t>
      </w:r>
    </w:p>
    <w:p>
      <w:r>
        <w:t>1  Scenario and objectives</w:t>
        <w:br/>
        <w:t>2  Performance indicators</w:t>
        <w:br/>
        <w:t>3  Background research and data plan</w:t>
        <w:br/>
        <w:t>4  Analytical methods</w:t>
        <w:br/>
        <w:t>5  Strategic roadmap and evaluation</w:t>
        <w:br/>
        <w:t>6  Python illustrations</w:t>
        <w:br/>
        <w:t>7  Expected outcomes and references</w:t>
      </w:r>
    </w:p>
    <w:p>
      <w:r>
        <w:br w:type="page"/>
      </w:r>
    </w:p>
    <w:p>
      <w:pPr>
        <w:pStyle w:val="Heading1"/>
      </w:pPr>
      <w:r>
        <w:t>1 Scenario and objectives</w:t>
      </w:r>
    </w:p>
    <w:p>
      <w:r>
        <w:t>A simulated Brazilian e-commerce marketplace works with multiple sellers and delivery partners. Orders pass through purchase, seller preparation, carrier handoff and customer delivery. The operations team needs to understand which regions and order characteristics are associated with missed delivery promises and decide where to focus follow-up effort.</w:t>
      </w:r>
    </w:p>
    <w:p>
      <w:r>
        <w:t>The analysis unit is one order. An order with multiple products or sellers must remain one record in the KPI table. Purchase-to-delivery duration describes the full fulfilment process, so it must not be presented as driving time or solely as carrier performance.</w:t>
      </w:r>
    </w:p>
    <w:p>
      <w:pPr>
        <w:pStyle w:val="Heading2"/>
      </w:pPr>
      <w:r>
        <w:t>Business decisions</w:t>
      </w:r>
    </w:p>
    <w:p>
      <w:r>
        <w:t>The team will use the analysis to review delivery promises, identify regions needing investigation, and prioritize orders for manual follow-up. Historical workload patterns may guide staffing discussions. Specific carrier or driver assignments require operational data that the selected public source does not provide.</w:t>
      </w:r>
    </w:p>
    <w:p>
      <w:pPr>
        <w:pStyle w:val="Heading2"/>
      </w:pPr>
      <w:r>
        <w:t>Project objectives</w:t>
      </w:r>
    </w:p>
    <w:p>
      <w:pPr>
        <w:pStyle w:val="ListBullet"/>
      </w:pPr>
      <w:r>
        <w:t>Create a documented order-level dataset with traceable joins, missing-value counts and timestamp checks.</w:t>
      </w:r>
    </w:p>
    <w:p>
      <w:pPr>
        <w:pStyle w:val="ListBullet"/>
      </w:pPr>
      <w:r>
        <w:t>Measure on-time delivery, delivery duration and tail delays, then compare them by purchase month and customer region.</w:t>
      </w:r>
    </w:p>
    <w:p>
      <w:pPr>
        <w:pStyle w:val="ListBullet"/>
      </w:pPr>
      <w:r>
        <w:t>Test whether a purchase-time duration model improves on simple historical and promised-duration baselines.</w:t>
      </w:r>
    </w:p>
    <w:p>
      <w:pPr>
        <w:pStyle w:val="ListBullet"/>
      </w:pPr>
      <w:r>
        <w:t>Translate validated patterns into an operational pilot with explicit service and cost safeguards.</w:t>
      </w:r>
    </w:p>
    <w:p>
      <w:pPr>
        <w:pStyle w:val="Heading2"/>
      </w:pPr>
      <w:r>
        <w:t>Scope and assumptions</w:t>
      </w:r>
    </w:p>
    <w:p>
      <w:r>
        <w:t>Core scope covers data auditing, exploratory analysis and duration prediction. Regional clustering is an optional diagnostic extension. Route optimization is a later scenario exercise because road travel times, vehicle capacities, depot locations and customer time windows are unavailable in the core dataset.</w:t>
      </w:r>
    </w:p>
    <w:p>
      <w:r>
        <w:t>The proposed decision point is order purchase. Customer state, purchase weekday and the delivery promise are assumed known then; confirm this in a real system. Actual delivery timestamps and later customer reviews are outcomes, not predictive inputs. Historical Brazilian observations require local validation before use in Indian or present-day operations.</w:t>
      </w:r>
    </w:p>
    <w:p>
      <w:r>
        <w:br w:type="page"/>
      </w:r>
    </w:p>
    <w:p>
      <w:pPr>
        <w:pStyle w:val="Heading1"/>
      </w:pPr>
      <w:r>
        <w:t>2 Performance indicators</w:t>
      </w:r>
    </w:p>
    <w:p>
      <w:r>
        <w:t>Calculate the first three indicators on distinct delivered orders with valid purchase, actual-delivery and promised-delivery dates. Report the included and excluded order counts with every result. Calendar dates determine whether a promise was met; elapsed hours divided by 24 determine duration.</w:t>
      </w:r>
    </w:p>
    <w:tbl>
      <w:tblPr>
        <w:tblW w:type="auto" w:w="0"/>
        <w:tblLayout w:type="fixed"/>
        <w:tblLook w:firstColumn="1" w:firstRow="1" w:lastColumn="0" w:lastRow="0" w:noHBand="0" w:noVBand="1" w:val="04A0"/>
      </w:tblPr>
      <w:tblGrid>
        <w:gridCol w:w="2088"/>
        <w:gridCol w:w="4752"/>
        <w:gridCol w:w="3096"/>
      </w:tblGrid>
      <w:tr>
        <w:trPr>
          <w:cantSplit/>
          <w:tblHeader/>
        </w:trPr>
        <w:tc>
          <w:tcPr>
            <w:tcW w:type="dxa" w:w="2088"/>
            <w:shd w:fill="DDE6EF"/>
            <w:tcBorders>
              <w:top w:val="single" w:sz="4" w:color="D9D9D9"/>
              <w:left w:val="single" w:sz="4" w:color="D9D9D9"/>
              <w:bottom w:val="single" w:sz="4" w:color="D9D9D9"/>
              <w:right w:val="single" w:sz="4" w:color="D9D9D9"/>
            </w:tcBorders>
          </w:tcPr>
          <w:p>
            <w:pPr>
              <w:spacing w:after="100" w:before="100"/>
            </w:pPr>
            <w:r>
              <w:rPr>
                <w:b/>
                <w:sz w:val="20"/>
              </w:rPr>
              <w:t>KPI</w:t>
            </w:r>
          </w:p>
        </w:tc>
        <w:tc>
          <w:tcPr>
            <w:tcW w:type="dxa" w:w="4752"/>
            <w:shd w:fill="DDE6EF"/>
            <w:tcBorders>
              <w:top w:val="single" w:sz="4" w:color="D9D9D9"/>
              <w:left w:val="single" w:sz="4" w:color="D9D9D9"/>
              <w:bottom w:val="single" w:sz="4" w:color="D9D9D9"/>
              <w:right w:val="single" w:sz="4" w:color="D9D9D9"/>
            </w:tcBorders>
          </w:tcPr>
          <w:p>
            <w:pPr>
              <w:spacing w:after="100" w:before="100"/>
            </w:pPr>
            <w:r>
              <w:rPr>
                <w:b/>
                <w:sz w:val="20"/>
              </w:rPr>
              <w:t>Definition and unit</w:t>
            </w:r>
          </w:p>
        </w:tc>
        <w:tc>
          <w:tcPr>
            <w:tcW w:type="dxa" w:w="3096"/>
            <w:shd w:fill="DDE6EF"/>
            <w:tcBorders>
              <w:top w:val="single" w:sz="4" w:color="D9D9D9"/>
              <w:left w:val="single" w:sz="4" w:color="D9D9D9"/>
              <w:bottom w:val="single" w:sz="4" w:color="D9D9D9"/>
              <w:right w:val="single" w:sz="4" w:color="D9D9D9"/>
            </w:tcBorders>
          </w:tcPr>
          <w:p>
            <w:pPr>
              <w:spacing w:after="100" w:before="100"/>
            </w:pPr>
            <w:r>
              <w:rPr>
                <w:b/>
                <w:sz w:val="20"/>
              </w:rPr>
              <w:t>Decision use</w:t>
            </w:r>
          </w:p>
        </w:tc>
      </w:tr>
      <w:tr>
        <w:trPr>
          <w:cantSplit/>
        </w:trPr>
        <w:tc>
          <w:tcPr>
            <w:tcW w:type="dxa" w:w="2088"/>
            <w:shd w:fill="FFFFFF"/>
            <w:tcBorders>
              <w:top w:val="single" w:sz="4" w:color="D9D9D9"/>
              <w:left w:val="single" w:sz="4" w:color="D9D9D9"/>
              <w:bottom w:val="single" w:sz="4" w:color="D9D9D9"/>
              <w:right w:val="single" w:sz="4" w:color="D9D9D9"/>
            </w:tcBorders>
          </w:tcPr>
          <w:p>
            <w:pPr>
              <w:spacing w:after="100" w:before="100"/>
            </w:pPr>
            <w:r>
              <w:rPr>
                <w:b w:val="0"/>
                <w:sz w:val="20"/>
              </w:rPr>
              <w:t>On time delivery rate</w:t>
            </w:r>
          </w:p>
        </w:tc>
        <w:tc>
          <w:tcPr>
            <w:tcW w:type="dxa" w:w="4752"/>
            <w:shd w:fill="FFFFFF"/>
            <w:tcBorders>
              <w:top w:val="single" w:sz="4" w:color="D9D9D9"/>
              <w:left w:val="single" w:sz="4" w:color="D9D9D9"/>
              <w:bottom w:val="single" w:sz="4" w:color="D9D9D9"/>
              <w:right w:val="single" w:sz="4" w:color="D9D9D9"/>
            </w:tcBorders>
          </w:tcPr>
          <w:p>
            <w:pPr>
              <w:spacing w:after="100" w:before="100"/>
            </w:pPr>
            <w:r>
              <w:rPr>
                <w:b w:val="0"/>
                <w:sz w:val="20"/>
              </w:rPr>
              <w:t>100 × orders delivered on or before promised date ÷ eligible delivered orders. Unit: %.</w:t>
            </w:r>
          </w:p>
        </w:tc>
        <w:tc>
          <w:tcPr>
            <w:tcW w:type="dxa" w:w="3096"/>
            <w:shd w:fill="FFFFFF"/>
            <w:tcBorders>
              <w:top w:val="single" w:sz="4" w:color="D9D9D9"/>
              <w:left w:val="single" w:sz="4" w:color="D9D9D9"/>
              <w:bottom w:val="single" w:sz="4" w:color="D9D9D9"/>
              <w:right w:val="single" w:sz="4" w:color="D9D9D9"/>
            </w:tcBorders>
          </w:tcPr>
          <w:p>
            <w:pPr>
              <w:spacing w:after="100" w:before="100"/>
            </w:pPr>
            <w:r>
              <w:rPr>
                <w:b w:val="0"/>
                <w:sz w:val="20"/>
              </w:rPr>
              <w:t>Identify service gaps by region and month.</w:t>
            </w:r>
          </w:p>
        </w:tc>
      </w:tr>
      <w:tr>
        <w:trPr>
          <w:cantSplit/>
        </w:trPr>
        <w:tc>
          <w:tcPr>
            <w:tcW w:type="dxa" w:w="2088"/>
            <w:shd w:fill="F5F7F9"/>
            <w:tcBorders>
              <w:top w:val="single" w:sz="4" w:color="D9D9D9"/>
              <w:left w:val="single" w:sz="4" w:color="D9D9D9"/>
              <w:bottom w:val="single" w:sz="4" w:color="D9D9D9"/>
              <w:right w:val="single" w:sz="4" w:color="D9D9D9"/>
            </w:tcBorders>
          </w:tcPr>
          <w:p>
            <w:pPr>
              <w:spacing w:after="100" w:before="100"/>
            </w:pPr>
            <w:r>
              <w:rPr>
                <w:b w:val="0"/>
                <w:sz w:val="20"/>
              </w:rPr>
              <w:t>Mean fulfilment time</w:t>
            </w:r>
          </w:p>
        </w:tc>
        <w:tc>
          <w:tcPr>
            <w:tcW w:type="dxa" w:w="4752"/>
            <w:shd w:fill="F5F7F9"/>
            <w:tcBorders>
              <w:top w:val="single" w:sz="4" w:color="D9D9D9"/>
              <w:left w:val="single" w:sz="4" w:color="D9D9D9"/>
              <w:bottom w:val="single" w:sz="4" w:color="D9D9D9"/>
              <w:right w:val="single" w:sz="4" w:color="D9D9D9"/>
            </w:tcBorders>
          </w:tcPr>
          <w:p>
            <w:pPr>
              <w:spacing w:after="100" w:before="100"/>
            </w:pPr>
            <w:r>
              <w:rPr>
                <w:b w:val="0"/>
                <w:sz w:val="20"/>
              </w:rPr>
              <w:t>Sum of purchase-to-delivery durations ÷ eligible delivered orders. Unit: days.</w:t>
            </w:r>
          </w:p>
        </w:tc>
        <w:tc>
          <w:tcPr>
            <w:tcW w:type="dxa" w:w="3096"/>
            <w:shd w:fill="F5F7F9"/>
            <w:tcBorders>
              <w:top w:val="single" w:sz="4" w:color="D9D9D9"/>
              <w:left w:val="single" w:sz="4" w:color="D9D9D9"/>
              <w:bottom w:val="single" w:sz="4" w:color="D9D9D9"/>
              <w:right w:val="single" w:sz="4" w:color="D9D9D9"/>
            </w:tcBorders>
          </w:tcPr>
          <w:p>
            <w:pPr>
              <w:spacing w:after="100" w:before="100"/>
            </w:pPr>
            <w:r>
              <w:rPr>
                <w:b w:val="0"/>
                <w:sz w:val="20"/>
              </w:rPr>
              <w:t>Assess end-to-end speed and promise setting.</w:t>
            </w:r>
          </w:p>
        </w:tc>
      </w:tr>
      <w:tr>
        <w:trPr>
          <w:cantSplit/>
        </w:trPr>
        <w:tc>
          <w:tcPr>
            <w:tcW w:type="dxa" w:w="2088"/>
            <w:shd w:fill="FFFFFF"/>
            <w:tcBorders>
              <w:top w:val="single" w:sz="4" w:color="D9D9D9"/>
              <w:left w:val="single" w:sz="4" w:color="D9D9D9"/>
              <w:bottom w:val="single" w:sz="4" w:color="D9D9D9"/>
              <w:right w:val="single" w:sz="4" w:color="D9D9D9"/>
            </w:tcBorders>
          </w:tcPr>
          <w:p>
            <w:pPr>
              <w:spacing w:after="100" w:before="100"/>
            </w:pPr>
            <w:r>
              <w:rPr>
                <w:b w:val="0"/>
                <w:sz w:val="20"/>
              </w:rPr>
              <w:t>90th percentile fulfilment time</w:t>
            </w:r>
          </w:p>
        </w:tc>
        <w:tc>
          <w:tcPr>
            <w:tcW w:type="dxa" w:w="4752"/>
            <w:shd w:fill="FFFFFF"/>
            <w:tcBorders>
              <w:top w:val="single" w:sz="4" w:color="D9D9D9"/>
              <w:left w:val="single" w:sz="4" w:color="D9D9D9"/>
              <w:bottom w:val="single" w:sz="4" w:color="D9D9D9"/>
              <w:right w:val="single" w:sz="4" w:color="D9D9D9"/>
            </w:tcBorders>
          </w:tcPr>
          <w:p>
            <w:pPr>
              <w:spacing w:after="100" w:before="100"/>
            </w:pPr>
            <w:r>
              <w:rPr>
                <w:b w:val="0"/>
                <w:sz w:val="20"/>
              </w:rPr>
              <w:t>90th percentile of eligible order durations. Unit: days.</w:t>
            </w:r>
          </w:p>
        </w:tc>
        <w:tc>
          <w:tcPr>
            <w:tcW w:type="dxa" w:w="3096"/>
            <w:shd w:fill="FFFFFF"/>
            <w:tcBorders>
              <w:top w:val="single" w:sz="4" w:color="D9D9D9"/>
              <w:left w:val="single" w:sz="4" w:color="D9D9D9"/>
              <w:bottom w:val="single" w:sz="4" w:color="D9D9D9"/>
              <w:right w:val="single" w:sz="4" w:color="D9D9D9"/>
            </w:tcBorders>
          </w:tcPr>
          <w:p>
            <w:pPr>
              <w:spacing w:after="100" w:before="100"/>
            </w:pPr>
            <w:r>
              <w:rPr>
                <w:b w:val="0"/>
                <w:sz w:val="20"/>
              </w:rPr>
              <w:t>Track severe delays hidden by an average.</w:t>
            </w:r>
          </w:p>
        </w:tc>
      </w:tr>
      <w:tr>
        <w:trPr>
          <w:cantSplit/>
        </w:trPr>
        <w:tc>
          <w:tcPr>
            <w:tcW w:type="dxa" w:w="2088"/>
            <w:shd w:fill="F5F7F9"/>
            <w:tcBorders>
              <w:top w:val="single" w:sz="4" w:color="D9D9D9"/>
              <w:left w:val="single" w:sz="4" w:color="D9D9D9"/>
              <w:bottom w:val="single" w:sz="4" w:color="D9D9D9"/>
              <w:right w:val="single" w:sz="4" w:color="D9D9D9"/>
            </w:tcBorders>
          </w:tcPr>
          <w:p>
            <w:pPr>
              <w:spacing w:after="100" w:before="100"/>
            </w:pPr>
            <w:r>
              <w:rPr>
                <w:b w:val="0"/>
                <w:sz w:val="20"/>
              </w:rPr>
              <w:t>Overdue open order rate</w:t>
            </w:r>
          </w:p>
        </w:tc>
        <w:tc>
          <w:tcPr>
            <w:tcW w:type="dxa" w:w="4752"/>
            <w:shd w:fill="F5F7F9"/>
            <w:tcBorders>
              <w:top w:val="single" w:sz="4" w:color="D9D9D9"/>
              <w:left w:val="single" w:sz="4" w:color="D9D9D9"/>
              <w:bottom w:val="single" w:sz="4" w:color="D9D9D9"/>
              <w:right w:val="single" w:sz="4" w:color="D9D9D9"/>
            </w:tcBorders>
          </w:tcPr>
          <w:p>
            <w:pPr>
              <w:spacing w:after="100" w:before="100"/>
            </w:pPr>
            <w:r>
              <w:rPr>
                <w:b w:val="0"/>
                <w:sz w:val="20"/>
              </w:rPr>
              <w:t>100 × undelivered active orders past promise ÷ active orders due by the snapshot date. Unit: %.</w:t>
            </w:r>
          </w:p>
        </w:tc>
        <w:tc>
          <w:tcPr>
            <w:tcW w:type="dxa" w:w="3096"/>
            <w:shd w:fill="F5F7F9"/>
            <w:tcBorders>
              <w:top w:val="single" w:sz="4" w:color="D9D9D9"/>
              <w:left w:val="single" w:sz="4" w:color="D9D9D9"/>
              <w:bottom w:val="single" w:sz="4" w:color="D9D9D9"/>
              <w:right w:val="single" w:sz="4" w:color="D9D9D9"/>
            </w:tcBorders>
          </w:tcPr>
          <w:p>
            <w:pPr>
              <w:spacing w:after="100" w:before="100"/>
            </w:pPr>
            <w:r>
              <w:rPr>
                <w:b w:val="0"/>
                <w:sz w:val="20"/>
              </w:rPr>
              <w:t>Operational safeguard against ignoring unfinished orders.</w:t>
            </w:r>
          </w:p>
        </w:tc>
      </w:tr>
      <w:tr>
        <w:trPr>
          <w:cantSplit/>
        </w:trPr>
        <w:tc>
          <w:tcPr>
            <w:tcW w:type="dxa" w:w="2088"/>
            <w:shd w:fill="FFFFFF"/>
            <w:tcBorders>
              <w:top w:val="single" w:sz="4" w:color="D9D9D9"/>
              <w:left w:val="single" w:sz="4" w:color="D9D9D9"/>
              <w:bottom w:val="single" w:sz="4" w:color="D9D9D9"/>
              <w:right w:val="single" w:sz="4" w:color="D9D9D9"/>
            </w:tcBorders>
          </w:tcPr>
          <w:p>
            <w:pPr>
              <w:spacing w:after="100" w:before="100"/>
            </w:pPr>
            <w:r>
              <w:rPr>
                <w:b w:val="0"/>
                <w:sz w:val="20"/>
              </w:rPr>
              <w:t>Delivery cost per completed order</w:t>
            </w:r>
          </w:p>
        </w:tc>
        <w:tc>
          <w:tcPr>
            <w:tcW w:type="dxa" w:w="4752"/>
            <w:shd w:fill="FFFFFF"/>
            <w:tcBorders>
              <w:top w:val="single" w:sz="4" w:color="D9D9D9"/>
              <w:left w:val="single" w:sz="4" w:color="D9D9D9"/>
              <w:bottom w:val="single" w:sz="4" w:color="D9D9D9"/>
              <w:right w:val="single" w:sz="4" w:color="D9D9D9"/>
            </w:tcBorders>
          </w:tcPr>
          <w:p>
            <w:pPr>
              <w:spacing w:after="100" w:before="100"/>
            </w:pPr>
            <w:r>
              <w:rPr>
                <w:b w:val="0"/>
                <w:sz w:val="20"/>
              </w:rPr>
              <w:t>Allocated transport, handling and failed-attempt costs ÷ completed orders. Unit: BRL/order.</w:t>
            </w:r>
          </w:p>
        </w:tc>
        <w:tc>
          <w:tcPr>
            <w:tcW w:type="dxa" w:w="3096"/>
            <w:shd w:fill="FFFFFF"/>
            <w:tcBorders>
              <w:top w:val="single" w:sz="4" w:color="D9D9D9"/>
              <w:left w:val="single" w:sz="4" w:color="D9D9D9"/>
              <w:bottom w:val="single" w:sz="4" w:color="D9D9D9"/>
              <w:right w:val="single" w:sz="4" w:color="D9D9D9"/>
            </w:tcBorders>
          </w:tcPr>
          <w:p>
            <w:pPr>
              <w:spacing w:after="100" w:before="100"/>
            </w:pPr>
            <w:r>
              <w:rPr>
                <w:b w:val="0"/>
                <w:sz w:val="20"/>
              </w:rPr>
              <w:t>Future pilot cost guardrail; requires internal cost records.</w:t>
            </w:r>
          </w:p>
        </w:tc>
      </w:tr>
    </w:tbl>
    <w:p>
      <w:pPr>
        <w:pStyle w:val="Heading2"/>
      </w:pPr>
      <w:r>
        <w:t>Targets and interpretation</w:t>
      </w:r>
    </w:p>
    <w:p>
      <w:r>
        <w:t>Proposed pilot targets are a 3 percentage point increase in on-time delivery and a 10% reduction in the 90th percentile duration, with no rise in cost per completed order or overdue open order rate. These are planning targets, not measured baselines or guaranteed improvements. Confirm feasibility after the baseline audit.</w:t>
      </w:r>
    </w:p>
    <w:p>
      <w:r>
        <w:t>Example only: an increase from 90% to 93% is 3 percentage points. These numbers are hypothetical. Report sample sizes and uncertainty for small regions; do not rank regions from a handful of orders.</w:t>
      </w:r>
    </w:p>
    <w:p>
      <w:r>
        <w:t>A static final-status dataset cannot reliably reconstruct every historical open-order snapshot. The overdue metric therefore requires dated status events or an operational snapshot. Customer freight charges are not equivalent to the company’s delivery cost.</w:t>
      </w:r>
    </w:p>
    <w:p>
      <w:r>
        <w:br w:type="page"/>
      </w:r>
    </w:p>
    <w:p>
      <w:pPr>
        <w:pStyle w:val="Heading1"/>
      </w:pPr>
      <w:r>
        <w:t>3 Background research and data plan</w:t>
      </w:r>
    </w:p>
    <w:p>
      <w:pPr>
        <w:pStyle w:val="Heading2"/>
      </w:pPr>
      <w:r>
        <w:t>Public data and research findings</w:t>
      </w:r>
    </w:p>
    <w:p>
      <w:r>
        <w:t>Olist publishes the Brazilian E-Commerce Public Dataset on Kaggle [1]. Its order and customer tables provide a practical starting point for linking delivery dates to customer geography. Related item, seller, product and geolocation tables can support later extensions. The original publisher page is the attribution and download reference; review its licence before reuse.</w:t>
      </w:r>
    </w:p>
    <w:p>
      <w:r>
        <w:t>The scikit-learn guidance explains why preprocessing must be learned from training data and why future information creates leakage [2]. This supports a time-based evaluation and a preprocessing pipeline. Random forests provide a nonlinear regression option [3], while K-means provides a way to group similar observations [4]. These methods identify predictive patterns; they do not by themselves prove that a region or seller causes delays.</w:t>
      </w:r>
    </w:p>
    <w:p>
      <w:r>
        <w:t>Google’s routing documentation describes travel-time matrices and customer time windows for vehicle routing [5]. It also notes that routing can be computationally difficult and solutions need not be globally optimal [6]. This supports a small, constrained route-planning extension only after the necessary fleet data is collected.</w:t>
      </w:r>
    </w:p>
    <w:tbl>
      <w:tblPr>
        <w:tblW w:type="auto" w:w="0"/>
        <w:tblLayout w:type="fixed"/>
        <w:tblLook w:firstColumn="1" w:firstRow="1" w:lastColumn="0" w:lastRow="0" w:noHBand="0" w:noVBand="1" w:val="04A0"/>
      </w:tblPr>
      <w:tblGrid>
        <w:gridCol w:w="1872"/>
        <w:gridCol w:w="4032"/>
        <w:gridCol w:w="4032"/>
      </w:tblGrid>
      <w:tr>
        <w:trPr>
          <w:cantSplit/>
          <w:tblHeader/>
        </w:trPr>
        <w:tc>
          <w:tcPr>
            <w:tcW w:type="dxa" w:w="1872"/>
            <w:shd w:fill="DDE6EF"/>
            <w:tcBorders>
              <w:top w:val="single" w:sz="4" w:color="D9D9D9"/>
              <w:left w:val="single" w:sz="4" w:color="D9D9D9"/>
              <w:bottom w:val="single" w:sz="4" w:color="D9D9D9"/>
              <w:right w:val="single" w:sz="4" w:color="D9D9D9"/>
            </w:tcBorders>
          </w:tcPr>
          <w:p>
            <w:pPr>
              <w:spacing w:after="100" w:before="100"/>
            </w:pPr>
            <w:r>
              <w:rPr>
                <w:b/>
                <w:sz w:val="20"/>
              </w:rPr>
              <w:t>Source table</w:t>
            </w:r>
          </w:p>
        </w:tc>
        <w:tc>
          <w:tcPr>
            <w:tcW w:type="dxa" w:w="4032"/>
            <w:shd w:fill="DDE6EF"/>
            <w:tcBorders>
              <w:top w:val="single" w:sz="4" w:color="D9D9D9"/>
              <w:left w:val="single" w:sz="4" w:color="D9D9D9"/>
              <w:bottom w:val="single" w:sz="4" w:color="D9D9D9"/>
              <w:right w:val="single" w:sz="4" w:color="D9D9D9"/>
            </w:tcBorders>
          </w:tcPr>
          <w:p>
            <w:pPr>
              <w:spacing w:after="100" w:before="100"/>
            </w:pPr>
            <w:r>
              <w:rPr>
                <w:b/>
                <w:sz w:val="20"/>
              </w:rPr>
              <w:t>Fields and role</w:t>
            </w:r>
          </w:p>
        </w:tc>
        <w:tc>
          <w:tcPr>
            <w:tcW w:type="dxa" w:w="4032"/>
            <w:shd w:fill="DDE6EF"/>
            <w:tcBorders>
              <w:top w:val="single" w:sz="4" w:color="D9D9D9"/>
              <w:left w:val="single" w:sz="4" w:color="D9D9D9"/>
              <w:bottom w:val="single" w:sz="4" w:color="D9D9D9"/>
              <w:right w:val="single" w:sz="4" w:color="D9D9D9"/>
            </w:tcBorders>
          </w:tcPr>
          <w:p>
            <w:pPr>
              <w:spacing w:after="100" w:before="100"/>
            </w:pPr>
            <w:r>
              <w:rPr>
                <w:b/>
                <w:sz w:val="20"/>
              </w:rPr>
              <w:t>Preparation</w:t>
            </w:r>
          </w:p>
        </w:tc>
      </w:tr>
      <w:tr>
        <w:trPr>
          <w:cantSplit/>
        </w:trPr>
        <w:tc>
          <w:tcPr>
            <w:tcW w:type="dxa" w:w="1872"/>
            <w:shd w:fill="FFFFFF"/>
            <w:tcBorders>
              <w:top w:val="single" w:sz="4" w:color="D9D9D9"/>
              <w:left w:val="single" w:sz="4" w:color="D9D9D9"/>
              <w:bottom w:val="single" w:sz="4" w:color="D9D9D9"/>
              <w:right w:val="single" w:sz="4" w:color="D9D9D9"/>
            </w:tcBorders>
          </w:tcPr>
          <w:p>
            <w:pPr>
              <w:spacing w:after="100" w:before="100"/>
            </w:pPr>
            <w:r>
              <w:rPr>
                <w:b w:val="0"/>
                <w:sz w:val="20"/>
              </w:rPr>
              <w:t>Orders</w:t>
            </w:r>
          </w:p>
        </w:tc>
        <w:tc>
          <w:tcPr>
            <w:tcW w:type="dxa" w:w="4032"/>
            <w:shd w:fill="FFFFFF"/>
            <w:tcBorders>
              <w:top w:val="single" w:sz="4" w:color="D9D9D9"/>
              <w:left w:val="single" w:sz="4" w:color="D9D9D9"/>
              <w:bottom w:val="single" w:sz="4" w:color="D9D9D9"/>
              <w:right w:val="single" w:sz="4" w:color="D9D9D9"/>
            </w:tcBorders>
          </w:tcPr>
          <w:p>
            <w:pPr>
              <w:spacing w:after="100" w:before="100"/>
            </w:pPr>
            <w:r>
              <w:rPr>
                <w:b w:val="0"/>
                <w:sz w:val="20"/>
              </w:rPr>
              <w:t>order_id, customer_id, status, purchase, actual and estimated delivery dates</w:t>
            </w:r>
          </w:p>
        </w:tc>
        <w:tc>
          <w:tcPr>
            <w:tcW w:type="dxa" w:w="4032"/>
            <w:shd w:fill="FFFFFF"/>
            <w:tcBorders>
              <w:top w:val="single" w:sz="4" w:color="D9D9D9"/>
              <w:left w:val="single" w:sz="4" w:color="D9D9D9"/>
              <w:bottom w:val="single" w:sz="4" w:color="D9D9D9"/>
              <w:right w:val="single" w:sz="4" w:color="D9D9D9"/>
            </w:tcBorders>
          </w:tcPr>
          <w:p>
            <w:pPr>
              <w:spacing w:after="100" w:before="100"/>
            </w:pPr>
            <w:r>
              <w:rPr>
                <w:b w:val="0"/>
                <w:sz w:val="20"/>
              </w:rPr>
              <w:t>Check unique order IDs; parse dates; audit missing and impossible sequences.</w:t>
            </w:r>
          </w:p>
        </w:tc>
      </w:tr>
      <w:tr>
        <w:trPr>
          <w:cantSplit/>
        </w:trPr>
        <w:tc>
          <w:tcPr>
            <w:tcW w:type="dxa" w:w="1872"/>
            <w:shd w:fill="F5F7F9"/>
            <w:tcBorders>
              <w:top w:val="single" w:sz="4" w:color="D9D9D9"/>
              <w:left w:val="single" w:sz="4" w:color="D9D9D9"/>
              <w:bottom w:val="single" w:sz="4" w:color="D9D9D9"/>
              <w:right w:val="single" w:sz="4" w:color="D9D9D9"/>
            </w:tcBorders>
          </w:tcPr>
          <w:p>
            <w:pPr>
              <w:spacing w:after="100" w:before="100"/>
            </w:pPr>
            <w:r>
              <w:rPr>
                <w:b w:val="0"/>
                <w:sz w:val="20"/>
              </w:rPr>
              <w:t>Customers</w:t>
            </w:r>
          </w:p>
        </w:tc>
        <w:tc>
          <w:tcPr>
            <w:tcW w:type="dxa" w:w="4032"/>
            <w:shd w:fill="F5F7F9"/>
            <w:tcBorders>
              <w:top w:val="single" w:sz="4" w:color="D9D9D9"/>
              <w:left w:val="single" w:sz="4" w:color="D9D9D9"/>
              <w:bottom w:val="single" w:sz="4" w:color="D9D9D9"/>
              <w:right w:val="single" w:sz="4" w:color="D9D9D9"/>
            </w:tcBorders>
          </w:tcPr>
          <w:p>
            <w:pPr>
              <w:spacing w:after="100" w:before="100"/>
            </w:pPr>
            <w:r>
              <w:rPr>
                <w:b w:val="0"/>
                <w:sz w:val="20"/>
              </w:rPr>
              <w:t>customer_id, customer_state</w:t>
            </w:r>
          </w:p>
        </w:tc>
        <w:tc>
          <w:tcPr>
            <w:tcW w:type="dxa" w:w="4032"/>
            <w:shd w:fill="F5F7F9"/>
            <w:tcBorders>
              <w:top w:val="single" w:sz="4" w:color="D9D9D9"/>
              <w:left w:val="single" w:sz="4" w:color="D9D9D9"/>
              <w:bottom w:val="single" w:sz="4" w:color="D9D9D9"/>
              <w:right w:val="single" w:sz="4" w:color="D9D9D9"/>
            </w:tcBorders>
          </w:tcPr>
          <w:p>
            <w:pPr>
              <w:spacing w:after="100" w:before="100"/>
            </w:pPr>
            <w:r>
              <w:rPr>
                <w:b w:val="0"/>
                <w:sz w:val="20"/>
              </w:rPr>
              <w:t>Validate one row per customer_id; merge many orders to one customer record.</w:t>
            </w:r>
          </w:p>
        </w:tc>
      </w:tr>
      <w:tr>
        <w:trPr>
          <w:cantSplit/>
        </w:trPr>
        <w:tc>
          <w:tcPr>
            <w:tcW w:type="dxa" w:w="1872"/>
            <w:shd w:fill="FFFFFF"/>
            <w:tcBorders>
              <w:top w:val="single" w:sz="4" w:color="D9D9D9"/>
              <w:left w:val="single" w:sz="4" w:color="D9D9D9"/>
              <w:bottom w:val="single" w:sz="4" w:color="D9D9D9"/>
              <w:right w:val="single" w:sz="4" w:color="D9D9D9"/>
            </w:tcBorders>
          </w:tcPr>
          <w:p>
            <w:pPr>
              <w:spacing w:after="100" w:before="100"/>
            </w:pPr>
            <w:r>
              <w:rPr>
                <w:b w:val="0"/>
                <w:sz w:val="20"/>
              </w:rPr>
              <w:t>Items and products</w:t>
            </w:r>
          </w:p>
        </w:tc>
        <w:tc>
          <w:tcPr>
            <w:tcW w:type="dxa" w:w="4032"/>
            <w:shd w:fill="FFFFFF"/>
            <w:tcBorders>
              <w:top w:val="single" w:sz="4" w:color="D9D9D9"/>
              <w:left w:val="single" w:sz="4" w:color="D9D9D9"/>
              <w:bottom w:val="single" w:sz="4" w:color="D9D9D9"/>
              <w:right w:val="single" w:sz="4" w:color="D9D9D9"/>
            </w:tcBorders>
          </w:tcPr>
          <w:p>
            <w:pPr>
              <w:spacing w:after="100" w:before="100"/>
            </w:pPr>
            <w:r>
              <w:rPr>
                <w:b w:val="0"/>
                <w:sz w:val="20"/>
              </w:rPr>
              <w:t>order_id, seller_id, product_id, freight_value, product dimensions</w:t>
            </w:r>
          </w:p>
        </w:tc>
        <w:tc>
          <w:tcPr>
            <w:tcW w:type="dxa" w:w="4032"/>
            <w:shd w:fill="FFFFFF"/>
            <w:tcBorders>
              <w:top w:val="single" w:sz="4" w:color="D9D9D9"/>
              <w:left w:val="single" w:sz="4" w:color="D9D9D9"/>
              <w:bottom w:val="single" w:sz="4" w:color="D9D9D9"/>
              <w:right w:val="single" w:sz="4" w:color="D9D9D9"/>
            </w:tcBorders>
          </w:tcPr>
          <w:p>
            <w:pPr>
              <w:spacing w:after="100" w:before="100"/>
            </w:pPr>
            <w:r>
              <w:rPr>
                <w:b w:val="0"/>
                <w:sz w:val="20"/>
              </w:rPr>
              <w:t>Optional: aggregate items per order before merging; keep monetary charges separate from internal costs.</w:t>
            </w:r>
          </w:p>
        </w:tc>
      </w:tr>
      <w:tr>
        <w:trPr>
          <w:cantSplit/>
        </w:trPr>
        <w:tc>
          <w:tcPr>
            <w:tcW w:type="dxa" w:w="1872"/>
            <w:shd w:fill="F5F7F9"/>
            <w:tcBorders>
              <w:top w:val="single" w:sz="4" w:color="D9D9D9"/>
              <w:left w:val="single" w:sz="4" w:color="D9D9D9"/>
              <w:bottom w:val="single" w:sz="4" w:color="D9D9D9"/>
              <w:right w:val="single" w:sz="4" w:color="D9D9D9"/>
            </w:tcBorders>
          </w:tcPr>
          <w:p>
            <w:pPr>
              <w:spacing w:after="100" w:before="100"/>
            </w:pPr>
            <w:r>
              <w:rPr>
                <w:b w:val="0"/>
                <w:sz w:val="20"/>
              </w:rPr>
              <w:t>Geolocation</w:t>
            </w:r>
          </w:p>
        </w:tc>
        <w:tc>
          <w:tcPr>
            <w:tcW w:type="dxa" w:w="4032"/>
            <w:shd w:fill="F5F7F9"/>
            <w:tcBorders>
              <w:top w:val="single" w:sz="4" w:color="D9D9D9"/>
              <w:left w:val="single" w:sz="4" w:color="D9D9D9"/>
              <w:bottom w:val="single" w:sz="4" w:color="D9D9D9"/>
              <w:right w:val="single" w:sz="4" w:color="D9D9D9"/>
            </w:tcBorders>
          </w:tcPr>
          <w:p>
            <w:pPr>
              <w:spacing w:after="100" w:before="100"/>
            </w:pPr>
            <w:r>
              <w:rPr>
                <w:b w:val="0"/>
                <w:sz w:val="20"/>
              </w:rPr>
              <w:t>Postal prefix and coordinates</w:t>
            </w:r>
          </w:p>
        </w:tc>
        <w:tc>
          <w:tcPr>
            <w:tcW w:type="dxa" w:w="4032"/>
            <w:shd w:fill="F5F7F9"/>
            <w:tcBorders>
              <w:top w:val="single" w:sz="4" w:color="D9D9D9"/>
              <w:left w:val="single" w:sz="4" w:color="D9D9D9"/>
              <w:bottom w:val="single" w:sz="4" w:color="D9D9D9"/>
              <w:right w:val="single" w:sz="4" w:color="D9D9D9"/>
            </w:tcBorders>
          </w:tcPr>
          <w:p>
            <w:pPr>
              <w:spacing w:after="100" w:before="100"/>
            </w:pPr>
            <w:r>
              <w:rPr>
                <w:b w:val="0"/>
                <w:sz w:val="20"/>
              </w:rPr>
              <w:t>Optional: resolve repeated prefixes before joining; coordinates are approximate, not road routes.</w:t>
            </w:r>
          </w:p>
        </w:tc>
      </w:tr>
    </w:tbl>
    <w:p>
      <w:pPr>
        <w:pStyle w:val="Heading2"/>
      </w:pPr>
      <w:r>
        <w:t>Access and quality controls</w:t>
      </w:r>
    </w:p>
    <w:p>
      <w:r>
        <w:t>Download the source CSVs manually, retain an unchanged local copy, and record the source, retrieval date, file hashes and package versions. Exclude raw datasets and customer identifiers from GitHub. Keep a data dictionary and a join audit showing row counts before and after each merge. No external weather or traffic data will be added without compatible dates, coverage and access rights.</w:t>
      </w:r>
    </w:p>
    <w:p>
      <w:r>
        <w:br w:type="page"/>
      </w:r>
    </w:p>
    <w:p>
      <w:pPr>
        <w:pStyle w:val="Heading1"/>
      </w:pPr>
      <w:r>
        <w:t>4 Analytical methods</w:t>
      </w:r>
    </w:p>
    <w:p>
      <w:pPr>
        <w:pStyle w:val="Heading2"/>
      </w:pPr>
      <w:r>
        <w:t>Exploratory analysis</w:t>
      </w:r>
    </w:p>
    <w:p>
      <w:r>
        <w:t>Use pandas for summaries and Matplotlib or Seaborn for charts. Plot monthly order counts and on-time rates, the distribution of fulfilment days, and regional median and 90th percentile durations. Where carrier-handoff timestamps exist, separate purchase-to-handoff from handoff-to-delivery time to locate the stage associated with delay.</w:t>
      </w:r>
    </w:p>
    <w:p>
      <w:r>
        <w:t>Investigate missing dates, canceled orders, very long durations and small regional samples. Keep genuine long delays in the service analysis; quarantine only records with documented errors. Associations may reflect distance, seller mix or seasonal demand, so avoid causal conclusions from a chart alone.</w:t>
      </w:r>
    </w:p>
    <w:p>
      <w:pPr>
        <w:pStyle w:val="Heading2"/>
      </w:pPr>
      <w:r>
        <w:t>Regression for delivery duration</w:t>
      </w:r>
    </w:p>
    <w:p>
      <w:r>
        <w:t>Predict purchase-to-delivery days using fields available at purchase. Compare a training-set median baseline, the promised-duration baseline, a linear model and a random forest. The random forest can capture nonlinear relationships but requires a check for overfitting [3]. Use regional error breakdowns and prediction ranges before using estimates to change customer promises.</w:t>
      </w:r>
    </w:p>
    <w:p>
      <w:pPr>
        <w:pStyle w:val="Heading2"/>
      </w:pPr>
      <w:r>
        <w:t>Clustering for regional investigation</w:t>
      </w:r>
    </w:p>
    <w:p>
      <w:r>
        <w:t>An optional K-means analysis can group regions by training-period order volume, median duration and on-time rate. Standardize these variables first, explore a small number of cluster counts and inspect stability and silhouette scores. K-means favours compact groups and is sensitive to scale and outliers [4]; clusters are exploratory profiles, not proof of distinct operational causes.</w:t>
      </w:r>
    </w:p>
    <w:p>
      <w:pPr>
        <w:pStyle w:val="Heading2"/>
      </w:pPr>
      <w:r>
        <w:t>Optimization for a later pilot</w:t>
      </w:r>
    </w:p>
    <w:p>
      <w:r>
        <w:t>Once exact stops, depot location, travel times, service times, parcel demand, vehicle capacities and working hours are available, formulate a vehicle-routing problem. Minimize total travel time while visiting each stop once, respecting capacity and time windows, and returning vehicles to the depot. OR-Tools can express time-window constraints [5].</w:t>
      </w:r>
    </w:p>
    <w:p>
      <w:r>
        <w:t>Compare a feasible manual or nearest-neighbour plan with the optimized plan using identical stops and constraints. Report travel time, missed windows, vehicle use and unserved stops. Use clearly labelled synthetic inputs for early demonstrations. Report infeasibility instead of silently dropping stops; a short solver run may find a useful feasible plan without proving optimality [6].</w:t>
      </w:r>
    </w:p>
    <w:p>
      <w:pPr>
        <w:pStyle w:val="Heading2"/>
      </w:pPr>
      <w:r>
        <w:t>Feasibility</w:t>
      </w:r>
    </w:p>
    <w:p>
      <w:r>
        <w:t>Start with pandas and scikit-learn on a normal student laptop. Keep the model small and process only required columns. Deep learning is unnecessary for this initial tabular problem. Estimated costs and routing savings remain unquantified until suitable data and an operational baseline exist.</w:t>
      </w:r>
    </w:p>
    <w:p>
      <w:r>
        <w:br w:type="page"/>
      </w:r>
    </w:p>
    <w:p>
      <w:pPr>
        <w:pStyle w:val="Heading1"/>
      </w:pPr>
      <w:r>
        <w:t>5 Strategic roadmap and evaluation</w:t>
      </w:r>
    </w:p>
    <w:tbl>
      <w:tblPr>
        <w:tblW w:type="auto" w:w="0"/>
        <w:tblLayout w:type="fixed"/>
        <w:tblLook w:firstColumn="1" w:firstRow="1" w:lastColumn="0" w:lastRow="0" w:noHBand="0" w:noVBand="1" w:val="04A0"/>
      </w:tblPr>
      <w:tblGrid>
        <w:gridCol w:w="1800"/>
        <w:gridCol w:w="4752"/>
        <w:gridCol w:w="3384"/>
      </w:tblGrid>
      <w:tr>
        <w:trPr>
          <w:cantSplit/>
          <w:tblHeader/>
        </w:trPr>
        <w:tc>
          <w:tcPr>
            <w:tcW w:type="dxa" w:w="1800"/>
            <w:shd w:fill="DDE6EF"/>
            <w:tcBorders>
              <w:top w:val="single" w:sz="4" w:color="D9D9D9"/>
              <w:left w:val="single" w:sz="4" w:color="D9D9D9"/>
              <w:bottom w:val="single" w:sz="4" w:color="D9D9D9"/>
              <w:right w:val="single" w:sz="4" w:color="D9D9D9"/>
            </w:tcBorders>
          </w:tcPr>
          <w:p>
            <w:pPr>
              <w:spacing w:after="100" w:before="100"/>
            </w:pPr>
            <w:r>
              <w:rPr>
                <w:b/>
                <w:sz w:val="20"/>
              </w:rPr>
              <w:t>Stage</w:t>
            </w:r>
          </w:p>
        </w:tc>
        <w:tc>
          <w:tcPr>
            <w:tcW w:type="dxa" w:w="4752"/>
            <w:shd w:fill="DDE6EF"/>
            <w:tcBorders>
              <w:top w:val="single" w:sz="4" w:color="D9D9D9"/>
              <w:left w:val="single" w:sz="4" w:color="D9D9D9"/>
              <w:bottom w:val="single" w:sz="4" w:color="D9D9D9"/>
              <w:right w:val="single" w:sz="4" w:color="D9D9D9"/>
            </w:tcBorders>
          </w:tcPr>
          <w:p>
            <w:pPr>
              <w:spacing w:after="100" w:before="100"/>
            </w:pPr>
            <w:r>
              <w:rPr>
                <w:b/>
                <w:sz w:val="20"/>
              </w:rPr>
              <w:t>Work and deliverable</w:t>
            </w:r>
          </w:p>
        </w:tc>
        <w:tc>
          <w:tcPr>
            <w:tcW w:type="dxa" w:w="3384"/>
            <w:shd w:fill="DDE6EF"/>
            <w:tcBorders>
              <w:top w:val="single" w:sz="4" w:color="D9D9D9"/>
              <w:left w:val="single" w:sz="4" w:color="D9D9D9"/>
              <w:bottom w:val="single" w:sz="4" w:color="D9D9D9"/>
              <w:right w:val="single" w:sz="4" w:color="D9D9D9"/>
            </w:tcBorders>
          </w:tcPr>
          <w:p>
            <w:pPr>
              <w:spacing w:after="100" w:before="100"/>
            </w:pPr>
            <w:r>
              <w:rPr>
                <w:b/>
                <w:sz w:val="20"/>
              </w:rPr>
              <w:t>Completion gate</w:t>
            </w:r>
          </w:p>
        </w:tc>
      </w:tr>
      <w:tr>
        <w:trPr>
          <w:cantSplit/>
        </w:trPr>
        <w:tc>
          <w:tcPr>
            <w:tcW w:type="dxa" w:w="1800"/>
            <w:shd w:fill="FFFFFF"/>
            <w:tcBorders>
              <w:top w:val="single" w:sz="4" w:color="D9D9D9"/>
              <w:left w:val="single" w:sz="4" w:color="D9D9D9"/>
              <w:bottom w:val="single" w:sz="4" w:color="D9D9D9"/>
              <w:right w:val="single" w:sz="4" w:color="D9D9D9"/>
            </w:tcBorders>
          </w:tcPr>
          <w:p>
            <w:pPr>
              <w:spacing w:after="100" w:before="100"/>
            </w:pPr>
            <w:r>
              <w:rPr>
                <w:b w:val="0"/>
                <w:sz w:val="20"/>
              </w:rPr>
              <w:t>Week 1</w:t>
              <w:br/>
              <w:t>Plan</w:t>
            </w:r>
          </w:p>
        </w:tc>
        <w:tc>
          <w:tcPr>
            <w:tcW w:type="dxa" w:w="4752"/>
            <w:shd w:fill="FFFFFF"/>
            <w:tcBorders>
              <w:top w:val="single" w:sz="4" w:color="D9D9D9"/>
              <w:left w:val="single" w:sz="4" w:color="D9D9D9"/>
              <w:bottom w:val="single" w:sz="4" w:color="D9D9D9"/>
              <w:right w:val="single" w:sz="4" w:color="D9D9D9"/>
            </w:tcBorders>
          </w:tcPr>
          <w:p>
            <w:pPr>
              <w:spacing w:after="100" w:before="100"/>
            </w:pPr>
            <w:r>
              <w:rPr>
                <w:b w:val="0"/>
                <w:sz w:val="20"/>
              </w:rPr>
              <w:t>Finalize scenario, sources, KPIs, data dictionary and code scaffold.</w:t>
            </w:r>
          </w:p>
        </w:tc>
        <w:tc>
          <w:tcPr>
            <w:tcW w:type="dxa" w:w="3384"/>
            <w:shd w:fill="FFFFFF"/>
            <w:tcBorders>
              <w:top w:val="single" w:sz="4" w:color="D9D9D9"/>
              <w:left w:val="single" w:sz="4" w:color="D9D9D9"/>
              <w:bottom w:val="single" w:sz="4" w:color="D9D9D9"/>
              <w:right w:val="single" w:sz="4" w:color="D9D9D9"/>
            </w:tcBorders>
          </w:tcPr>
          <w:p>
            <w:pPr>
              <w:spacing w:after="100" w:before="100"/>
            </w:pPr>
            <w:r>
              <w:rPr>
                <w:b w:val="0"/>
                <w:sz w:val="20"/>
              </w:rPr>
              <w:t>Report and actual GitHub URL ready for submission.</w:t>
            </w:r>
          </w:p>
        </w:tc>
      </w:tr>
      <w:tr>
        <w:trPr>
          <w:cantSplit/>
        </w:trPr>
        <w:tc>
          <w:tcPr>
            <w:tcW w:type="dxa" w:w="1800"/>
            <w:shd w:fill="F5F7F9"/>
            <w:tcBorders>
              <w:top w:val="single" w:sz="4" w:color="D9D9D9"/>
              <w:left w:val="single" w:sz="4" w:color="D9D9D9"/>
              <w:bottom w:val="single" w:sz="4" w:color="D9D9D9"/>
              <w:right w:val="single" w:sz="4" w:color="D9D9D9"/>
            </w:tcBorders>
          </w:tcPr>
          <w:p>
            <w:pPr>
              <w:spacing w:after="100" w:before="100"/>
            </w:pPr>
            <w:r>
              <w:rPr>
                <w:b w:val="0"/>
                <w:sz w:val="20"/>
              </w:rPr>
              <w:t>Week 2</w:t>
              <w:br/>
              <w:t>Audit and explore</w:t>
            </w:r>
          </w:p>
        </w:tc>
        <w:tc>
          <w:tcPr>
            <w:tcW w:type="dxa" w:w="4752"/>
            <w:shd w:fill="F5F7F9"/>
            <w:tcBorders>
              <w:top w:val="single" w:sz="4" w:color="D9D9D9"/>
              <w:left w:val="single" w:sz="4" w:color="D9D9D9"/>
              <w:bottom w:val="single" w:sz="4" w:color="D9D9D9"/>
              <w:right w:val="single" w:sz="4" w:color="D9D9D9"/>
            </w:tcBorders>
          </w:tcPr>
          <w:p>
            <w:pPr>
              <w:spacing w:after="100" w:before="100"/>
            </w:pPr>
            <w:r>
              <w:rPr>
                <w:b w:val="0"/>
                <w:sz w:val="20"/>
              </w:rPr>
              <w:t>Acquire data; validate joins and timestamps; create KPI tables and charts.</w:t>
            </w:r>
          </w:p>
        </w:tc>
        <w:tc>
          <w:tcPr>
            <w:tcW w:type="dxa" w:w="3384"/>
            <w:shd w:fill="F5F7F9"/>
            <w:tcBorders>
              <w:top w:val="single" w:sz="4" w:color="D9D9D9"/>
              <w:left w:val="single" w:sz="4" w:color="D9D9D9"/>
              <w:bottom w:val="single" w:sz="4" w:color="D9D9D9"/>
              <w:right w:val="single" w:sz="4" w:color="D9D9D9"/>
            </w:tcBorders>
          </w:tcPr>
          <w:p>
            <w:pPr>
              <w:spacing w:after="100" w:before="100"/>
            </w:pPr>
            <w:r>
              <w:rPr>
                <w:b w:val="0"/>
                <w:sz w:val="20"/>
              </w:rPr>
              <w:t>Document exclusions and reliable baseline counts.</w:t>
            </w:r>
          </w:p>
        </w:tc>
      </w:tr>
      <w:tr>
        <w:trPr>
          <w:cantSplit/>
        </w:trPr>
        <w:tc>
          <w:tcPr>
            <w:tcW w:type="dxa" w:w="1800"/>
            <w:shd w:fill="FFFFFF"/>
            <w:tcBorders>
              <w:top w:val="single" w:sz="4" w:color="D9D9D9"/>
              <w:left w:val="single" w:sz="4" w:color="D9D9D9"/>
              <w:bottom w:val="single" w:sz="4" w:color="D9D9D9"/>
              <w:right w:val="single" w:sz="4" w:color="D9D9D9"/>
            </w:tcBorders>
          </w:tcPr>
          <w:p>
            <w:pPr>
              <w:spacing w:after="100" w:before="100"/>
            </w:pPr>
            <w:r>
              <w:rPr>
                <w:b w:val="0"/>
                <w:sz w:val="20"/>
              </w:rPr>
              <w:t>Week 3</w:t>
              <w:br/>
              <w:t>Model</w:t>
            </w:r>
          </w:p>
        </w:tc>
        <w:tc>
          <w:tcPr>
            <w:tcW w:type="dxa" w:w="4752"/>
            <w:shd w:fill="FFFFFF"/>
            <w:tcBorders>
              <w:top w:val="single" w:sz="4" w:color="D9D9D9"/>
              <w:left w:val="single" w:sz="4" w:color="D9D9D9"/>
              <w:bottom w:val="single" w:sz="4" w:color="D9D9D9"/>
              <w:right w:val="single" w:sz="4" w:color="D9D9D9"/>
            </w:tcBorders>
          </w:tcPr>
          <w:p>
            <w:pPr>
              <w:spacing w:after="100" w:before="100"/>
            </w:pPr>
            <w:r>
              <w:rPr>
                <w:b w:val="0"/>
                <w:sz w:val="20"/>
              </w:rPr>
              <w:t>Build time splits, baselines and regression pipeline; examine regional errors.</w:t>
            </w:r>
          </w:p>
        </w:tc>
        <w:tc>
          <w:tcPr>
            <w:tcW w:type="dxa" w:w="3384"/>
            <w:shd w:fill="FFFFFF"/>
            <w:tcBorders>
              <w:top w:val="single" w:sz="4" w:color="D9D9D9"/>
              <w:left w:val="single" w:sz="4" w:color="D9D9D9"/>
              <w:bottom w:val="single" w:sz="4" w:color="D9D9D9"/>
              <w:right w:val="single" w:sz="4" w:color="D9D9D9"/>
            </w:tcBorders>
          </w:tcPr>
          <w:p>
            <w:pPr>
              <w:spacing w:after="100" w:before="100"/>
            </w:pPr>
            <w:r>
              <w:rPr>
                <w:b w:val="0"/>
                <w:sz w:val="20"/>
              </w:rPr>
              <w:t>Model evaluated on unseen later orders.</w:t>
            </w:r>
          </w:p>
        </w:tc>
      </w:tr>
      <w:tr>
        <w:trPr>
          <w:cantSplit/>
        </w:trPr>
        <w:tc>
          <w:tcPr>
            <w:tcW w:type="dxa" w:w="1800"/>
            <w:shd w:fill="F5F7F9"/>
            <w:tcBorders>
              <w:top w:val="single" w:sz="4" w:color="D9D9D9"/>
              <w:left w:val="single" w:sz="4" w:color="D9D9D9"/>
              <w:bottom w:val="single" w:sz="4" w:color="D9D9D9"/>
              <w:right w:val="single" w:sz="4" w:color="D9D9D9"/>
            </w:tcBorders>
          </w:tcPr>
          <w:p>
            <w:pPr>
              <w:spacing w:after="100" w:before="100"/>
            </w:pPr>
            <w:r>
              <w:rPr>
                <w:b w:val="0"/>
                <w:sz w:val="20"/>
              </w:rPr>
              <w:t>Week 4</w:t>
              <w:br/>
              <w:t>Recommend</w:t>
            </w:r>
          </w:p>
        </w:tc>
        <w:tc>
          <w:tcPr>
            <w:tcW w:type="dxa" w:w="4752"/>
            <w:shd w:fill="F5F7F9"/>
            <w:tcBorders>
              <w:top w:val="single" w:sz="4" w:color="D9D9D9"/>
              <w:left w:val="single" w:sz="4" w:color="D9D9D9"/>
              <w:bottom w:val="single" w:sz="4" w:color="D9D9D9"/>
              <w:right w:val="single" w:sz="4" w:color="D9D9D9"/>
            </w:tcBorders>
          </w:tcPr>
          <w:p>
            <w:pPr>
              <w:spacing w:after="100" w:before="100"/>
            </w:pPr>
            <w:r>
              <w:rPr>
                <w:b w:val="0"/>
                <w:sz w:val="20"/>
              </w:rPr>
              <w:t>Translate patterns into staffing and follow-up proposals; assess optional clustering.</w:t>
            </w:r>
          </w:p>
        </w:tc>
        <w:tc>
          <w:tcPr>
            <w:tcW w:type="dxa" w:w="3384"/>
            <w:shd w:fill="F5F7F9"/>
            <w:tcBorders>
              <w:top w:val="single" w:sz="4" w:color="D9D9D9"/>
              <w:left w:val="single" w:sz="4" w:color="D9D9D9"/>
              <w:bottom w:val="single" w:sz="4" w:color="D9D9D9"/>
              <w:right w:val="single" w:sz="4" w:color="D9D9D9"/>
            </w:tcBorders>
          </w:tcPr>
          <w:p>
            <w:pPr>
              <w:spacing w:after="100" w:before="100"/>
            </w:pPr>
            <w:r>
              <w:rPr>
                <w:b w:val="0"/>
                <w:sz w:val="20"/>
              </w:rPr>
              <w:t>Operational owner checks feasibility and data gaps.</w:t>
            </w:r>
          </w:p>
        </w:tc>
      </w:tr>
      <w:tr>
        <w:trPr>
          <w:cantSplit/>
        </w:trPr>
        <w:tc>
          <w:tcPr>
            <w:tcW w:type="dxa" w:w="1800"/>
            <w:shd w:fill="FFFFFF"/>
            <w:tcBorders>
              <w:top w:val="single" w:sz="4" w:color="D9D9D9"/>
              <w:left w:val="single" w:sz="4" w:color="D9D9D9"/>
              <w:bottom w:val="single" w:sz="4" w:color="D9D9D9"/>
              <w:right w:val="single" w:sz="4" w:color="D9D9D9"/>
            </w:tcBorders>
          </w:tcPr>
          <w:p>
            <w:pPr>
              <w:spacing w:after="100" w:before="100"/>
            </w:pPr>
            <w:r>
              <w:rPr>
                <w:b w:val="0"/>
                <w:sz w:val="20"/>
              </w:rPr>
              <w:t>Later pilot</w:t>
            </w:r>
          </w:p>
        </w:tc>
        <w:tc>
          <w:tcPr>
            <w:tcW w:type="dxa" w:w="4752"/>
            <w:shd w:fill="FFFFFF"/>
            <w:tcBorders>
              <w:top w:val="single" w:sz="4" w:color="D9D9D9"/>
              <w:left w:val="single" w:sz="4" w:color="D9D9D9"/>
              <w:bottom w:val="single" w:sz="4" w:color="D9D9D9"/>
              <w:right w:val="single" w:sz="4" w:color="D9D9D9"/>
            </w:tcBorders>
          </w:tcPr>
          <w:p>
            <w:pPr>
              <w:spacing w:after="100" w:before="100"/>
            </w:pPr>
            <w:r>
              <w:rPr>
                <w:b w:val="0"/>
                <w:sz w:val="20"/>
              </w:rPr>
              <w:t>Run a limited controlled intervention and monitor service and costs.</w:t>
            </w:r>
          </w:p>
        </w:tc>
        <w:tc>
          <w:tcPr>
            <w:tcW w:type="dxa" w:w="3384"/>
            <w:shd w:fill="FFFFFF"/>
            <w:tcBorders>
              <w:top w:val="single" w:sz="4" w:color="D9D9D9"/>
              <w:left w:val="single" w:sz="4" w:color="D9D9D9"/>
              <w:bottom w:val="single" w:sz="4" w:color="D9D9D9"/>
              <w:right w:val="single" w:sz="4" w:color="D9D9D9"/>
            </w:tcBorders>
          </w:tcPr>
          <w:p>
            <w:pPr>
              <w:spacing w:after="100" w:before="100"/>
            </w:pPr>
            <w:r>
              <w:rPr>
                <w:b w:val="0"/>
                <w:sz w:val="20"/>
              </w:rPr>
              <w:t>Evidence supports adoption, revision or stopping.</w:t>
            </w:r>
          </w:p>
        </w:tc>
      </w:tr>
    </w:tbl>
    <w:p>
      <w:pPr>
        <w:pStyle w:val="Heading2"/>
      </w:pPr>
      <w:r>
        <w:t>Validation design</w:t>
      </w:r>
    </w:p>
    <w:p>
      <w:r>
        <w:t>Use chronological training, validation and test purchase windows. At each training cutoff, include only delivery outcomes already known at that time. Tune models on rolling validation windows, then freeze all choices before the final holdout. The supplied script illustrates a fixed holdout from May through June 2018; a full study must verify adequate outcome follow-up and inspect end-of-dataset censoring.</w:t>
      </w:r>
    </w:p>
    <w:p>
      <w:r>
        <w:t>Report mean absolute error in days against both baselines. A proposed technical gate is at least 10% lower MAE than the better baseline, without a material deterioration in adequately sampled regions. This is an acceptance target, not an achieved score. Add weekly block bootstrap intervals and inspect the worst errors in the full analysis.</w:t>
      </w:r>
    </w:p>
    <w:p>
      <w:r>
        <w:t>The completed-order model estimates duration conditional on eventual recorded delivery. It cannot establish the probability of cancellation or eventual delivery. Maintain a separate open-order monitoring process and report excluded statuses to avoid presenting an overly favourable service picture.</w:t>
      </w:r>
    </w:p>
    <w:p>
      <w:pPr>
        <w:pStyle w:val="Heading2"/>
      </w:pPr>
      <w:r>
        <w:t>Pilot and ownership</w:t>
      </w:r>
    </w:p>
    <w:p>
      <w:r>
        <w:t>The analyst owns data checks and evaluation; an operations supervisor reviews recommendations. Randomly assign comparable eligible orders or operational units to intervention and control where feasible. Predefine the pilot duration and sample-size requirement using baseline variability. Measure service, overdue orders and cost together; before-and-after changes alone may reflect seasonality.</w:t>
      </w:r>
    </w:p>
    <w:p>
      <w:r>
        <w:t>After adoption, monitor data completeness, weekly KPI movement, error by region and prediction drift. Review monthly and retrain only after drift or performance evidence warrants it. Keep a manual fallback and log decisions and overrides.</w:t>
      </w:r>
    </w:p>
    <w:p>
      <w:r>
        <w:br w:type="page"/>
      </w:r>
    </w:p>
    <w:p>
      <w:pPr>
        <w:pStyle w:val="Heading1"/>
      </w:pPr>
      <w:r>
        <w:t>6 Python illustrations</w:t>
      </w:r>
    </w:p>
    <w:p>
      <w:r>
        <w:t>The accompanying analysis.py contains the executable starting pipeline. It reads two Olist CSVs, audits records, calculates KPIs and compares a small regression model with baselines. The excerpts below explain the main steps. Full execution on Olist remains pending; no measured dataset result is included.</w:t>
      </w:r>
    </w:p>
    <w:p>
      <w:pPr>
        <w:pStyle w:val="Heading2"/>
      </w:pPr>
      <w:r>
        <w:t>Load and join without multiplying orders</w:t>
      </w:r>
    </w:p>
    <w:p>
      <w:pPr>
        <w:spacing w:after="160"/>
      </w:pPr>
      <w:r>
        <w:rPr>
          <w:rFonts w:ascii="DejaVu Sans Mono" w:hAnsi="DejaVu Sans Mono"/>
          <w:sz w:val="18"/>
        </w:rPr>
        <w:t>orders = pd.read_csv("data/olist_orders_dataset.csv")</w:t>
        <w:br/>
        <w:t>customers = pd.read_csv("data/olist_customers_dataset.csv")</w:t>
        <w:br/>
        <w:t>assert orders.order_id.is_unique</w:t>
        <w:br/>
        <w:t>assert customers.customer_id.is_unique</w:t>
        <w:br/>
        <w:t>df = orders.merge(</w:t>
        <w:br/>
        <w:t xml:space="preserve">    customers[["customer_id", "customer_state"]],</w:t>
        <w:br/>
        <w:t xml:space="preserve">    on="customer_id", how="left", validate="many_to_one"</w:t>
        <w:br/>
        <w:t>)</w:t>
      </w:r>
    </w:p>
    <w:p>
      <w:pPr>
        <w:pStyle w:val="Heading2"/>
      </w:pPr>
      <w:r>
        <w:t>Calculate comparable delivery indicators</w:t>
      </w:r>
    </w:p>
    <w:p>
      <w:r>
        <w:t>After parsing dates and filtering eligible records, compare promised and actual calendar dates. Duration uses elapsed time; missing or invalid records must be counted separately.</w:t>
      </w:r>
    </w:p>
    <w:p>
      <w:pPr>
        <w:spacing w:after="160"/>
      </w:pPr>
      <w:r>
        <w:rPr>
          <w:rFonts w:ascii="DejaVu Sans Mono" w:hAnsi="DejaVu Sans Mono"/>
          <w:sz w:val="18"/>
        </w:rPr>
        <w:t>df["delivery_days"] = (</w:t>
        <w:br/>
        <w:t xml:space="preserve">    df.order_delivered_customer_date</w:t>
        <w:br/>
        <w:t xml:space="preserve">    - df.order_purchase_timestamp</w:t>
        <w:br/>
        <w:t>).dt.total_seconds() / 86400</w:t>
        <w:br/>
        <w:t>df["on_time"] = (</w:t>
        <w:br/>
        <w:t xml:space="preserve">    df.order_delivered_customer_date.dt.normalize()</w:t>
        <w:br/>
        <w:t xml:space="preserve">    &lt;= df.order_estimated_delivery_date.dt.normalize()</w:t>
        <w:br/>
        <w:t>)</w:t>
        <w:br/>
        <w:t>on_time_pct = 100 * df.on_time.mean()</w:t>
        <w:br/>
        <w:t>mean_days = df.delivery_days.mean()</w:t>
        <w:br/>
        <w:t>p90_days = df.delivery_days.quantile(0.90)</w:t>
      </w:r>
    </w:p>
    <w:p>
      <w:pPr>
        <w:pStyle w:val="Heading2"/>
      </w:pPr>
      <w:r>
        <w:t>Respect the time when outcomes became known</w:t>
      </w:r>
    </w:p>
    <w:p>
      <w:pPr>
        <w:spacing w:after="160"/>
      </w:pPr>
      <w:r>
        <w:rPr>
          <w:rFonts w:ascii="DejaVu Sans Mono" w:hAnsi="DejaVu Sans Mono"/>
          <w:sz w:val="18"/>
        </w:rPr>
        <w:t>cutoff = pd.Timestamp("2018-05-01")</w:t>
        <w:br/>
        <w:t>train = df[(df.order_purchase_timestamp &lt; cutoff) &amp;</w:t>
        <w:br/>
        <w:t xml:space="preserve">           (df.order_delivered_customer_date &lt; cutoff)]</w:t>
        <w:br/>
        <w:t>test = df[(df.order_purchase_timestamp &gt;= cutoff) &amp;</w:t>
        <w:br/>
        <w:t xml:space="preserve">          (df.order_purchase_timestamp &lt; "2018-07-01")]</w:t>
        <w:br/>
        <w:t># Fit preprocessing and the model on train only.</w:t>
        <w:br/>
        <w:t># Evaluate MAE on test; never tune using final test results.</w:t>
      </w:r>
    </w:p>
    <w:p>
      <w:r>
        <w:t>A pipeline in analysis.py imputes missing predictors, encodes customer state and fits the model. The feature list excludes actual delivery dates, final order status and reviews. The delivered date is used only to construct the target and restrict training-label availability [2].</w:t>
      </w:r>
    </w:p>
    <w:p>
      <w:r>
        <w:br w:type="page"/>
      </w:r>
    </w:p>
    <w:p>
      <w:pPr>
        <w:pStyle w:val="Heading1"/>
      </w:pPr>
      <w:r>
        <w:t>7 Expected outcomes and conclusion</w:t>
      </w:r>
    </w:p>
    <w:p>
      <w:r>
        <w:t>The proposed analysis should produce an auditable delivery baseline, a clear view of regional and seasonal delay patterns, and an honest assessment of whether predictive estimates add value. Managers can use these outputs to investigate fulfilment stages, review promises and prioritize follow-up resources.</w:t>
      </w:r>
    </w:p>
    <w:p>
      <w:r>
        <w:t>A model or route plan creates value only when a feasible operational action improves outcomes. For this reason, the recommendation is to complete data auditing and baseline analysis first, test a small predictive model second, and validate any service or cost improvement through a controlled pilot. Routing and detailed cost optimization remain extensions requiring additional inputs.</w:t>
      </w:r>
    </w:p>
    <w:p>
      <w:pPr>
        <w:pStyle w:val="Heading2"/>
      </w:pPr>
      <w:r>
        <w:t>Code package and submission checklist</w:t>
      </w:r>
    </w:p>
    <w:p>
      <w:r>
        <w:t>The project package includes analysis.py, requirements.txt, README.md, .gitignore and this report. Set up a Python environment, download the source CSVs and follow the README to run the illustration. Review actual outputs before describing any findings in a later submission.</w:t>
      </w:r>
    </w:p>
    <w:p>
      <w:pPr>
        <w:pStyle w:val="ListBullet"/>
      </w:pPr>
      <w:r>
        <w:t>Review the project report and Python illustration in the linked GitHub repository.</w:t>
      </w:r>
    </w:p>
    <w:p>
      <w:pPr>
        <w:pStyle w:val="ListBullet"/>
      </w:pPr>
      <w:r>
        <w:t>Use the repository URL provided on the first page for the technical project submission.</w:t>
      </w:r>
    </w:p>
    <w:p>
      <w:pPr>
        <w:pStyle w:val="ListBullet"/>
      </w:pPr>
      <w:r>
        <w:t>Submit this Word report and paste the same URL into the compulsory technical-project field.</w:t>
      </w:r>
    </w:p>
    <w:p>
      <w:pPr>
        <w:pStyle w:val="Heading2"/>
      </w:pPr>
      <w:r>
        <w:t>References</w:t>
      </w:r>
    </w:p>
    <w:p>
      <w:r>
        <w:rPr>
          <w:sz w:val="18"/>
        </w:rPr>
        <w:t>[1] Olist. Brazilian E Commerce Public Dataset.</w:t>
        <w:br/>
        <w:t>https://www.kaggle.com/datasets/olistbr/brazilian-ecommerce</w:t>
      </w:r>
    </w:p>
    <w:p>
      <w:r>
        <w:rPr>
          <w:sz w:val="18"/>
        </w:rPr>
        <w:t>[2] scikit-learn. Common pitfalls and recommended practices.</w:t>
        <w:br/>
        <w:t>https://scikit-learn.org/stable/common_pitfalls.html</w:t>
      </w:r>
    </w:p>
    <w:p>
      <w:r>
        <w:rPr>
          <w:sz w:val="18"/>
        </w:rPr>
        <w:t>[3] scikit-learn. RandomForestRegressor documentation.</w:t>
        <w:br/>
        <w:t>https://scikit-learn.org/stable/modules/generated/sklearn.ensemble.RandomForestRegressor.html</w:t>
      </w:r>
    </w:p>
    <w:p>
      <w:r>
        <w:rPr>
          <w:sz w:val="18"/>
        </w:rPr>
        <w:t>[4] scikit-learn. Clustering documentation.</w:t>
        <w:br/>
        <w:t>https://scikit-learn.org/stable/modules/clustering.html</w:t>
      </w:r>
    </w:p>
    <w:p>
      <w:r>
        <w:rPr>
          <w:sz w:val="18"/>
        </w:rPr>
        <w:t>[5] Google OR-Tools. Vehicle Routing Problem with Time Windows.</w:t>
        <w:br/>
        <w:t>https://developers.google.com/optimization/routing/vrptw</w:t>
      </w:r>
    </w:p>
    <w:p>
      <w:r>
        <w:rPr>
          <w:sz w:val="18"/>
        </w:rPr>
        <w:t>[6] Google OR-Tools. Vehicle Routing.</w:t>
        <w:br/>
        <w:t>https://developers.google.com/optimization/routing</w:t>
      </w:r>
    </w:p>
    <w:p>
      <w:r>
        <w:t>Sources consulted on 11 September 2026. Source documentation supports dataset selection and method design; proposed targets and workflow choices are the author’s planning assumptions.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 xml:space="preserve">Rishabh Bansal  |  Week 1 Logistics Strategy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