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8D9E" w14:textId="77777777" w:rsidR="00253C88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F21D3F2" w14:textId="77777777" w:rsidR="00253C88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FCCB3D2" w14:textId="77777777" w:rsidR="00253C88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53C88" w14:paraId="5C980D8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4F04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0A1E" w14:textId="1B1C0D02" w:rsidR="00253C88" w:rsidRDefault="007C41C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25 </w:t>
            </w:r>
            <w:r w:rsidR="00000000">
              <w:rPr>
                <w:rFonts w:ascii="Arial" w:eastAsia="Arial" w:hAnsi="Arial" w:cs="Arial"/>
              </w:rPr>
              <w:t>October 202</w:t>
            </w:r>
            <w:r>
              <w:rPr>
                <w:rFonts w:ascii="Arial" w:eastAsia="Arial" w:hAnsi="Arial" w:cs="Arial"/>
              </w:rPr>
              <w:t>3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253C88" w14:paraId="22A26C3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75DF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C6D4" w14:textId="17C0816C" w:rsidR="00253C88" w:rsidRDefault="0073554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1.1</w:t>
            </w:r>
          </w:p>
        </w:tc>
      </w:tr>
      <w:tr w:rsidR="00253C88" w14:paraId="3FED7B7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379E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7B7F" w14:textId="4C0B07B8" w:rsidR="00253C88" w:rsidRDefault="007C41CF">
            <w:pPr>
              <w:spacing w:after="0"/>
              <w:ind w:left="2"/>
            </w:pPr>
            <w:r>
              <w:t>AI-Enhanced Intrusion Detection System</w:t>
            </w:r>
          </w:p>
        </w:tc>
      </w:tr>
      <w:tr w:rsidR="00253C88" w14:paraId="3294764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9D9D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3C8B" w14:textId="77777777" w:rsidR="00253C8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48ACDE7" w14:textId="77777777" w:rsidR="00253C8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C09C24D" w14:textId="77777777" w:rsidR="00253C88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D6FE454" w14:textId="77777777" w:rsidR="00253C88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48975AFC" w14:textId="77777777" w:rsidR="00253C88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718A41BF" w14:textId="77777777" w:rsidR="00253C88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6009322C" w14:textId="77777777" w:rsidR="00253C88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5BD6B081" w14:textId="77777777" w:rsidR="00253C8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98DF7B" wp14:editId="15C23CC4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563E1BA1" w14:textId="77777777" w:rsidR="00253C88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27B6D65E" w14:textId="77777777" w:rsidR="00253C88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2C4A96B0" w14:textId="77777777" w:rsidR="00253C88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44839CCD" w14:textId="77777777" w:rsidR="00253C88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08234D87" w14:textId="77777777" w:rsidR="00253C88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4D61DA7B" w14:textId="77777777" w:rsidR="00253C88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3E07817E" w14:textId="77777777" w:rsidR="00253C8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0FF8C53" w14:textId="77777777" w:rsidR="00253C8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53C88" w14:paraId="7442ADB1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25EB" w14:textId="77777777" w:rsidR="00253C8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7313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7D69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195B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53C88" w14:paraId="61F5358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663F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5DF8" w14:textId="34DAAF4F" w:rsidR="00253C88" w:rsidRDefault="00647C6B">
            <w:pPr>
              <w:spacing w:after="0"/>
            </w:pPr>
            <w:r w:rsidRPr="00647C6B">
              <w:t>Data Sources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E030" w14:textId="53703DB2" w:rsidR="00253C88" w:rsidRPr="00647C6B" w:rsidRDefault="00647C6B">
            <w:pPr>
              <w:spacing w:after="0"/>
              <w:ind w:right="756"/>
            </w:pPr>
            <w:r w:rsidRPr="00647C6B">
              <w:rPr>
                <w:rFonts w:ascii="Arial" w:eastAsia="Arial" w:hAnsi="Arial" w:cs="Arial"/>
              </w:rPr>
              <w:t>Data sources can include network traffic data, system logs, and security event data from various devices. They provide the raw input for intrusion detection.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D43" w14:textId="2E7257B2" w:rsidR="00253C88" w:rsidRDefault="00671347">
            <w:pPr>
              <w:spacing w:after="0"/>
            </w:pPr>
            <w:r w:rsidRPr="00671347">
              <w:t>Network taps, sensors, log collectors, firewall logs, IDS/IPS devices, packet capture tools.</w:t>
            </w:r>
          </w:p>
        </w:tc>
      </w:tr>
      <w:tr w:rsidR="00253C88" w14:paraId="772B9A27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841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668B" w14:textId="7F33460D" w:rsidR="00253C88" w:rsidRDefault="00647C6B">
            <w:pPr>
              <w:spacing w:after="0"/>
            </w:pPr>
            <w:r w:rsidRPr="00647C6B">
              <w:t>Data Processing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AD6D" w14:textId="3F7DAD5A" w:rsidR="00253C88" w:rsidRDefault="00647C6B">
            <w:pPr>
              <w:spacing w:after="0"/>
            </w:pPr>
            <w:r w:rsidRPr="00647C6B">
              <w:t>This component is responsible for ingesting, preprocessing, and normalizing the data to make it suitable for analysis.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FAA7" w14:textId="768C1F98" w:rsidR="00253C88" w:rsidRDefault="00671347">
            <w:pPr>
              <w:spacing w:after="0"/>
            </w:pPr>
            <w:r w:rsidRPr="00671347">
              <w:t xml:space="preserve">Apache Kafka, Logstash, </w:t>
            </w:r>
            <w:proofErr w:type="spellStart"/>
            <w:r w:rsidRPr="00671347">
              <w:t>Fluentd</w:t>
            </w:r>
            <w:proofErr w:type="spellEnd"/>
            <w:r w:rsidRPr="00671347">
              <w:t>, data normalization scripts.</w:t>
            </w:r>
          </w:p>
        </w:tc>
      </w:tr>
      <w:tr w:rsidR="00253C88" w14:paraId="37BD0EF7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C0EE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408D" w14:textId="406739DC" w:rsidR="00253C88" w:rsidRDefault="00647C6B">
            <w:pPr>
              <w:spacing w:after="0"/>
            </w:pPr>
            <w:r w:rsidRPr="00647C6B">
              <w:t>Data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561C" w14:textId="68BDF34A" w:rsidR="00253C88" w:rsidRDefault="00647C6B">
            <w:pPr>
              <w:spacing w:after="0"/>
            </w:pPr>
            <w:r w:rsidRPr="00647C6B">
              <w:t xml:space="preserve">A central repository for storing </w:t>
            </w:r>
            <w:r w:rsidRPr="00647C6B">
              <w:t>pre-processed</w:t>
            </w:r>
            <w:r w:rsidRPr="00647C6B">
              <w:t xml:space="preserve"> data, enabling historical analysis and real-time access.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57CC" w14:textId="34CE9468" w:rsidR="00253C88" w:rsidRDefault="00671347">
            <w:pPr>
              <w:spacing w:after="0"/>
            </w:pPr>
            <w:r w:rsidRPr="00671347">
              <w:t>Elasticsearch, Hadoop HDFS, AWS S3, SQL/NoSQL databases.</w:t>
            </w:r>
          </w:p>
        </w:tc>
      </w:tr>
      <w:tr w:rsidR="00253C88" w14:paraId="775DCEF5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FC1C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AAF8" w14:textId="7252F546" w:rsidR="00253C88" w:rsidRDefault="00647C6B">
            <w:pPr>
              <w:spacing w:after="0"/>
            </w:pPr>
            <w:r w:rsidRPr="00647C6B"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BC0B" w14:textId="1EFD57BA" w:rsidR="00253C88" w:rsidRDefault="00647C6B">
            <w:pPr>
              <w:spacing w:after="0"/>
            </w:pPr>
            <w:r w:rsidRPr="00647C6B">
              <w:t>Machine learning models are used to identify anomalies and potential intrusions by learning from historical data.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C492" w14:textId="30BB6354" w:rsidR="00253C88" w:rsidRDefault="00671347">
            <w:pPr>
              <w:spacing w:after="0"/>
            </w:pPr>
            <w:r w:rsidRPr="00671347">
              <w:t xml:space="preserve">Python (Scikit-Learn, TensorFlow, </w:t>
            </w:r>
            <w:proofErr w:type="spellStart"/>
            <w:r w:rsidRPr="00671347">
              <w:t>PyTorch</w:t>
            </w:r>
            <w:proofErr w:type="spellEnd"/>
            <w:r w:rsidRPr="00671347">
              <w:t xml:space="preserve">), </w:t>
            </w:r>
            <w:proofErr w:type="spellStart"/>
            <w:r w:rsidRPr="00671347">
              <w:t>Jupyter</w:t>
            </w:r>
            <w:proofErr w:type="spellEnd"/>
            <w:r w:rsidRPr="00671347">
              <w:t xml:space="preserve"> Notebooks, GPU for deep learning.</w:t>
            </w:r>
          </w:p>
        </w:tc>
      </w:tr>
      <w:tr w:rsidR="00253C88" w14:paraId="5E82012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7680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031E" w14:textId="0C2B2DAC" w:rsidR="00253C88" w:rsidRDefault="00647C6B">
            <w:pPr>
              <w:spacing w:after="0"/>
            </w:pPr>
            <w:r w:rsidRPr="00647C6B">
              <w:t>Intrusion Detection Rules Engine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379F" w14:textId="508C9218" w:rsidR="00253C88" w:rsidRDefault="00647C6B">
            <w:pPr>
              <w:spacing w:after="0"/>
            </w:pPr>
            <w:r w:rsidRPr="00647C6B">
              <w:t>This component includes predefined rules and signatures for known attack patterns, aiding in signature-based detection.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7833" w14:textId="782A23FE" w:rsidR="00253C88" w:rsidRDefault="00671347">
            <w:pPr>
              <w:spacing w:after="0"/>
            </w:pPr>
            <w:r w:rsidRPr="00671347">
              <w:t>Snort, Suricata, YARA rules, custom signatures.</w:t>
            </w:r>
          </w:p>
        </w:tc>
      </w:tr>
      <w:tr w:rsidR="00253C88" w14:paraId="2368D8A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780F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9C16" w14:textId="14574691" w:rsidR="00253C88" w:rsidRDefault="00647C6B">
            <w:pPr>
              <w:spacing w:after="0"/>
            </w:pPr>
            <w:r w:rsidRPr="00647C6B">
              <w:t>Real-Time Analysis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BA27" w14:textId="355ADC33" w:rsidR="00253C88" w:rsidRDefault="00647C6B">
            <w:pPr>
              <w:spacing w:after="0"/>
            </w:pPr>
            <w:r w:rsidRPr="00647C6B">
              <w:t>This is where machine learning models and intrusion detection rules are applied to the data for real-time analysis.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52EA" w14:textId="4CC10C01" w:rsidR="00253C88" w:rsidRDefault="00671347">
            <w:pPr>
              <w:spacing w:after="0"/>
            </w:pPr>
            <w:r w:rsidRPr="00671347">
              <w:t>Real-time stream processing frameworks (e.g., Apache Flink, Apache Kafka Streams), Python for rule execution.</w:t>
            </w:r>
          </w:p>
        </w:tc>
      </w:tr>
      <w:tr w:rsidR="00253C88" w14:paraId="442A998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BCC4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57DD" w14:textId="47EA5E86" w:rsidR="00253C88" w:rsidRDefault="00647C6B">
            <w:pPr>
              <w:spacing w:after="0"/>
            </w:pPr>
            <w:r w:rsidRPr="00647C6B">
              <w:t>Alert Management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76A7" w14:textId="1ED3877B" w:rsidR="00253C88" w:rsidRDefault="00647C6B">
            <w:pPr>
              <w:spacing w:after="0"/>
            </w:pPr>
            <w:r w:rsidRPr="00647C6B">
              <w:t>Alerts generated by the real-time analysis component are managed here, prioritized, and routed for further investigation.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571" w14:textId="5F843F34" w:rsidR="00253C88" w:rsidRDefault="00671347">
            <w:pPr>
              <w:spacing w:after="0"/>
            </w:pPr>
            <w:r w:rsidRPr="00671347">
              <w:t>SIEM systems, alert correlation tools, ticketing systems.</w:t>
            </w:r>
          </w:p>
        </w:tc>
      </w:tr>
      <w:tr w:rsidR="00253C88" w14:paraId="6E75AC87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8679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980A" w14:textId="17C0BA0C" w:rsidR="00253C88" w:rsidRDefault="00647C6B">
            <w:pPr>
              <w:spacing w:after="0"/>
            </w:pPr>
            <w:r w:rsidRPr="00647C6B">
              <w:t>User Interface (UI)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76E" w14:textId="70422246" w:rsidR="00253C88" w:rsidRDefault="00647C6B">
            <w:pPr>
              <w:spacing w:after="0"/>
            </w:pPr>
            <w:r w:rsidRPr="00647C6B">
              <w:t>Provides a dashboard for security administrators and analysts to monitor the system's performance and respond to incidents.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1F5" w14:textId="334F09F2" w:rsidR="00253C88" w:rsidRDefault="00671347">
            <w:pPr>
              <w:spacing w:after="0"/>
            </w:pPr>
            <w:r w:rsidRPr="00671347">
              <w:t>Web-based UI (HTML, CSS, JavaScript), dashboard frameworks (e.g., Kibana, Grafana).</w:t>
            </w:r>
          </w:p>
        </w:tc>
      </w:tr>
      <w:tr w:rsidR="00253C88" w14:paraId="15DD900B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9FCB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0630" w14:textId="211BB5F6" w:rsidR="00253C88" w:rsidRDefault="00647C6B">
            <w:pPr>
              <w:spacing w:after="0"/>
            </w:pPr>
            <w:r w:rsidRPr="00647C6B">
              <w:t>Reporting and Analytics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384E" w14:textId="1A7C70AD" w:rsidR="00253C88" w:rsidRDefault="00671347">
            <w:pPr>
              <w:spacing w:after="0"/>
            </w:pPr>
            <w:r w:rsidRPr="00671347">
              <w:t>Generates reports and provides analytics on detected incidents, trends, and system performance.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CC25" w14:textId="335F6E35" w:rsidR="00253C88" w:rsidRDefault="00671347">
            <w:pPr>
              <w:spacing w:after="0"/>
            </w:pPr>
            <w:r w:rsidRPr="00671347">
              <w:t>Reporting tools (e.g., Tableau, Power BI), data analytics platforms (e.g., Apache Spark), custom analytics scripts.</w:t>
            </w:r>
          </w:p>
        </w:tc>
      </w:tr>
      <w:tr w:rsidR="00253C88" w14:paraId="008BD50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BF59" w14:textId="77777777" w:rsidR="00253C88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B2DE" w14:textId="2E815E27" w:rsidR="00253C88" w:rsidRDefault="00647C6B">
            <w:pPr>
              <w:spacing w:after="0"/>
            </w:pPr>
            <w:r w:rsidRPr="00647C6B">
              <w:t>Notification and Response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BA1A" w14:textId="1E631BB8" w:rsidR="00253C88" w:rsidRDefault="00671347">
            <w:pPr>
              <w:spacing w:after="0"/>
            </w:pPr>
            <w:r w:rsidRPr="00671347">
              <w:t>This component can automatically trigger predefined responses when intrusions are detected, such as isolating affected systems or blocking malicious traffic.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4DEA" w14:textId="4CF24B87" w:rsidR="00253C88" w:rsidRDefault="00671347">
            <w:pPr>
              <w:spacing w:after="0"/>
            </w:pPr>
            <w:r w:rsidRPr="00671347">
              <w:t>Automation scripts, APIs for response actions, orchestration tools (e.g., Ansible).</w:t>
            </w:r>
          </w:p>
        </w:tc>
      </w:tr>
      <w:tr w:rsidR="00253C88" w14:paraId="6DB245E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A71D" w14:textId="77777777" w:rsidR="00253C88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C0E6" w14:textId="6AF880EC" w:rsidR="00253C88" w:rsidRDefault="00647C6B">
            <w:pPr>
              <w:spacing w:after="0"/>
            </w:pPr>
            <w:r w:rsidRPr="00647C6B">
              <w:t>Integration APIs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4AFB" w14:textId="6AE78C58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671347" w:rsidRPr="00671347">
              <w:rPr>
                <w:rFonts w:ascii="Arial" w:eastAsia="Arial" w:hAnsi="Arial" w:cs="Arial"/>
              </w:rPr>
              <w:t>APIs are used to integrate the intrusion detection system with other security tools and incident response platforms.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6F94" w14:textId="5B9DAFEC" w:rsidR="00253C88" w:rsidRDefault="00671347">
            <w:pPr>
              <w:spacing w:after="0"/>
            </w:pPr>
            <w:r w:rsidRPr="00671347">
              <w:t>RESTful APIs, webhook integrations, third-party security APIs.</w:t>
            </w:r>
          </w:p>
        </w:tc>
      </w:tr>
      <w:tr w:rsidR="00647C6B" w14:paraId="1E6D9F06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B457" w14:textId="0F892351" w:rsidR="00647C6B" w:rsidRPr="00647C6B" w:rsidRDefault="00647C6B" w:rsidP="00647C6B">
            <w:pPr>
              <w:spacing w:after="0"/>
              <w:ind w:right="11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4CB0" w14:textId="3BE191B5" w:rsidR="00647C6B" w:rsidRPr="00647C6B" w:rsidRDefault="00647C6B">
            <w:pPr>
              <w:spacing w:after="0"/>
            </w:pPr>
            <w:r w:rsidRPr="00647C6B">
              <w:t>Scalability and Load Balancing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E908" w14:textId="07E12682" w:rsidR="00647C6B" w:rsidRDefault="0067134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71347">
              <w:rPr>
                <w:rFonts w:ascii="Arial" w:eastAsia="Arial" w:hAnsi="Arial" w:cs="Arial"/>
              </w:rPr>
              <w:t>Ensures the system can handle high volumes of data and provides fault tolerance.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C3BB" w14:textId="091C9564" w:rsidR="00647C6B" w:rsidRDefault="00671347">
            <w:pPr>
              <w:spacing w:after="0"/>
              <w:rPr>
                <w:rFonts w:ascii="Arial" w:eastAsia="Arial" w:hAnsi="Arial" w:cs="Arial"/>
              </w:rPr>
            </w:pPr>
            <w:r w:rsidRPr="00671347">
              <w:rPr>
                <w:rFonts w:ascii="Arial" w:eastAsia="Arial" w:hAnsi="Arial" w:cs="Arial"/>
              </w:rPr>
              <w:t>Load balancers, container orchestration (e.g., Kubernetes), cloud auto-scaling.</w:t>
            </w:r>
          </w:p>
        </w:tc>
      </w:tr>
      <w:tr w:rsidR="00647C6B" w14:paraId="26175ED8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3334" w14:textId="68549A1F" w:rsidR="00647C6B" w:rsidRDefault="00647C6B">
            <w:pPr>
              <w:spacing w:after="0"/>
              <w:ind w:right="11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2D3E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260A" w14:textId="68F767E3" w:rsidR="00647C6B" w:rsidRPr="00647C6B" w:rsidRDefault="00647C6B">
            <w:pPr>
              <w:spacing w:after="0"/>
            </w:pPr>
            <w:r w:rsidRPr="00647C6B">
              <w:t>Security and Compliance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006F" w14:textId="70AA0BEA" w:rsidR="00647C6B" w:rsidRDefault="0067134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71347">
              <w:rPr>
                <w:rFonts w:ascii="Arial" w:eastAsia="Arial" w:hAnsi="Arial" w:cs="Arial"/>
              </w:rPr>
              <w:t>Various security measures and compliance considerations should be integrated throughout the architecture to ensure data and system security.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8202" w14:textId="40B0653E" w:rsidR="00647C6B" w:rsidRDefault="00671347">
            <w:pPr>
              <w:spacing w:after="0"/>
              <w:rPr>
                <w:rFonts w:ascii="Arial" w:eastAsia="Arial" w:hAnsi="Arial" w:cs="Arial"/>
              </w:rPr>
            </w:pPr>
            <w:r w:rsidRPr="00671347">
              <w:rPr>
                <w:rFonts w:ascii="Arial" w:eastAsia="Arial" w:hAnsi="Arial" w:cs="Arial"/>
              </w:rPr>
              <w:t>Encryption (TLS/SSL), access control, auditing and monitoring tools, compliance frameworks (e.g., PCI DSS, HIPAA).</w:t>
            </w:r>
          </w:p>
        </w:tc>
      </w:tr>
    </w:tbl>
    <w:p w14:paraId="6B3161AC" w14:textId="77777777" w:rsidR="00253C8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07CF5E6" w14:textId="77777777" w:rsidR="00253C8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53C88" w14:paraId="2E8E5F8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607B" w14:textId="77777777" w:rsidR="00253C8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260D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929F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A5B1" w14:textId="77777777" w:rsidR="00253C8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53C88" w14:paraId="11DDB173" w14:textId="77777777" w:rsidTr="002D3EBF">
        <w:trPr>
          <w:trHeight w:val="55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8AEC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4125" w14:textId="52C4A92E" w:rsidR="00253C88" w:rsidRDefault="002D3EBF">
            <w:pPr>
              <w:spacing w:after="0"/>
            </w:pPr>
            <w:r w:rsidRPr="002D3EBF">
              <w:t>Anomaly Detection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183B" w14:textId="7C7E6B22" w:rsidR="00253C88" w:rsidRDefault="002D3EBF">
            <w:pPr>
              <w:spacing w:after="0"/>
            </w:pPr>
            <w:r w:rsidRPr="002D3EBF">
              <w:t xml:space="preserve">AI-enhanced IDS can detect anomalies in network traffic and system </w:t>
            </w:r>
            <w:r w:rsidRPr="002D3EBF">
              <w:t>behaviour</w:t>
            </w:r>
            <w:r w:rsidRPr="002D3EBF">
              <w:t xml:space="preserve"> by learning what is considered normal. When it identifies deviations from this baseline, it can trigger alerts or automatic responses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8FEF" w14:textId="1A0427DD" w:rsidR="00253C88" w:rsidRDefault="002D3EBF">
            <w:pPr>
              <w:spacing w:after="0"/>
            </w:pPr>
            <w:r w:rsidRPr="002D3EBF">
              <w:t>Machine learning algorithms, such as neural networks, clustering, and statistical analysis.</w:t>
            </w:r>
          </w:p>
        </w:tc>
      </w:tr>
      <w:tr w:rsidR="00253C88" w14:paraId="2CAAD635" w14:textId="77777777" w:rsidTr="002D3EBF">
        <w:trPr>
          <w:trHeight w:val="56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25E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EC5C" w14:textId="5064F729" w:rsidR="00253C88" w:rsidRDefault="002D3EBF">
            <w:pPr>
              <w:spacing w:after="0"/>
            </w:pPr>
            <w:r w:rsidRPr="002D3EBF">
              <w:t>Signature-Based Detection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3F59" w14:textId="54F5EA37" w:rsidR="00253C88" w:rsidRDefault="002D3EBF">
            <w:pPr>
              <w:spacing w:after="0"/>
            </w:pPr>
            <w:r w:rsidRPr="002D3EBF">
              <w:t>The system is equipped with predefined signatures or patterns of known threats. When network traffic matches these signatures, it raises alarms or takes predefined actions.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E19B" w14:textId="4D7F42AF" w:rsidR="00253C88" w:rsidRDefault="002D3EBF">
            <w:pPr>
              <w:spacing w:after="0"/>
            </w:pPr>
            <w:r w:rsidRPr="002D3EBF">
              <w:t>Pattern recognition, rule-based systems.</w:t>
            </w:r>
          </w:p>
        </w:tc>
      </w:tr>
      <w:tr w:rsidR="00253C88" w14:paraId="0DE0B196" w14:textId="77777777" w:rsidTr="002D3EBF">
        <w:trPr>
          <w:trHeight w:val="42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77C0" w14:textId="77777777" w:rsidR="00253C8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D54" w14:textId="5F650958" w:rsidR="00253C88" w:rsidRDefault="002D3EBF">
            <w:pPr>
              <w:spacing w:after="0"/>
            </w:pPr>
            <w:r w:rsidRPr="002D3EBF">
              <w:t>Real-time Monitoring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2707" w14:textId="5C565C99" w:rsidR="00253C88" w:rsidRDefault="002D3EBF">
            <w:pPr>
              <w:spacing w:after="0"/>
            </w:pPr>
            <w:r w:rsidRPr="002D3EBF">
              <w:t>AI-enhanced IDS systems continuously monitor network traffic in real-time, providing immediate threat detection and response capabilities.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2217" w14:textId="2909A9A7" w:rsidR="00253C88" w:rsidRDefault="002D3EBF">
            <w:pPr>
              <w:spacing w:after="0"/>
            </w:pPr>
            <w:r w:rsidRPr="002D3EBF">
              <w:t>Continuous packet analysis and traffic monitoring.</w:t>
            </w:r>
          </w:p>
        </w:tc>
      </w:tr>
      <w:tr w:rsidR="00253C88" w14:paraId="5722237C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A2F" w14:textId="2B64D4AF" w:rsidR="00253C88" w:rsidRDefault="002D3EBF" w:rsidP="002D3EBF">
            <w:pPr>
              <w:spacing w:after="0"/>
              <w:jc w:val="center"/>
            </w:pPr>
            <w: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D384" w14:textId="13EC187B" w:rsidR="00253C88" w:rsidRDefault="002D3EBF">
            <w:pPr>
              <w:spacing w:after="0"/>
            </w:pPr>
            <w:r w:rsidRPr="002D3EBF">
              <w:t>Behaviour</w:t>
            </w:r>
            <w:r w:rsidRPr="002D3EBF">
              <w:t xml:space="preserve"> Analysis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2966" w14:textId="115ED6C0" w:rsidR="00253C88" w:rsidRDefault="002D3EBF">
            <w:pPr>
              <w:spacing w:after="0"/>
            </w:pPr>
            <w:r>
              <w:t>I</w:t>
            </w:r>
            <w:r w:rsidRPr="002D3EBF">
              <w:t xml:space="preserve">t </w:t>
            </w:r>
            <w:r w:rsidRPr="002D3EBF">
              <w:t>analyses</w:t>
            </w:r>
            <w:r w:rsidRPr="002D3EBF">
              <w:t xml:space="preserve"> user and system </w:t>
            </w:r>
            <w:r w:rsidRPr="002D3EBF">
              <w:t>behaviour</w:t>
            </w:r>
            <w:r w:rsidRPr="002D3EBF">
              <w:t xml:space="preserve"> to identify suspicious activities or deviations from normal </w:t>
            </w:r>
            <w:r w:rsidRPr="002D3EBF">
              <w:t>behaviour</w:t>
            </w:r>
            <w:r w:rsidRPr="002D3EBF">
              <w:t xml:space="preserve"> patterns.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0943" w14:textId="26C37B1E" w:rsidR="00253C88" w:rsidRPr="002D3EBF" w:rsidRDefault="00000000">
            <w:pPr>
              <w:spacing w:after="0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="002D3EBF" w:rsidRPr="002D3EBF">
              <w:rPr>
                <w:rFonts w:ascii="Arial" w:eastAsia="Arial" w:hAnsi="Arial" w:cs="Arial"/>
                <w:bCs/>
              </w:rPr>
              <w:t>Machine learning, data analysis.</w:t>
            </w:r>
          </w:p>
        </w:tc>
      </w:tr>
      <w:tr w:rsidR="00253C88" w14:paraId="4B21FFB3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2536" w14:textId="740E4C55" w:rsidR="00253C88" w:rsidRDefault="002D3EB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>5</w:t>
            </w:r>
            <w:r w:rsidR="00000000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684D" w14:textId="59EC64DF" w:rsidR="00253C88" w:rsidRDefault="002D3EBF">
            <w:pPr>
              <w:spacing w:after="0"/>
            </w:pPr>
            <w:r w:rsidRPr="002D3EBF">
              <w:t>Regular Updates and Training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A16" w14:textId="78F237C9" w:rsidR="00253C88" w:rsidRDefault="002D3EBF">
            <w:pPr>
              <w:spacing w:after="0"/>
            </w:pPr>
            <w:r w:rsidRPr="002D3EBF">
              <w:t>The IDS continuously updates its knowledge base and machine learning models to adapt to evolving threats.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7F36" w14:textId="4165E3DD" w:rsidR="00253C88" w:rsidRDefault="002D3EBF">
            <w:pPr>
              <w:spacing w:after="0"/>
            </w:pPr>
            <w:r w:rsidRPr="002D3EBF">
              <w:t>Data collection and model retraining.</w:t>
            </w:r>
          </w:p>
        </w:tc>
      </w:tr>
      <w:tr w:rsidR="00253C88" w14:paraId="38CE6C3D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61FF" w14:textId="24A56535" w:rsidR="00253C88" w:rsidRDefault="002D3EB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6A06" w14:textId="5FE77FB1" w:rsidR="00253C8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2D3EBF" w:rsidRPr="002D3EBF">
              <w:rPr>
                <w:rFonts w:ascii="Arial" w:eastAsia="Arial" w:hAnsi="Arial" w:cs="Arial"/>
              </w:rPr>
              <w:t>User-Friendly Interface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41B8" w14:textId="7FB89A27" w:rsidR="00253C88" w:rsidRDefault="002D3EBF">
            <w:pPr>
              <w:spacing w:after="0"/>
            </w:pPr>
            <w:r w:rsidRPr="002D3EBF">
              <w:t>A user-friendly interface allows security analysts to interact with and configure the IDS efficiently, helping them make informed decisions.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0C01" w14:textId="60129B6B" w:rsidR="00253C88" w:rsidRDefault="002D3EBF">
            <w:pPr>
              <w:spacing w:after="0"/>
            </w:pPr>
            <w:r w:rsidRPr="002D3EBF">
              <w:t>User experience (UX) design principles.</w:t>
            </w:r>
          </w:p>
        </w:tc>
      </w:tr>
      <w:tr w:rsidR="002D3EBF" w14:paraId="31878EE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5A71" w14:textId="31A37F0D" w:rsidR="002D3EBF" w:rsidRDefault="002D3EBF">
            <w:pPr>
              <w:spacing w:after="0"/>
              <w:ind w:right="23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641" w14:textId="6A967F4A" w:rsidR="002D3EBF" w:rsidRDefault="002D3EBF">
            <w:pPr>
              <w:spacing w:after="0"/>
              <w:rPr>
                <w:rFonts w:ascii="Arial" w:eastAsia="Arial" w:hAnsi="Arial" w:cs="Arial"/>
              </w:rPr>
            </w:pPr>
            <w:r w:rsidRPr="002D3EBF">
              <w:rPr>
                <w:rFonts w:ascii="Arial" w:eastAsia="Arial" w:hAnsi="Arial" w:cs="Arial"/>
              </w:rPr>
              <w:t>Threat Intelligence Integration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ADBD" w14:textId="3BA8493F" w:rsidR="002D3EBF" w:rsidRDefault="00E755ED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IDS can stay updated with the latest threat intelligence, incorporating new threat signatures and indicators of compromise into its detection capabilities.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95C" w14:textId="085D70C6" w:rsidR="002D3EBF" w:rsidRDefault="00E755ED">
            <w:pPr>
              <w:spacing w:after="0"/>
            </w:pPr>
            <w:r w:rsidRPr="00E755ED">
              <w:t>API integrations with threat feeds and databases.</w:t>
            </w:r>
          </w:p>
        </w:tc>
      </w:tr>
      <w:tr w:rsidR="00E755ED" w14:paraId="63B9591E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BAC2" w14:textId="0E1279B7" w:rsidR="00E755ED" w:rsidRDefault="00E755ED">
            <w:pPr>
              <w:spacing w:after="0"/>
              <w:ind w:right="23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71BA" w14:textId="13584F09" w:rsidR="00E755ED" w:rsidRPr="002D3EBF" w:rsidRDefault="00E755ED">
            <w:pPr>
              <w:spacing w:after="0"/>
              <w:rPr>
                <w:rFonts w:ascii="Arial" w:eastAsia="Arial" w:hAnsi="Arial" w:cs="Arial"/>
              </w:rPr>
            </w:pPr>
            <w:r w:rsidRPr="00E755ED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D0D3" w14:textId="25FAF99A" w:rsidR="00E755ED" w:rsidRDefault="00E755ED">
            <w:pPr>
              <w:spacing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E755ED">
              <w:rPr>
                <w:rFonts w:ascii="Segoe UI" w:hAnsi="Segoe UI" w:cs="Segoe UI"/>
                <w:color w:val="374151"/>
                <w:shd w:val="clear" w:color="auto" w:fill="F7F7F8"/>
              </w:rPr>
              <w:t>The system can be scaled horizontally and vertically to accommodate the needs of various network sizes and configurations.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09D7" w14:textId="27153AD2" w:rsidR="00E755ED" w:rsidRPr="00E755ED" w:rsidRDefault="00E755ED">
            <w:pPr>
              <w:spacing w:after="0"/>
            </w:pPr>
            <w:r w:rsidRPr="00E755ED">
              <w:t>Distributed architecture, cloud-based solutions.</w:t>
            </w:r>
          </w:p>
        </w:tc>
      </w:tr>
    </w:tbl>
    <w:p w14:paraId="621B2CE3" w14:textId="77777777" w:rsidR="00253C8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795DA4E" w14:textId="77777777" w:rsidR="00253C8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AE4B402" w14:textId="77777777" w:rsidR="00253C88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5E6C5737" w14:textId="28464FD4" w:rsidR="00253C88" w:rsidRDefault="00253C88">
      <w:pPr>
        <w:spacing w:after="158"/>
      </w:pPr>
    </w:p>
    <w:p w14:paraId="7D5AB9DC" w14:textId="77777777" w:rsidR="00253C8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C9927CF" w14:textId="77777777" w:rsidR="00253C8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53C88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E23"/>
    <w:multiLevelType w:val="hybridMultilevel"/>
    <w:tmpl w:val="2836EDD8"/>
    <w:lvl w:ilvl="0" w:tplc="FB1A96E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8DA2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017E8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2907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2C21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40660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291C6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E0E090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E20C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191D3C"/>
    <w:multiLevelType w:val="hybridMultilevel"/>
    <w:tmpl w:val="6EF40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83990">
    <w:abstractNumId w:val="0"/>
  </w:num>
  <w:num w:numId="2" w16cid:durableId="209388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88"/>
    <w:rsid w:val="00253C88"/>
    <w:rsid w:val="002D3EBF"/>
    <w:rsid w:val="00647C6B"/>
    <w:rsid w:val="00671347"/>
    <w:rsid w:val="00735547"/>
    <w:rsid w:val="007C41CF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4A9F"/>
  <w15:docId w15:val="{6B87A22E-57CD-4F99-8732-5D11757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developer.ibm.com/patterns/ai-powered-backend-system-for-order-processing-during-pandemics/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sheikzzz007@gmail.com</cp:lastModifiedBy>
  <cp:revision>2</cp:revision>
  <dcterms:created xsi:type="dcterms:W3CDTF">2023-10-27T06:59:00Z</dcterms:created>
  <dcterms:modified xsi:type="dcterms:W3CDTF">2023-10-27T06:59:00Z</dcterms:modified>
</cp:coreProperties>
</file>