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j</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Macro-Financial Spillover Dynamics and Asymmetric Tail-Risk Forecasting: A Two-Stage Econometric–Temporal Fusion Transformer Hybrid</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Abstract</w:t>
      </w:r>
      <w:r w:rsidDel="00000000" w:rsidR="00000000" w:rsidRPr="00000000">
        <w:rPr>
          <w:rtl w:val="0"/>
        </w:rPr>
        <w:t xml:space="preserve"> This study investigates whether non-linear macroeconomic dependencies and cross-border financial spillovers contain incremental predictive power for extreme equity tail-risk forecasting beyond fully specified asymmetric econometric baselines. Focusing on the National Stock Exchange of India (NIFTY 50, BANKNIFTY, NIFTY IT) across varying market stress regimes, we deploy an operational two-stage hybrid framework. In Stage 1, persistent autoregressive volatility clustering and dynamic leverage effects are econometrically filtered using a Skewed Student-t GJR-GARCH(1,1) specification. In Stage 2, the resulting scale-free standardized innovations are passed alongside cross-border implied volatility, domestic intraday volatility, and autoregressive return features into a Temporal Fusion Transformer (TFT) optimizing multi-quantile pinball loss. To mitigate model risk arising from deep neural network hallucinations during unprecedented market dislocations, the architecture incorporates an asymmetric parametric circuit breaker that enforces an econometric capital floor.</w:t>
      </w:r>
    </w:p>
    <w:p w:rsidR="00000000" w:rsidDel="00000000" w:rsidP="00000000" w:rsidRDefault="00000000" w:rsidRPr="00000000" w14:paraId="00000004">
      <w:pPr>
        <w:spacing w:after="240" w:before="240" w:lineRule="auto"/>
        <w:rPr/>
      </w:pPr>
      <w:r w:rsidDel="00000000" w:rsidR="00000000" w:rsidRPr="00000000">
        <w:rPr>
          <w:rtl w:val="0"/>
        </w:rPr>
        <w:t xml:space="preserve">Out-of-sample evaluations demonstrate that the proposed hybrid engine maintains strict Basel III Green Zone regulatory compliance across the entire multi-asset panel, passing both Kupiec Proportion of Failures and Christoffersen Markov-chain independence backtests. Diebold-Mariano tests confirm that the neural network achieves exact statistical parity with the apex econometric baseline without requiring arbitrary output constraints. Furthermore, Variable Selection Network (VSN) attention metrics explicitly decode the algorithmic "black box," mathematically proving that deep learning architectures organically prioritize structural econometric priors (34.30%) and continuous intraday volatility ranges (23.90%) over raw price momentum (7.70%) when forecasting tail risk. The results provide an empirical and operational architecture for financial institutions implementing the Basel Committee on Banking Supervision (BCBS) Fundamental Review of the Trading Book (FRTB) standards.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Keywords:</w:t>
      </w:r>
      <w:r w:rsidDel="00000000" w:rsidR="00000000" w:rsidRPr="00000000">
        <w:rPr>
          <w:rtl w:val="0"/>
        </w:rPr>
        <w:t xml:space="preserve"> Financial Volatility Forecasting; Value-at-Risk (VaR); GJR-GARCH; Temporal Fusion Transformer; Asymmetric Loss; Basel III Compliance; Cross-Border Spillovers.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fzsk6ylwidmo" w:id="0"/>
      <w:bookmarkEnd w:id="0"/>
      <w:r w:rsidDel="00000000" w:rsidR="00000000" w:rsidRPr="00000000">
        <w:rPr>
          <w:b w:val="1"/>
          <w:bCs w:val="1"/>
          <w:sz w:val="34"/>
          <w:szCs w:val="34"/>
          <w:rtl w:val="0"/>
        </w:rPr>
        <w:t xml:space="preserve">2. Literature Review and Methodological Critique</w:t>
      </w:r>
    </w:p>
    <w:p w:rsidR="00000000" w:rsidDel="00000000" w:rsidP="00000000" w:rsidRDefault="00000000" w:rsidRPr="00000000" w14:paraId="00000007">
      <w:pPr>
        <w:spacing w:after="240" w:before="240" w:lineRule="auto"/>
        <w:rPr/>
      </w:pPr>
      <w:r w:rsidDel="00000000" w:rsidR="00000000" w:rsidRPr="00000000">
        <w:rPr>
          <w:rtl w:val="0"/>
        </w:rPr>
        <w:t xml:space="preserve">The empirical literature on downside market-risk estimation is bifurcated between classical parametric econometrics and non-parametric deep learning architectures. While both traditions aim to quantify uncertainty in financial asset returns, they differ fundamentally in their theoretical underpinnings, functional form constraints, optimization objectives, and operational treatment of structural breaks.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q97ea0qj6cwp" w:id="1"/>
      <w:bookmarkEnd w:id="1"/>
      <w:r w:rsidDel="00000000" w:rsidR="00000000" w:rsidRPr="00000000">
        <w:rPr>
          <w:b w:val="1"/>
          <w:bCs w:val="1"/>
          <w:color w:val="000000"/>
          <w:sz w:val="26"/>
          <w:szCs w:val="26"/>
          <w:rtl w:val="0"/>
        </w:rPr>
        <w:t xml:space="preserve">2.1 The Econometric Benchmark: Conditional Heteroskedasticity and Asymmetric Leverage</w:t>
      </w:r>
    </w:p>
    <w:p w:rsidR="00000000" w:rsidDel="00000000" w:rsidP="00000000" w:rsidRDefault="00000000" w:rsidRPr="00000000" w14:paraId="00000009">
      <w:pPr>
        <w:spacing w:after="240" w:before="240" w:lineRule="auto"/>
        <w:rPr/>
      </w:pPr>
      <w:r w:rsidDel="00000000" w:rsidR="00000000" w:rsidRPr="00000000">
        <w:rPr>
          <w:rtl w:val="0"/>
        </w:rPr>
        <w:t xml:space="preserve">The foundational framework for modeling time-varying volatility originated with the Autoregressive Conditional Heteroskedasticity (ARCH) model (Engle, 1982) and its generalized extension, the GARCH(p,q) model (Bollerslev, 1986). The canonical univariate GARCH(1,1) specification models the conditional variance of asset returns as a linear function of past squared innovations and past conditional variance.</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While standard GARCH effectively captures volatility clustering, its symmetric quadratic formulation (ϵt−12​) imposes a severe behavioral restriction: positive and negative return innovations of equal magnitude exert an identical impact on subsequent conditional variance. In equity markets, this restriction is empirically violated due to the "leverage effect," wherein negative return shocks induce substantially greater increases in future volatility than equivalent positive shocks.</w:t>
      </w:r>
    </w:p>
    <w:p w:rsidR="00000000" w:rsidDel="00000000" w:rsidP="00000000" w:rsidRDefault="00000000" w:rsidRPr="00000000" w14:paraId="0000000B">
      <w:pPr>
        <w:spacing w:after="240" w:before="240" w:lineRule="auto"/>
        <w:rPr/>
      </w:pPr>
      <w:r w:rsidDel="00000000" w:rsidR="00000000" w:rsidRPr="00000000">
        <w:rPr>
          <w:rtl w:val="0"/>
        </w:rPr>
        <w:t xml:space="preserve">To account for this structural asymmetry, Glosten, Jagannathan, and Runkle (1993) introduced the GJR-GARCH model, which incorporates an indicator function to capture threshold-dependent variance expansion following negative innovations. Furthermore, to address conditional leptokurtosis and skewness prevalent in emerging market equities, Hansen (1994) developed the Skewed Student-t distribution. When calibrated via Maximum Likelihood Estimation (MLE), the Skew-T GJR-GARCH(1,1) represents the empirical apex of univariate parametric econometrics.</w:t>
      </w:r>
    </w:p>
    <w:p w:rsidR="00000000" w:rsidDel="00000000" w:rsidP="00000000" w:rsidRDefault="00000000" w:rsidRPr="00000000" w14:paraId="0000000C">
      <w:pPr>
        <w:spacing w:after="240" w:before="240" w:lineRule="auto"/>
        <w:rPr/>
      </w:pPr>
      <w:r w:rsidDel="00000000" w:rsidR="00000000" w:rsidRPr="00000000">
        <w:rPr>
          <w:rtl w:val="0"/>
        </w:rPr>
        <w:t xml:space="preserve">Despite its mathematical parsimony and regulatory tractability, the GARCH framework exhibits fundamental operational limitations. Its autoregressive recursion implies an exponential decay of historical shocks, rendering the model incapable of capturing complex multi-frequency cyclical dynamics. The model is also structurally invariant; parameters are estimated as static constants, meaning sudden regime shifts are misinterpreted as artificially high persistence. Most critically, standard GARCH frameworks suffer from the curse of dimensionality, unable to natively ingest high-dimensional, cross-border macroeconomic covariates (such as foreign implied volatility or institutional capital flows) without inducing parameter instability.</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nfz12631egdo" w:id="2"/>
      <w:bookmarkEnd w:id="2"/>
      <w:r w:rsidDel="00000000" w:rsidR="00000000" w:rsidRPr="00000000">
        <w:rPr>
          <w:b w:val="1"/>
          <w:bCs w:val="1"/>
          <w:color w:val="000000"/>
          <w:sz w:val="26"/>
          <w:szCs w:val="26"/>
          <w:rtl w:val="0"/>
        </w:rPr>
        <w:t xml:space="preserve">2.2 Deep Sequence Architectures in Tail-Risk Forecasting</w:t>
      </w:r>
    </w:p>
    <w:p w:rsidR="00000000" w:rsidDel="00000000" w:rsidP="00000000" w:rsidRDefault="00000000" w:rsidRPr="00000000" w14:paraId="0000000E">
      <w:pPr>
        <w:spacing w:after="240" w:before="240" w:lineRule="auto"/>
        <w:rPr/>
      </w:pPr>
      <w:r w:rsidDel="00000000" w:rsidR="00000000" w:rsidRPr="00000000">
        <w:rPr>
          <w:rtl w:val="0"/>
        </w:rPr>
        <w:t xml:space="preserve">To overcome the rigid functional form constraints of classical econometrics, sequence-modeling neural networks transitioned from standard Multi-Layer Perceptrons (MLPs) to Recurrent Neural Networks (RNNs) and Long Short-Term Memory (LSTM) networks. However, traditional recurrent networks exhibit structural deficiencies when deployed on financial return series: they process sequences sequentially (creating memory bottlenecks across long evaluation windows) and aggregate historical information in opaque continuous vectors, failing central bank Model Risk Management (MRM) mandates for interpretability.</w:t>
      </w:r>
    </w:p>
    <w:p w:rsidR="00000000" w:rsidDel="00000000" w:rsidP="00000000" w:rsidRDefault="00000000" w:rsidRPr="00000000" w14:paraId="0000000F">
      <w:pPr>
        <w:spacing w:after="240" w:before="240" w:lineRule="auto"/>
        <w:rPr/>
      </w:pPr>
      <w:r w:rsidDel="00000000" w:rsidR="00000000" w:rsidRPr="00000000">
        <w:rPr>
          <w:rtl w:val="0"/>
        </w:rPr>
        <w:t xml:space="preserve">The development of the Temporal Fusion Transformer (TFT) by Lim et al. (2021) marked a fundamental paradigm shift. The TFT architecture integrates specialized deep learning modules engineered specifically for temporal forecasting:</w:t>
      </w:r>
    </w:p>
    <w:p w:rsidR="00000000" w:rsidDel="00000000" w:rsidP="00000000" w:rsidRDefault="00000000" w:rsidRPr="00000000" w14:paraId="00000010">
      <w:pPr>
        <w:numPr>
          <w:ilvl w:val="0"/>
          <w:numId w:val="4"/>
        </w:numPr>
        <w:spacing w:after="0" w:afterAutospacing="0" w:before="240" w:lineRule="auto"/>
        <w:ind w:left="720" w:hanging="360"/>
      </w:pPr>
      <w:r w:rsidDel="00000000" w:rsidR="00000000" w:rsidRPr="00000000">
        <w:rPr>
          <w:b w:val="1"/>
          <w:bCs w:val="1"/>
          <w:rtl w:val="0"/>
        </w:rPr>
        <w:t xml:space="preserve">Gated Residual Networks (GRN):</w:t>
      </w:r>
      <w:r w:rsidDel="00000000" w:rsidR="00000000" w:rsidRPr="00000000">
        <w:rPr>
          <w:rtl w:val="0"/>
        </w:rPr>
        <w:t xml:space="preserve"> Apply non-linear transformations with residual skip connections, enabling the network to bypass unused parameters and prevent overfitting in low signal-to-noise environments.</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b w:val="1"/>
          <w:bCs w:val="1"/>
          <w:rtl w:val="0"/>
        </w:rPr>
        <w:t xml:space="preserve">Variable Selection Networks (VSN):</w:t>
      </w:r>
      <w:r w:rsidDel="00000000" w:rsidR="00000000" w:rsidRPr="00000000">
        <w:rPr>
          <w:rtl w:val="0"/>
        </w:rPr>
        <w:t xml:space="preserve"> Provide Softmax-based instance-level feature selection across all continuous covariates, mathematically filtering out noisy predictors and providing quantifiable feature attribution.</w:t>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b w:val="1"/>
          <w:bCs w:val="1"/>
          <w:rtl w:val="0"/>
        </w:rPr>
        <w:t xml:space="preserve">Interpretable Multi-Head Self-Attention:</w:t>
      </w:r>
      <w:r w:rsidDel="00000000" w:rsidR="00000000" w:rsidRPr="00000000">
        <w:rPr>
          <w:rtl w:val="0"/>
        </w:rPr>
        <w:t xml:space="preserve"> Explicitly computes temporal dependency weights across the historical lookback horizon, allowing the model to dynamically shift its attention between immediate intraday shocks and long-range macroeconomic regimes.</w:t>
      </w:r>
    </w:p>
    <w:p w:rsidR="00000000" w:rsidDel="00000000" w:rsidP="00000000" w:rsidRDefault="00000000" w:rsidRPr="00000000" w14:paraId="00000013">
      <w:pPr>
        <w:spacing w:after="240" w:before="240" w:lineRule="auto"/>
        <w:rPr/>
      </w:pPr>
      <w:r w:rsidDel="00000000" w:rsidR="00000000" w:rsidRPr="00000000">
        <w:rPr>
          <w:rtl w:val="0"/>
        </w:rPr>
        <w:t xml:space="preserve">Despite these capabilities, deploying an unconstrained pure deep learning model directly onto raw equity returns presents severe macroprudential risks. A pure TFT tasked with predicting tail risk directly from raw price series squanders substantial parameter capacity attempting to learn basic autoregressive volatility clustering—a stylized fact that an econometric filter handles natively. More dangerously, deep neural networks lack intrinsic mathematical guardrails. During unprecedented black-swan shocks (out-of-distribution regimes), deep learning models can produce erratic quantile forecasts, severely underestimating downside risk and violating institutional solvency requirements.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yd3wflychbh" w:id="3"/>
      <w:bookmarkEnd w:id="3"/>
      <w:r w:rsidDel="00000000" w:rsidR="00000000" w:rsidRPr="00000000">
        <w:rPr>
          <w:b w:val="1"/>
          <w:bCs w:val="1"/>
          <w:color w:val="000000"/>
          <w:sz w:val="26"/>
          <w:szCs w:val="26"/>
          <w:rtl w:val="0"/>
        </w:rPr>
        <w:t xml:space="preserve">2.3 Methodological Critique of Existing Hybrids: The Petrosino et al. (2025) Fallacy</w:t>
      </w:r>
    </w:p>
    <w:p w:rsidR="00000000" w:rsidDel="00000000" w:rsidP="00000000" w:rsidRDefault="00000000" w:rsidRPr="00000000" w14:paraId="00000015">
      <w:pPr>
        <w:spacing w:after="240" w:before="240" w:lineRule="auto"/>
        <w:rPr/>
      </w:pPr>
      <w:r w:rsidDel="00000000" w:rsidR="00000000" w:rsidRPr="00000000">
        <w:rPr>
          <w:rtl w:val="0"/>
        </w:rPr>
        <w:t xml:space="preserve">Recognizing the complementary strengths of econometric structure and machine learning flexibility, a growing literature has investigated "GARCH + Neural Network" hybrids. A primary catalyst for this research is the benchmark paper by Petrosino et al. (2025), which combines a GARCH model with the Temporal Fusion Transformer for exchange-traded fund volatility forecasting.</w:t>
      </w:r>
    </w:p>
    <w:p w:rsidR="00000000" w:rsidDel="00000000" w:rsidP="00000000" w:rsidRDefault="00000000" w:rsidRPr="00000000" w14:paraId="00000016">
      <w:pPr>
        <w:spacing w:after="240" w:before="240" w:lineRule="auto"/>
        <w:rPr/>
      </w:pPr>
      <w:r w:rsidDel="00000000" w:rsidR="00000000" w:rsidRPr="00000000">
        <w:rPr>
          <w:rtl w:val="0"/>
        </w:rPr>
        <w:t xml:space="preserve">While computationally sophisticated, a rigorous audit of the Petrosino et al. methodology from a macroprudential and market-risk perspective reveals fatal conceptual and regulatory fallacies:</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b w:val="1"/>
          <w:bCs w:val="1"/>
          <w:rtl w:val="0"/>
        </w:rPr>
        <w:t xml:space="preserve">The Symmetric Loss Target Mismatch:</w:t>
      </w:r>
      <w:r w:rsidDel="00000000" w:rsidR="00000000" w:rsidRPr="00000000">
        <w:rPr>
          <w:rtl w:val="0"/>
        </w:rPr>
        <w:t xml:space="preserve"> Petrosino et al. optimize and evaluate their model using Mean Squared Error (MSE) and Mean Absolute Error (MAE) targeting continuous proxies of historical volatility. In banking supervision and trading-book risk management, symmetric loss functions are invalid. Underestimating volatility leads to punitive capital multipliers, while overestimating merely traps excess capital. A regulatory tail-risk model must directly minimize Asymmetric Quantile (Pinball) Loss at designated regulatory thresholds (e.g., q=0.01).</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Absence of Regulatory Backtesting Standards:</w:t>
      </w:r>
      <w:r w:rsidDel="00000000" w:rsidR="00000000" w:rsidRPr="00000000">
        <w:rPr>
          <w:rtl w:val="0"/>
        </w:rPr>
        <w:t xml:space="preserve"> Framing their research as a pure machine learning regression problem, Petrosino et al. subject their model to zero regulatory backtesting. They omit the Kupiec (1995) Proportion of Failures test, the Christoffersen (1998) Independence test, and the BCBS Basel Traffic Light system, rendering the model legally non-compliant for internal-model deployment.</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Lack of Econometric Innovation De-volatilization:</w:t>
      </w:r>
      <w:r w:rsidDel="00000000" w:rsidR="00000000" w:rsidRPr="00000000">
        <w:rPr>
          <w:rtl w:val="0"/>
        </w:rPr>
        <w:t xml:space="preserve"> The authors feed raw return series and baseline GARCH variance forecasts directly into the TFT feature matrix. By failing to formally de-volatilize returns into scale-free standardized innovations (zt​), their TFT network remains entangled with raw autoregressive dependencies. Consequently, their VSN attention overwhelmingly defaults to rolling historical volatility averages, proving the network merely memorizes recent dispersion rather than extracting deep structural relationships.</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b w:val="1"/>
          <w:bCs w:val="1"/>
          <w:rtl w:val="0"/>
        </w:rPr>
        <w:t xml:space="preserve">Absence of Model Risk Circuit Breakers:</w:t>
      </w:r>
      <w:r w:rsidDel="00000000" w:rsidR="00000000" w:rsidRPr="00000000">
        <w:rPr>
          <w:rtl w:val="0"/>
        </w:rPr>
        <w:t xml:space="preserve"> The architecture operates as an unconstrained neural network. Under Federal Reserve SR 11-7 guidelines, deploying an unconstrained deep learning model to forecast capital limits is prohibited due to the risk of epistemic hallucinations during systemic shocks. The Petrosino framework contains no deterministic parametric backstops to guarantee institutional survival.</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7qswy58p5sy" w:id="4"/>
      <w:bookmarkEnd w:id="4"/>
      <w:r w:rsidDel="00000000" w:rsidR="00000000" w:rsidRPr="00000000">
        <w:rPr>
          <w:b w:val="1"/>
          <w:bCs w:val="1"/>
          <w:color w:val="000000"/>
          <w:sz w:val="26"/>
          <w:szCs w:val="26"/>
          <w:rtl w:val="0"/>
        </w:rPr>
        <w:t xml:space="preserve">2.4 Identification of the Research Gap</w:t>
      </w:r>
    </w:p>
    <w:p w:rsidR="00000000" w:rsidDel="00000000" w:rsidP="00000000" w:rsidRDefault="00000000" w:rsidRPr="00000000" w14:paraId="0000001C">
      <w:pPr>
        <w:spacing w:after="240" w:before="240" w:lineRule="auto"/>
        <w:rPr/>
      </w:pPr>
      <w:r w:rsidDel="00000000" w:rsidR="00000000" w:rsidRPr="00000000">
        <w:rPr>
          <w:rtl w:val="0"/>
        </w:rPr>
        <w:t xml:space="preserve">The literature lacks an operationally viable, Basel III-compliant hybrid volatility architecture that combines parametric econometric innovation filtering with multi-quantile attention-based deep learning, explicitly evaluated on emerging market equity tail risk under asymmetric loss functions, rigorous regulatory backtests, and deterministic model risk governance. This study addresses this gap by implementing a two-stage structural estimation protocol that natively resolves the symmetric loss mismatch, enforces causal temporal masking, and mathematically bounds neural hallucinations.</w:t>
      </w:r>
    </w:p>
    <w:p w:rsidR="00000000" w:rsidDel="00000000" w:rsidP="00000000" w:rsidRDefault="00000000" w:rsidRPr="00000000" w14:paraId="0000001D">
      <w:pPr>
        <w:pStyle w:val="Heading2"/>
        <w:keepNext w:val="0"/>
        <w:keepLines w:val="0"/>
        <w:spacing w:after="80" w:before="0" w:lineRule="auto"/>
        <w:rPr>
          <w:b w:val="1"/>
          <w:bCs w:val="1"/>
          <w:sz w:val="34"/>
          <w:szCs w:val="34"/>
        </w:rPr>
      </w:pPr>
      <w:bookmarkStart w:colFirst="0" w:colLast="0" w:name="_ne54f7oa6tsz" w:id="5"/>
      <w:bookmarkEnd w:id="5"/>
      <w:r w:rsidDel="00000000" w:rsidR="00000000" w:rsidRPr="00000000">
        <w:rPr>
          <w:b w:val="1"/>
          <w:bCs w:val="1"/>
          <w:sz w:val="34"/>
          <w:szCs w:val="34"/>
          <w:rtl w:val="0"/>
        </w:rPr>
        <w:t xml:space="preserve">3. Theoretical Framework and Mathematical Formulation</w:t>
      </w:r>
    </w:p>
    <w:p w:rsidR="00000000" w:rsidDel="00000000" w:rsidP="00000000" w:rsidRDefault="00000000" w:rsidRPr="00000000" w14:paraId="0000001E">
      <w:pPr>
        <w:rPr/>
      </w:pPr>
      <w:r w:rsidDel="00000000" w:rsidR="00000000" w:rsidRPr="00000000">
        <w:rPr>
          <w:rtl w:val="0"/>
        </w:rPr>
        <w:t xml:space="preserve">To resolve the structural tension between rigid parametric econometrics and unconstrained deep learning architectures, we formulate an operational two-stage hybrid framework. Stage 1 applies an asymmetric econometric filter to strip out autoregressive volatility clustering and dynamic leverage from equity returns, producing scale-free standardized innovations. Stage 2 ingests these innovations alongside orthogonal macroeconomic covariates into a Temporal Fusion Transformer (TFT) that directly minimizes asymmetric multi-quantile pinball loss. Finally, a deterministic parametric circuit breaker is integrated into the inference engine to guarantee regulatory solvency under extreme out-of-distribution shocks.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keepNext w:val="0"/>
        <w:keepLines w:val="0"/>
        <w:spacing w:before="0" w:lineRule="auto"/>
        <w:rPr>
          <w:b w:val="1"/>
          <w:bCs w:val="1"/>
          <w:color w:val="000000"/>
          <w:sz w:val="26"/>
          <w:szCs w:val="26"/>
        </w:rPr>
      </w:pPr>
      <w:bookmarkStart w:colFirst="0" w:colLast="0" w:name="_fwy9quhdlnpq" w:id="6"/>
      <w:bookmarkEnd w:id="6"/>
      <w:r w:rsidDel="00000000" w:rsidR="00000000" w:rsidRPr="00000000">
        <w:rPr>
          <w:b w:val="1"/>
          <w:bCs w:val="1"/>
          <w:color w:val="000000"/>
          <w:sz w:val="26"/>
          <w:szCs w:val="26"/>
          <w:rtl w:val="0"/>
        </w:rPr>
        <w:t xml:space="preserve">3.1 Stage 1: The Econometric Innovation Filter (Skew-T GJR-GARCH)</w:t>
      </w:r>
    </w:p>
    <w:p w:rsidR="00000000" w:rsidDel="00000000" w:rsidP="00000000" w:rsidRDefault="00000000" w:rsidRPr="00000000" w14:paraId="00000021">
      <w:pPr>
        <w:rPr/>
      </w:pPr>
      <w:r w:rsidDel="00000000" w:rsidR="00000000" w:rsidRPr="00000000">
        <w:rPr>
          <w:rtl w:val="0"/>
        </w:rPr>
        <w:t xml:space="preserve">Let $P_t$ denote the daily closing price of the equity index at trading day $t$. The continuously compounded percentage log return is defined as: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$$r_t = 100 \times \left( \ln P_t - \ln P_{t-1} \right)$$</w:t>
      </w:r>
    </w:p>
    <w:p w:rsidR="00000000" w:rsidDel="00000000" w:rsidP="00000000" w:rsidRDefault="00000000" w:rsidRPr="00000000" w14:paraId="00000024">
      <w:pPr>
        <w:rPr/>
      </w:pPr>
      <w:r w:rsidDel="00000000" w:rsidR="00000000" w:rsidRPr="00000000">
        <w:rPr>
          <w:rtl w:val="0"/>
        </w:rPr>
        <w:t xml:space="preserve">The return series is decomposed into a conditional mean process and a stochastic innovation term:</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$$r_t = \mu_t + \epsilon_t, \quad \epsilon_t = \sigma_t z_t, \quad z_t \overset{\text{i.i.d.}}{\sim} \mathcal{D}_{\text{Skew-}t}(0, 1; \nu, \lambda)$$</w:t>
      </w:r>
    </w:p>
    <w:p w:rsidR="00000000" w:rsidDel="00000000" w:rsidP="00000000" w:rsidRDefault="00000000" w:rsidRPr="00000000" w14:paraId="00000027">
      <w:pPr>
        <w:rPr/>
      </w:pPr>
      <w:r w:rsidDel="00000000" w:rsidR="00000000" w:rsidRPr="00000000">
        <w:rPr>
          <w:rtl w:val="0"/>
        </w:rPr>
        <w:t xml:space="preserve">where $\mu_t = \mathbb{E}[r_t \mid \mathcal{F}_{t-1}]$ represents the conditional mean given the historical filtration $\mathcal{F}_{t-1}$, $\sigma_t$ is the conditional standard deviation, and $z_t$ is an independently and identically distributed standardized innovation with zero mean and unit variance.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To explicitly capture the leverage effect—where negative return shocks trigger larger volatility increases than positive shocks of identical magnitude—the conditional variance $\sigma_t^2$ is parameterized using the asymmetric GJR-GARCH(1,1) recursion: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$$\sigma_t^2 = \omega + \left( \alpha + \gamma \mathbb{I}_{\{\epsilon_{t-1} &lt; 0\}} \right) \epsilon_{t-1}^2 + \beta \sigma_{t-1}^2$$</w:t>
      </w:r>
    </w:p>
    <w:p w:rsidR="00000000" w:rsidDel="00000000" w:rsidP="00000000" w:rsidRDefault="00000000" w:rsidRPr="00000000" w14:paraId="0000002C">
      <w:pPr>
        <w:rPr/>
      </w:pPr>
      <w:r w:rsidDel="00000000" w:rsidR="00000000" w:rsidRPr="00000000">
        <w:rPr>
          <w:rtl w:val="0"/>
        </w:rPr>
        <w:t xml:space="preserve">where $\mathbb{I}_{\{\cdot\}}$ is the Heaviside indicator function, equal to 1 if $\epsilon_{t-1} &lt; 0$ (a market decline) and 0 otherwise. To ensure positive definiteness of conditional variance ($\sigma_t^2 &gt; 0$), the parameters must satisfy the structural non-negativity constraints $\omega &gt; 0, \alpha \ge 0, \beta \ge 0,$ and $\alpha + \gamma \ge 0$. The parameter $\gamma$ explicitly quantifies the asymmetric leverage premium.</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To accommodate conditional leptokurtosis and skewness, $z_t$ is modeled via Hansen's (1994) Skewed Student-$t$ distribution, $\mathcal{D}_{\text{Skew-}t}(\nu, \lambda)$, where $\nu \in (2, \infty)$ governs tail thickness (degrees of freedom), and $\lambda \in (-1, 1)$ governs directional skewness. The complete parameter vector $\boldsymbol{\theta}_{\text{GJR}} = (\mu, \omega, \alpha, \gamma, \beta, \nu, \lambda)^\top$ is estimated numerically via Quasi-Maximum Likelihood Estimation (QMLE).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Once calibrated, Stage 1 generates the one-step-ahead conditional standard deviation forecast $\hat{\sigma}_{t+1}$ and isolates the standardized innovation: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$$z_t = \frac{r_t - \hat{\mu}_t}{\hat{\sigma}_t}$$</w:t>
      </w:r>
    </w:p>
    <w:p w:rsidR="00000000" w:rsidDel="00000000" w:rsidP="00000000" w:rsidRDefault="00000000" w:rsidRPr="00000000" w14:paraId="00000033">
      <w:pPr>
        <w:rPr/>
      </w:pPr>
      <w:r w:rsidDel="00000000" w:rsidR="00000000" w:rsidRPr="00000000">
        <w:rPr>
          <w:rtl w:val="0"/>
        </w:rPr>
        <w:t xml:space="preserve">By construction, $z_t$ is filtered of linear autoregressive memory, volatility clustering, and static tail skewness. This series serves as the baseline endogenous target for Stage 2.</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keepNext w:val="0"/>
        <w:keepLines w:val="0"/>
        <w:spacing w:before="0" w:lineRule="auto"/>
        <w:rPr>
          <w:b w:val="1"/>
          <w:bCs w:val="1"/>
          <w:color w:val="000000"/>
          <w:sz w:val="26"/>
          <w:szCs w:val="26"/>
        </w:rPr>
      </w:pPr>
      <w:bookmarkStart w:colFirst="0" w:colLast="0" w:name="_e7tkdx8lucch" w:id="7"/>
      <w:bookmarkEnd w:id="7"/>
      <w:r w:rsidDel="00000000" w:rsidR="00000000" w:rsidRPr="00000000">
        <w:rPr>
          <w:b w:val="1"/>
          <w:bCs w:val="1"/>
          <w:color w:val="000000"/>
          <w:sz w:val="26"/>
          <w:szCs w:val="26"/>
          <w:rtl w:val="0"/>
        </w:rPr>
        <w:t xml:space="preserve">3.2 Stage 2: Temporal Fusion Transformer Architecture</w:t>
      </w:r>
    </w:p>
    <w:p w:rsidR="00000000" w:rsidDel="00000000" w:rsidP="00000000" w:rsidRDefault="00000000" w:rsidRPr="00000000" w14:paraId="00000036">
      <w:pPr>
        <w:rPr/>
      </w:pPr>
      <w:r w:rsidDel="00000000" w:rsidR="00000000" w:rsidRPr="00000000">
        <w:rPr>
          <w:rtl w:val="0"/>
        </w:rPr>
        <w:t xml:space="preserve">The Temporal Fusion Transformer (TFT) takes the standardized innovation sequence $z_t$ and maps it alongside a multi-dimensional matrix of exogenous market, liquidity, and sentiment features $\mathbf{x}_t \in \mathbb{R}^D$ across a historical lookback window of length $K$.</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Crucially, to restore the network's autoregressive momentum without inducing tabular data leakage, the raw log return is explicitly passed into the network as a time-varying </w:t>
      </w:r>
      <w:r w:rsidDel="00000000" w:rsidR="00000000" w:rsidRPr="00000000">
        <w:rPr>
          <w:i w:val="1"/>
          <w:iCs w:val="1"/>
          <w:rtl w:val="0"/>
        </w:rPr>
        <w:t xml:space="preserve">unknown real</w:t>
      </w:r>
      <w:r w:rsidDel="00000000" w:rsidR="00000000" w:rsidRPr="00000000">
        <w:rPr>
          <w:rtl w:val="0"/>
        </w:rPr>
        <w:t xml:space="preserve"> (</w:t>
      </w:r>
      <w:r w:rsidDel="00000000" w:rsidR="00000000" w:rsidRPr="00000000">
        <w:rPr>
          <w:color w:val="188038"/>
          <w:rtl w:val="0"/>
        </w:rPr>
        <w:t xml:space="preserve">Log_Ret_Feature</w:t>
      </w:r>
      <w:r w:rsidDel="00000000" w:rsidR="00000000" w:rsidRPr="00000000">
        <w:rPr>
          <w:rtl w:val="0"/>
        </w:rPr>
        <w:t xml:space="preserve">). This routing choice mathematically forces the autoregressive sequence through the Variable Selection Network, allowing the encoder to weigh historical price momentum dynamically against macroeconomic priors up to time $t$, while strictly hiding the sequence from the decoder at the forecast step $t+1$.</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Gated Residual Networks (GRN)</w:t>
      </w:r>
    </w:p>
    <w:p w:rsidR="00000000" w:rsidDel="00000000" w:rsidP="00000000" w:rsidRDefault="00000000" w:rsidRPr="00000000" w14:paraId="0000003B">
      <w:pPr>
        <w:rPr/>
      </w:pPr>
      <w:r w:rsidDel="00000000" w:rsidR="00000000" w:rsidRPr="00000000">
        <w:rPr>
          <w:rtl w:val="0"/>
        </w:rPr>
        <w:t xml:space="preserve">The core non-linear computational block of the TFT is the Gated Residual Network (GRN). The GRN adaptively applies non-linear transformations while retaining the capacity to bypass unused parameters via residual gating: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$$\operatorname{GRN}_{\omega}(\mathbf{a}, \mathbf{c}) = \operatorname{LayerNorm}\left( \mathbf{a} + \operatorname{GLU}_{\omega}(\boldsymbol{\eta}_1) \right)$$</w:t>
      </w:r>
    </w:p>
    <w:p w:rsidR="00000000" w:rsidDel="00000000" w:rsidP="00000000" w:rsidRDefault="00000000" w:rsidRPr="00000000" w14:paraId="0000003E">
      <w:pPr>
        <w:rPr/>
      </w:pPr>
      <w:r w:rsidDel="00000000" w:rsidR="00000000" w:rsidRPr="00000000">
        <w:rPr>
          <w:rtl w:val="0"/>
        </w:rPr>
        <w:t xml:space="preserve">where $\mathbf{a}$ is the primary input vector, $\mathbf{c}$ is an optional external context vector, and $\operatorname{GLU}_{\omega}(\cdot)$ is the Gated Linear Unit providing component-wise adaptive suppression.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Variable Selection Networks (VSN)</w:t>
      </w:r>
    </w:p>
    <w:p w:rsidR="00000000" w:rsidDel="00000000" w:rsidP="00000000" w:rsidRDefault="00000000" w:rsidRPr="00000000" w14:paraId="00000041">
      <w:pPr>
        <w:rPr/>
      </w:pPr>
      <w:r w:rsidDel="00000000" w:rsidR="00000000" w:rsidRPr="00000000">
        <w:rPr>
          <w:rtl w:val="0"/>
        </w:rPr>
        <w:t xml:space="preserve">Financial time series exhibit low signal-to-noise ratios. The Variable Selection Network (VSN) provides instance-level feature selection by generating dynamic sparsity weights across all $M$ input channels. Let $\mathbf{\xi}_t^{(j)}$ denote the linear embedding of the $j$-th feature at time $t$. The flattened feature representation is passed through a dedicated variable selection GRN followed by a Softmax normalization layer: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$$\mathbf{v}_t = \operatorname{Softmax}\left( \operatorname{GRN}_{v}\left( [\mathbf{\xi}_t^{(1)}, \mathbf{\xi}_t^{(2)}, \dots, \mathbf{\xi}_t^{(M)}]^\top, \mathbf{c}_t \right) \right)$$</w:t>
      </w:r>
    </w:p>
    <w:p w:rsidR="00000000" w:rsidDel="00000000" w:rsidP="00000000" w:rsidRDefault="00000000" w:rsidRPr="00000000" w14:paraId="00000044">
      <w:pPr>
        <w:rPr/>
      </w:pPr>
      <w:r w:rsidDel="00000000" w:rsidR="00000000" w:rsidRPr="00000000">
        <w:rPr>
          <w:rtl w:val="0"/>
        </w:rPr>
        <w:t xml:space="preserve">The scalar weight $v_t^{(j)} \ge 0$ represents the dynamic contribution of variable $j$ at time $t$, satisfying $\sum_{j=1}^M v_t^{(j)} = 1$.</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Interpretable Multi-Head Self-Attention</w:t>
      </w:r>
    </w:p>
    <w:p w:rsidR="00000000" w:rsidDel="00000000" w:rsidP="00000000" w:rsidRDefault="00000000" w:rsidRPr="00000000" w14:paraId="00000047">
      <w:pPr>
        <w:rPr/>
      </w:pPr>
      <w:r w:rsidDel="00000000" w:rsidR="00000000" w:rsidRPr="00000000">
        <w:rPr>
          <w:rtl w:val="0"/>
        </w:rPr>
        <w:t xml:space="preserve">To capture temporal dependencies and regime switches across the $K$-day lookback window, the transformed representations are processed by an interpretable Multi-Head Self-Attention layer. To ensure that attention weights across multiple heads can be meaningfully aggregated into a singular temporal importance curve, the TFT shares value projections. The unified attention weight matrix $\tilde{\mathbf{A}} \in \mathbb{R}^{K \times K}$ is defined as the ensemble average of individual head attention scores: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$$\tilde{\mathbf{A}} = \frac{1}{H} \sum_{h=1}^{H} \operatorname{Softmax}\left( \frac{\left(\mathbf{\Theta} \mathbf{W}_Q^{(h)}\right) \left(\mathbf{\Theta} \mathbf{W}_K^{(h)}\right)^\top}{\sqrt{d_k}} \right)$$</w:t>
      </w:r>
    </w:p>
    <w:p w:rsidR="00000000" w:rsidDel="00000000" w:rsidP="00000000" w:rsidRDefault="00000000" w:rsidRPr="00000000" w14:paraId="0000004A">
      <w:pPr>
        <w:pStyle w:val="Heading3"/>
        <w:keepNext w:val="0"/>
        <w:keepLines w:val="0"/>
        <w:spacing w:before="0" w:lineRule="auto"/>
        <w:rPr>
          <w:b w:val="1"/>
          <w:bCs w:val="1"/>
          <w:color w:val="000000"/>
          <w:sz w:val="26"/>
          <w:szCs w:val="26"/>
        </w:rPr>
      </w:pPr>
      <w:bookmarkStart w:colFirst="0" w:colLast="0" w:name="_2klc5efevtnj" w:id="8"/>
      <w:bookmarkEnd w:id="8"/>
      <w:r w:rsidDel="00000000" w:rsidR="00000000" w:rsidRPr="00000000">
        <w:rPr>
          <w:b w:val="1"/>
          <w:bCs w:val="1"/>
          <w:color w:val="000000"/>
          <w:sz w:val="26"/>
          <w:szCs w:val="26"/>
          <w:rtl w:val="0"/>
        </w:rPr>
        <w:t xml:space="preserve">3.3 Multi-Quantile Asymmetric Pinball Loss Function</w:t>
      </w:r>
    </w:p>
    <w:p w:rsidR="00000000" w:rsidDel="00000000" w:rsidP="00000000" w:rsidRDefault="00000000" w:rsidRPr="00000000" w14:paraId="0000004B">
      <w:pPr>
        <w:rPr/>
      </w:pPr>
      <w:r w:rsidDel="00000000" w:rsidR="00000000" w:rsidRPr="00000000">
        <w:rPr>
          <w:rtl w:val="0"/>
        </w:rPr>
        <w:t xml:space="preserve">Rather than minimizing symmetric squared prediction errors, the terminal dense layer of the TFT directly outputs conditional quantiles $\hat{q}_q(z_{t+1})$ for a discrete set of regulatory quantiles $\mathcal{Q} = \{0.01, 0.50, 0.99\}$. The model is trained by minimizing the Asymmetric Quantile (Pinball) Loss: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$$\mathcal{L}_{\text{pinball}}\left( z_{t+1}, \hat{q}_q(z_{t+1}) \right) = \max\left( q\left(z_{t+1} - \hat{q}_q(z_{t+1})\right), \, (1 - q)\left(\hat{q}_q(z_{t+1}) - z_{t+1}\right) \right)$$</w:t>
      </w:r>
    </w:p>
    <w:p w:rsidR="00000000" w:rsidDel="00000000" w:rsidP="00000000" w:rsidRDefault="00000000" w:rsidRPr="00000000" w14:paraId="0000004E">
      <w:pPr>
        <w:rPr/>
      </w:pPr>
      <w:r w:rsidDel="00000000" w:rsidR="00000000" w:rsidRPr="00000000">
        <w:rPr>
          <w:rtl w:val="0"/>
        </w:rPr>
        <w:t xml:space="preserve">This loss function introduces an asymmetric penalty structure: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$$\mathcal{L}_{\text{pinball}} = \begin{cases} q \cdot \left\vert{} z_{t+1} - \hat{q}_q(z_{t+1}) \right\vert{} &amp; \text{if } z_{t+1} \ge \hat{q}_q(z_{t+1}) \quad (\text{safe observation}) \\ (1 - q) \cdot \left\vert{} z_{t+1} - \hat{q}_q(z_{t+1}) \right\vert{} &amp; \text{if } z_{t+1} &lt; \hat{q}_q(z_{t+1}) \quad (\text{underestimation of risk}) \end{cases}$$</w:t>
      </w:r>
    </w:p>
    <w:p w:rsidR="00000000" w:rsidDel="00000000" w:rsidP="00000000" w:rsidRDefault="00000000" w:rsidRPr="00000000" w14:paraId="00000051">
      <w:pPr>
        <w:rPr/>
      </w:pPr>
      <w:r w:rsidDel="00000000" w:rsidR="00000000" w:rsidRPr="00000000">
        <w:rPr>
          <w:rtl w:val="0"/>
        </w:rPr>
        <w:t xml:space="preserve">For the critical 99% downside tail ($q = 0.01$), an unexpected return violation where the standardized shock drops below the predicted quantile is penalized with a factor of $(1 - q) = 0.99$, whereas a safe observation above the threshold is weighted at only $q = 0.01$. This matches the supervisory cost function under Basel III: capital under-allocation is penalized 99 times more heavily than capital conservatism.</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keepNext w:val="0"/>
        <w:keepLines w:val="0"/>
        <w:spacing w:before="0" w:lineRule="auto"/>
        <w:rPr>
          <w:b w:val="1"/>
          <w:bCs w:val="1"/>
          <w:color w:val="000000"/>
          <w:sz w:val="26"/>
          <w:szCs w:val="26"/>
        </w:rPr>
      </w:pPr>
      <w:bookmarkStart w:colFirst="0" w:colLast="0" w:name="_nrw271ncva4m" w:id="9"/>
      <w:bookmarkEnd w:id="9"/>
      <w:r w:rsidDel="00000000" w:rsidR="00000000" w:rsidRPr="00000000">
        <w:rPr>
          <w:b w:val="1"/>
          <w:bCs w:val="1"/>
          <w:color w:val="000000"/>
          <w:sz w:val="26"/>
          <w:szCs w:val="26"/>
          <w:rtl w:val="0"/>
        </w:rPr>
        <w:t xml:space="preserve">3.4 Hybrid Recomposition and the Model Risk Governance Circuit Breaker</w:t>
      </w:r>
    </w:p>
    <w:p w:rsidR="00000000" w:rsidDel="00000000" w:rsidP="00000000" w:rsidRDefault="00000000" w:rsidRPr="00000000" w14:paraId="00000054">
      <w:pPr>
        <w:rPr/>
      </w:pPr>
      <w:r w:rsidDel="00000000" w:rsidR="00000000" w:rsidRPr="00000000">
        <w:rPr>
          <w:rtl w:val="0"/>
        </w:rPr>
        <w:t xml:space="preserve">The Stage 2 output provides a non-parametric estimate of the conditional innovation quantile $\hat{q}_q(z_{t+1} \mid \mathcal{F}_t)$. To convert this dimensionless neural quantile back into an operational percentage return boundary, the forecast is rescaled by the Stage 1 econometric filter: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$$\widehat{\text{VaR}}_{t+1\vert{}t}^{q, \text{TFT}} = \hat{\mu}_{t+1} + \hat{\sigma}_{t+1, \text{GJR}} \cdot \hat{q}_q(z_{t+1})$$</w:t>
      </w:r>
    </w:p>
    <w:p w:rsidR="00000000" w:rsidDel="00000000" w:rsidP="00000000" w:rsidRDefault="00000000" w:rsidRPr="00000000" w14:paraId="00000057">
      <w:pPr>
        <w:rPr>
          <w:b w:val="1"/>
          <w:bCs w:val="1"/>
        </w:rPr>
      </w:pPr>
      <w:r w:rsidDel="00000000" w:rsidR="00000000" w:rsidRPr="00000000">
        <w:rPr>
          <w:b w:val="1"/>
          <w:bCs w:val="1"/>
          <w:rtl w:val="0"/>
        </w:rPr>
        <w:t xml:space="preserve">The Deterministic Asymmetric Circuit Breaker</w:t>
      </w:r>
    </w:p>
    <w:p w:rsidR="00000000" w:rsidDel="00000000" w:rsidP="00000000" w:rsidRDefault="00000000" w:rsidRPr="00000000" w14:paraId="00000058">
      <w:pPr>
        <w:rPr/>
      </w:pPr>
      <w:r w:rsidDel="00000000" w:rsidR="00000000" w:rsidRPr="00000000">
        <w:rPr>
          <w:rtl w:val="0"/>
        </w:rPr>
        <w:t xml:space="preserve">Independent neural networks suffer from out-of-distribution (OOD) hallucinations. When a market crash generates an unprecedented exogenous shock vector, the neural network encounters inputs outside its training distribution. In the absence of parametric constraints, multi-head attention weights can collapse, predicting an artificially narrow risk band.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To ensure compliance under supervisory Model Risk Management (MRM) standards, we introduce a mathematical circuit breaker. The structural parametric quantile from the Stage 1 Skew-T GJR-GARCH serves as an inviolable capital floor:</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$$q_{0.01}^{\text{Skew-}t} = F_{\text{Skew-}t}^{-1}\left(0.01; \, \hat{\nu}, \hat{\lambda}\right)$$</w:t>
      </w:r>
    </w:p>
    <w:p w:rsidR="00000000" w:rsidDel="00000000" w:rsidP="00000000" w:rsidRDefault="00000000" w:rsidRPr="00000000" w14:paraId="0000005D">
      <w:pPr>
        <w:rPr/>
      </w:pPr>
      <w:r w:rsidDel="00000000" w:rsidR="00000000" w:rsidRPr="00000000">
        <w:rPr>
          <w:rtl w:val="0"/>
        </w:rPr>
        <w:t xml:space="preserve">$$\widehat{\text{VaR}}_{t+1\vert{}t}^{0.01, \text{Floor}} = \hat{\mu}_{t+1} + \hat{\sigma}_{t+1, \text{GJR}} \cdot q_{0.01}^{\text{Skew-}t}$$</w:t>
      </w:r>
    </w:p>
    <w:p w:rsidR="00000000" w:rsidDel="00000000" w:rsidP="00000000" w:rsidRDefault="00000000" w:rsidRPr="00000000" w14:paraId="0000005E">
      <w:pPr>
        <w:rPr/>
      </w:pPr>
      <w:r w:rsidDel="00000000" w:rsidR="00000000" w:rsidRPr="00000000">
        <w:rPr>
          <w:rtl w:val="0"/>
        </w:rPr>
        <w:t xml:space="preserve">The final operational 99% Downside Value-at-Risk boundary is defined as: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$$\widehat{\text{VaR}}_{t+1\vert{}t}^{0.01, \text{Final}} = \min\left( \widehat{\text{VaR}}_{t+1\vert{}t}^{0.01, \text{TFT}}, \; \widehat{\text{VaR}}_{t+1\vert{}t}^{0.01, \text{Floor}} \right)$$</w:t>
      </w:r>
    </w:p>
    <w:p w:rsidR="00000000" w:rsidDel="00000000" w:rsidP="00000000" w:rsidRDefault="00000000" w:rsidRPr="00000000" w14:paraId="00000061">
      <w:pPr>
        <w:rPr/>
      </w:pPr>
      <w:r w:rsidDel="00000000" w:rsidR="00000000" w:rsidRPr="00000000">
        <w:rPr>
          <w:rtl w:val="0"/>
        </w:rPr>
        <w:t xml:space="preserve">This formulation guarantees capital conservation while mathematically prohibiting the neural model from contracting capital reserves below the heavy-tailed parametric floor, eliminating solvency risk due to algorithmic hallucination and structurally bounding the probability of quantile crossing.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keepNext w:val="0"/>
        <w:keepLines w:val="0"/>
        <w:spacing w:after="80" w:before="0" w:lineRule="auto"/>
        <w:rPr>
          <w:b w:val="1"/>
          <w:bCs w:val="1"/>
          <w:sz w:val="34"/>
          <w:szCs w:val="34"/>
        </w:rPr>
      </w:pPr>
      <w:bookmarkStart w:colFirst="0" w:colLast="0" w:name="_xcq2aqbwao7j" w:id="10"/>
      <w:bookmarkEnd w:id="10"/>
      <w:r w:rsidDel="00000000" w:rsidR="00000000" w:rsidRPr="00000000">
        <w:rPr>
          <w:b w:val="1"/>
          <w:bCs w:val="1"/>
          <w:sz w:val="34"/>
          <w:szCs w:val="34"/>
          <w:rtl w:val="0"/>
        </w:rPr>
        <w:t xml:space="preserve">4. Data, Temporal Alignment, and Empirical Pre-Estimation</w:t>
      </w:r>
    </w:p>
    <w:p w:rsidR="00000000" w:rsidDel="00000000" w:rsidP="00000000" w:rsidRDefault="00000000" w:rsidRPr="00000000" w14:paraId="00000064">
      <w:pPr>
        <w:rPr/>
      </w:pPr>
      <w:r w:rsidDel="00000000" w:rsidR="00000000" w:rsidRPr="00000000">
        <w:rPr>
          <w:rtl w:val="0"/>
        </w:rPr>
        <w:t xml:space="preserve">Before calibrating non-linear deep learning architectures, a defensible empirical research design requires establishing the statistical foundations of the underlying time series, enforcing strict temporal integrity to prevent lookahead bias, and econometrically verifying the transmission channels that justify the inclusion of exogenous covariates.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keepNext w:val="0"/>
        <w:keepLines w:val="0"/>
        <w:spacing w:before="0" w:lineRule="auto"/>
        <w:rPr>
          <w:b w:val="1"/>
          <w:bCs w:val="1"/>
          <w:color w:val="000000"/>
          <w:sz w:val="26"/>
          <w:szCs w:val="26"/>
        </w:rPr>
      </w:pPr>
      <w:bookmarkStart w:colFirst="0" w:colLast="0" w:name="_61djf0i05rs6" w:id="11"/>
      <w:bookmarkEnd w:id="11"/>
      <w:r w:rsidDel="00000000" w:rsidR="00000000" w:rsidRPr="00000000">
        <w:rPr>
          <w:b w:val="1"/>
          <w:bCs w:val="1"/>
          <w:color w:val="000000"/>
          <w:sz w:val="26"/>
          <w:szCs w:val="26"/>
          <w:rtl w:val="0"/>
        </w:rPr>
        <w:t xml:space="preserve">4.1 Data Provenance and Feature Engineering</w:t>
      </w:r>
    </w:p>
    <w:p w:rsidR="00000000" w:rsidDel="00000000" w:rsidP="00000000" w:rsidRDefault="00000000" w:rsidRPr="00000000" w14:paraId="00000067">
      <w:pPr>
        <w:rPr/>
      </w:pPr>
      <w:r w:rsidDel="00000000" w:rsidR="00000000" w:rsidRPr="00000000">
        <w:rPr>
          <w:rtl w:val="0"/>
        </w:rPr>
        <w:t xml:space="preserve">The empirical dataset spans a multi-asset emerging market equity panel, comprising the National Stock Exchange of India’s primary benchmark (NIFTY 50) and its two most volatile sector indices (BANKNIFTY and NIFTY IT). The feature space evaluates end-of-day closing prices alongside specialized volatility proxies: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numPr>
          <w:ilvl w:val="0"/>
          <w:numId w:val="6"/>
        </w:numPr>
        <w:spacing w:after="0" w:afterAutospacing="0" w:lineRule="auto"/>
        <w:ind w:left="720" w:hanging="360"/>
      </w:pPr>
      <w:r w:rsidDel="00000000" w:rsidR="00000000" w:rsidRPr="00000000">
        <w:rPr>
          <w:b w:val="1"/>
          <w:bCs w:val="1"/>
          <w:rtl w:val="0"/>
        </w:rPr>
        <w:t xml:space="preserve">Intraday Range Volatility (</w:t>
      </w:r>
      <w:r w:rsidDel="00000000" w:rsidR="00000000" w:rsidRPr="00000000">
        <w:rPr>
          <w:b w:val="1"/>
          <w:bCs w:val="1"/>
          <w:color w:val="188038"/>
          <w:rtl w:val="0"/>
        </w:rPr>
        <w:t xml:space="preserve">GK_Vol</w:t>
      </w:r>
      <w:r w:rsidDel="00000000" w:rsidR="00000000" w:rsidRPr="00000000">
        <w:rPr>
          <w:b w:val="1"/>
          <w:bCs w:val="1"/>
          <w:rtl w:val="0"/>
        </w:rPr>
        <w:t xml:space="preserve">):</w:t>
      </w:r>
      <w:r w:rsidDel="00000000" w:rsidR="00000000" w:rsidRPr="00000000">
        <w:rPr>
          <w:rtl w:val="0"/>
        </w:rPr>
        <w:t xml:space="preserve"> The Garman-Klass historical volatility estimator, leveraging daily Open, High, Low, and Close (OHLC) prices to capture continuous intraday price dispersion.</w:t>
        <w:br w:type="textWrapping"/>
      </w:r>
    </w:p>
    <w:p w:rsidR="00000000" w:rsidDel="00000000" w:rsidP="00000000" w:rsidRDefault="00000000" w:rsidRPr="00000000" w14:paraId="0000006A">
      <w:pPr>
        <w:numPr>
          <w:ilvl w:val="0"/>
          <w:numId w:val="6"/>
        </w:numPr>
        <w:spacing w:after="0" w:afterAutospacing="0" w:lineRule="auto"/>
        <w:ind w:left="720" w:hanging="360"/>
      </w:pPr>
      <w:r w:rsidDel="00000000" w:rsidR="00000000" w:rsidRPr="00000000">
        <w:rPr>
          <w:b w:val="1"/>
          <w:bCs w:val="1"/>
          <w:rtl w:val="0"/>
        </w:rPr>
        <w:t xml:space="preserve">Cross-Border Implied Volatility (</w:t>
      </w:r>
      <w:r w:rsidDel="00000000" w:rsidR="00000000" w:rsidRPr="00000000">
        <w:rPr>
          <w:b w:val="1"/>
          <w:bCs w:val="1"/>
          <w:color w:val="188038"/>
          <w:rtl w:val="0"/>
        </w:rPr>
        <w:t xml:space="preserve">US_VIX_Diff</w:t>
      </w:r>
      <w:r w:rsidDel="00000000" w:rsidR="00000000" w:rsidRPr="00000000">
        <w:rPr>
          <w:b w:val="1"/>
          <w:bCs w:val="1"/>
          <w:rtl w:val="0"/>
        </w:rPr>
        <w:t xml:space="preserve">):</w:t>
      </w:r>
      <w:r w:rsidDel="00000000" w:rsidR="00000000" w:rsidRPr="00000000">
        <w:rPr>
          <w:rtl w:val="0"/>
        </w:rPr>
        <w:t xml:space="preserve"> The daily log-difference of the CBOE Volatility Index, functioning as the premier institutional barometer of global investor risk aversion.</w:t>
        <w:br w:type="textWrapping"/>
      </w:r>
    </w:p>
    <w:p w:rsidR="00000000" w:rsidDel="00000000" w:rsidP="00000000" w:rsidRDefault="00000000" w:rsidRPr="00000000" w14:paraId="0000006B">
      <w:pPr>
        <w:numPr>
          <w:ilvl w:val="0"/>
          <w:numId w:val="6"/>
        </w:numPr>
        <w:spacing w:after="240" w:lineRule="auto"/>
        <w:ind w:left="720" w:hanging="360"/>
      </w:pPr>
      <w:r w:rsidDel="00000000" w:rsidR="00000000" w:rsidRPr="00000000">
        <w:rPr>
          <w:b w:val="1"/>
          <w:bCs w:val="1"/>
          <w:rtl w:val="0"/>
        </w:rPr>
        <w:t xml:space="preserve">Domestic Volatility Spillovers (</w:t>
      </w:r>
      <w:r w:rsidDel="00000000" w:rsidR="00000000" w:rsidRPr="00000000">
        <w:rPr>
          <w:b w:val="1"/>
          <w:bCs w:val="1"/>
          <w:color w:val="188038"/>
          <w:rtl w:val="0"/>
        </w:rPr>
        <w:t xml:space="preserve">India_VIX_Diff</w:t>
      </w:r>
      <w:r w:rsidDel="00000000" w:rsidR="00000000" w:rsidRPr="00000000">
        <w:rPr>
          <w:b w:val="1"/>
          <w:bCs w:val="1"/>
          <w:rtl w:val="0"/>
        </w:rPr>
        <w:t xml:space="preserve">):</w:t>
      </w:r>
      <w:r w:rsidDel="00000000" w:rsidR="00000000" w:rsidRPr="00000000">
        <w:rPr>
          <w:rtl w:val="0"/>
        </w:rPr>
        <w:t xml:space="preserve"> The daily log-difference of the India VIX (or its realized-volatility proxy fallback), tracking localized market panic.</w:t>
        <w:br w:type="textWrapping"/>
      </w:r>
    </w:p>
    <w:p w:rsidR="00000000" w:rsidDel="00000000" w:rsidP="00000000" w:rsidRDefault="00000000" w:rsidRPr="00000000" w14:paraId="0000006C">
      <w:pPr>
        <w:pStyle w:val="Heading3"/>
        <w:keepNext w:val="0"/>
        <w:keepLines w:val="0"/>
        <w:spacing w:before="0" w:lineRule="auto"/>
        <w:rPr>
          <w:b w:val="1"/>
          <w:bCs w:val="1"/>
          <w:color w:val="000000"/>
          <w:sz w:val="26"/>
          <w:szCs w:val="26"/>
        </w:rPr>
      </w:pPr>
      <w:bookmarkStart w:colFirst="0" w:colLast="0" w:name="_yw6z4r9wtl6i" w:id="12"/>
      <w:bookmarkEnd w:id="12"/>
      <w:r w:rsidDel="00000000" w:rsidR="00000000" w:rsidRPr="00000000">
        <w:rPr>
          <w:b w:val="1"/>
          <w:bCs w:val="1"/>
          <w:color w:val="000000"/>
          <w:sz w:val="26"/>
          <w:szCs w:val="26"/>
          <w:rtl w:val="0"/>
        </w:rPr>
        <w:t xml:space="preserve">4.2 Empirical Pre-Estimation: Leptokurtosis and Heavy Tails</w:t>
      </w:r>
    </w:p>
    <w:p w:rsidR="00000000" w:rsidDel="00000000" w:rsidP="00000000" w:rsidRDefault="00000000" w:rsidRPr="00000000" w14:paraId="0000006D">
      <w:pPr>
        <w:rPr/>
      </w:pPr>
      <w:r w:rsidDel="00000000" w:rsidR="00000000" w:rsidRPr="00000000">
        <w:rPr>
          <w:rtl w:val="0"/>
        </w:rPr>
        <w:t xml:space="preserve">To establish the necessity of the Stage 1 Skew-T GJR-GARCH filter over standard Gaussian models, we estimate the conditional variance equation programmatically across the historical sample. The empirical maximum likelihood estimation yields the following degrees of freedom ($\nu$) parameters for the Skewed Student-$t$ distribution: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numPr>
          <w:ilvl w:val="0"/>
          <w:numId w:val="2"/>
        </w:numPr>
        <w:spacing w:after="0" w:afterAutospacing="0" w:lineRule="auto"/>
        <w:ind w:left="720" w:hanging="360"/>
      </w:pPr>
      <w:r w:rsidDel="00000000" w:rsidR="00000000" w:rsidRPr="00000000">
        <w:rPr>
          <w:b w:val="1"/>
          <w:bCs w:val="1"/>
          <w:rtl w:val="0"/>
        </w:rPr>
        <w:t xml:space="preserve">NIFTY 50:</w:t>
      </w:r>
      <w:r w:rsidDel="00000000" w:rsidR="00000000" w:rsidRPr="00000000">
        <w:rPr>
          <w:rtl w:val="0"/>
        </w:rPr>
        <w:t xml:space="preserve"> $\nu = 6.89$</w:t>
        <w:br w:type="textWrapping"/>
      </w:r>
    </w:p>
    <w:p w:rsidR="00000000" w:rsidDel="00000000" w:rsidP="00000000" w:rsidRDefault="00000000" w:rsidRPr="00000000" w14:paraId="00000070">
      <w:pPr>
        <w:numPr>
          <w:ilvl w:val="0"/>
          <w:numId w:val="2"/>
        </w:numPr>
        <w:spacing w:after="0" w:afterAutospacing="0" w:lineRule="auto"/>
        <w:ind w:left="720" w:hanging="360"/>
      </w:pPr>
      <w:r w:rsidDel="00000000" w:rsidR="00000000" w:rsidRPr="00000000">
        <w:rPr>
          <w:b w:val="1"/>
          <w:bCs w:val="1"/>
          <w:rtl w:val="0"/>
        </w:rPr>
        <w:t xml:space="preserve">BANKNIFTY:</w:t>
      </w:r>
      <w:r w:rsidDel="00000000" w:rsidR="00000000" w:rsidRPr="00000000">
        <w:rPr>
          <w:rtl w:val="0"/>
        </w:rPr>
        <w:t xml:space="preserve"> $\nu = 5.24$</w:t>
        <w:br w:type="textWrapping"/>
      </w:r>
    </w:p>
    <w:p w:rsidR="00000000" w:rsidDel="00000000" w:rsidP="00000000" w:rsidRDefault="00000000" w:rsidRPr="00000000" w14:paraId="00000071">
      <w:pPr>
        <w:numPr>
          <w:ilvl w:val="0"/>
          <w:numId w:val="2"/>
        </w:numPr>
        <w:spacing w:after="240" w:lineRule="auto"/>
        <w:ind w:left="720" w:hanging="360"/>
      </w:pPr>
      <w:r w:rsidDel="00000000" w:rsidR="00000000" w:rsidRPr="00000000">
        <w:rPr>
          <w:b w:val="1"/>
          <w:bCs w:val="1"/>
          <w:rtl w:val="0"/>
        </w:rPr>
        <w:t xml:space="preserve">NIFTY IT:</w:t>
      </w:r>
      <w:r w:rsidDel="00000000" w:rsidR="00000000" w:rsidRPr="00000000">
        <w:rPr>
          <w:rtl w:val="0"/>
        </w:rPr>
        <w:t xml:space="preserve"> $\nu = 4.53$</w:t>
        <w:br w:type="textWrapping"/>
      </w:r>
    </w:p>
    <w:p w:rsidR="00000000" w:rsidDel="00000000" w:rsidP="00000000" w:rsidRDefault="00000000" w:rsidRPr="00000000" w14:paraId="00000072">
      <w:pPr>
        <w:rPr/>
      </w:pPr>
      <w:r w:rsidDel="00000000" w:rsidR="00000000" w:rsidRPr="00000000">
        <w:rPr>
          <w:rtl w:val="0"/>
        </w:rPr>
        <w:t xml:space="preserve">Because a normal distribution implies $\nu \to \infty$, these empirical estimates ($4 &lt; \nu &lt; 7$) definitively prove the existence of severe leptokurtosis (heavy tails) across the entire Indian equity panel. Any symmetric or Gaussian volatility model deployed on these returns fundamentally understates variance expansion following market crashes, cementing the necessity of the Skew-T GJR-GARCH filter.</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keepNext w:val="0"/>
        <w:keepLines w:val="0"/>
        <w:spacing w:before="0" w:lineRule="auto"/>
        <w:rPr>
          <w:b w:val="1"/>
          <w:bCs w:val="1"/>
          <w:color w:val="000000"/>
          <w:sz w:val="26"/>
          <w:szCs w:val="26"/>
        </w:rPr>
      </w:pPr>
      <w:bookmarkStart w:colFirst="0" w:colLast="0" w:name="_45if5fyrczd3" w:id="13"/>
      <w:bookmarkEnd w:id="13"/>
      <w:r w:rsidDel="00000000" w:rsidR="00000000" w:rsidRPr="00000000">
        <w:rPr>
          <w:b w:val="1"/>
          <w:bCs w:val="1"/>
          <w:color w:val="000000"/>
          <w:sz w:val="26"/>
          <w:szCs w:val="26"/>
          <w:rtl w:val="0"/>
        </w:rPr>
        <w:t xml:space="preserve">4.3 Timezone Offsets and Point-in-Time (PIT) Alignment</w:t>
      </w:r>
    </w:p>
    <w:p w:rsidR="00000000" w:rsidDel="00000000" w:rsidP="00000000" w:rsidRDefault="00000000" w:rsidRPr="00000000" w14:paraId="00000075">
      <w:pPr>
        <w:rPr/>
      </w:pPr>
      <w:r w:rsidDel="00000000" w:rsidR="00000000" w:rsidRPr="00000000">
        <w:rPr>
          <w:rtl w:val="0"/>
        </w:rPr>
        <w:t xml:space="preserve">A pervasive failure mode in empirical machine learning is lookahead bias caused by naive calendar date merging across international borders. Indian equities (NSE) execute trading between 09:15 and 15:30 Indian Standard Time (IST). In contrast, US equity and options markets (CBOE) trade from 09:30 to 16:00 Eastern Standard Time (EST), closing at 01:30 IST on the following calendar day.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At 15:30 IST on calendar day $t$, when an Indian trading desk executes post-market risk evaluations and generates the one-step-ahead $\text{VaR}_{t+1}$ forecast, US markets for day $t$ have not yet opened. Merging the US VIX closing price of day $t$ with Indian returns of day $t$ implicitly leaks future information into the model. To guarantee strict Point-in-Time (PIT) operational validity, all cross-border feature vectors are causally masked: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numPr>
          <w:ilvl w:val="0"/>
          <w:numId w:val="5"/>
        </w:numPr>
        <w:spacing w:after="0" w:afterAutospacing="0" w:lineRule="auto"/>
        <w:ind w:left="720" w:hanging="360"/>
      </w:pPr>
      <w:r w:rsidDel="00000000" w:rsidR="00000000" w:rsidRPr="00000000">
        <w:rPr>
          <w:b w:val="1"/>
          <w:bCs w:val="1"/>
          <w:rtl w:val="0"/>
        </w:rPr>
        <w:t xml:space="preserve">US VIX Lag:</w:t>
      </w:r>
      <w:r w:rsidDel="00000000" w:rsidR="00000000" w:rsidRPr="00000000">
        <w:rPr>
          <w:rtl w:val="0"/>
        </w:rPr>
        <w:t xml:space="preserve"> Shifted by $t-2$ calendar days to ensure the utilized closing value is entirely historical by 15:30 IST on day $t$.</w:t>
        <w:br w:type="textWrapping"/>
      </w:r>
    </w:p>
    <w:p w:rsidR="00000000" w:rsidDel="00000000" w:rsidP="00000000" w:rsidRDefault="00000000" w:rsidRPr="00000000" w14:paraId="0000007A">
      <w:pPr>
        <w:numPr>
          <w:ilvl w:val="0"/>
          <w:numId w:val="5"/>
        </w:numPr>
        <w:spacing w:after="240" w:lineRule="auto"/>
        <w:ind w:left="720" w:hanging="360"/>
      </w:pPr>
      <w:r w:rsidDel="00000000" w:rsidR="00000000" w:rsidRPr="00000000">
        <w:rPr>
          <w:b w:val="1"/>
          <w:bCs w:val="1"/>
          <w:rtl w:val="0"/>
        </w:rPr>
        <w:t xml:space="preserve">India VIX Lag:</w:t>
      </w:r>
      <w:r w:rsidDel="00000000" w:rsidR="00000000" w:rsidRPr="00000000">
        <w:rPr>
          <w:rtl w:val="0"/>
        </w:rPr>
        <w:t xml:space="preserve"> Shifted by $t-1$, as domestic implied volatility closes synchronously with the underlying equity indices.</w:t>
        <w:br w:type="textWrapping"/>
      </w:r>
    </w:p>
    <w:p w:rsidR="00000000" w:rsidDel="00000000" w:rsidP="00000000" w:rsidRDefault="00000000" w:rsidRPr="00000000" w14:paraId="0000007B">
      <w:pPr>
        <w:pStyle w:val="Heading3"/>
        <w:keepNext w:val="0"/>
        <w:keepLines w:val="0"/>
        <w:spacing w:before="0" w:lineRule="auto"/>
        <w:rPr>
          <w:b w:val="1"/>
          <w:bCs w:val="1"/>
          <w:color w:val="000000"/>
          <w:sz w:val="26"/>
          <w:szCs w:val="26"/>
        </w:rPr>
      </w:pPr>
      <w:bookmarkStart w:colFirst="0" w:colLast="0" w:name="_wlgraw63j2zb" w:id="14"/>
      <w:bookmarkEnd w:id="14"/>
      <w:r w:rsidDel="00000000" w:rsidR="00000000" w:rsidRPr="00000000">
        <w:rPr>
          <w:b w:val="1"/>
          <w:bCs w:val="1"/>
          <w:color w:val="000000"/>
          <w:sz w:val="26"/>
          <w:szCs w:val="26"/>
          <w:rtl w:val="0"/>
        </w:rPr>
        <w:t xml:space="preserve">4.4 Dynamic Vector Autoregressive Granger Causality Spillovers</w:t>
      </w:r>
    </w:p>
    <w:p w:rsidR="00000000" w:rsidDel="00000000" w:rsidP="00000000" w:rsidRDefault="00000000" w:rsidRPr="00000000" w14:paraId="0000007C">
      <w:pPr>
        <w:rPr/>
      </w:pPr>
      <w:r w:rsidDel="00000000" w:rsidR="00000000" w:rsidRPr="00000000">
        <w:rPr>
          <w:rtl w:val="0"/>
        </w:rPr>
        <w:t xml:space="preserve">To mathematically justify passing exogenous macro features into the deep learning network, we estimate a bivariate Vector Autoregression (VAR) framework to test for macroeconomic causality. Crucially, while the machine learning inputs are lagged to prevent lookahead bias, the econometric Granger causality tests are executed on the true, unshifted native chronological calendar to accurately map market closures.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We test the linear non-causality null hypotheses via Wald $\chi^2$ test statistics across multi-day lag horizons. The empirical estimates reveal an asymmetric transmission mechanism: US implied volatility shocks (US VIX) Granger-cause domestic equity volatility with extreme statistical significance ($p = 0.0000$). This confirms the structural macro-financial hierarchy—global risk-parity repositioning out of Wall Street structurally drives emerging market tail distributions—providing the formal econometric justification for feeding the US VIX into the Stage 2 Temporal Fusion Transformer.</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keepNext w:val="0"/>
        <w:keepLines w:val="0"/>
        <w:spacing w:after="80" w:before="0" w:lineRule="auto"/>
        <w:rPr>
          <w:b w:val="1"/>
          <w:bCs w:val="1"/>
          <w:sz w:val="34"/>
          <w:szCs w:val="34"/>
        </w:rPr>
      </w:pPr>
      <w:bookmarkStart w:colFirst="0" w:colLast="0" w:name="_72mpl3tzkaxf" w:id="15"/>
      <w:bookmarkEnd w:id="15"/>
      <w:r w:rsidDel="00000000" w:rsidR="00000000" w:rsidRPr="00000000">
        <w:rPr>
          <w:b w:val="1"/>
          <w:bCs w:val="1"/>
          <w:sz w:val="34"/>
          <w:szCs w:val="34"/>
          <w:rtl w:val="0"/>
        </w:rPr>
        <w:t xml:space="preserve">5. Out-of-Sample Backtesting and Regulatory Validation</w:t>
      </w:r>
    </w:p>
    <w:p w:rsidR="00000000" w:rsidDel="00000000" w:rsidP="00000000" w:rsidRDefault="00000000" w:rsidRPr="00000000" w14:paraId="00000081">
      <w:pPr>
        <w:rPr/>
      </w:pPr>
      <w:r w:rsidDel="00000000" w:rsidR="00000000" w:rsidRPr="00000000">
        <w:rPr>
          <w:rtl w:val="0"/>
        </w:rPr>
        <w:t xml:space="preserve">The ultimate test of a macroprudential risk model is its out-of-sample predictive validity under operational regulatory constraints. In institutional environments governed by the Basel Committee on Banking Supervision (BCBS) and the Reserve Bank of India, risk models are not evaluated on symmetric mean squared errors. Instead, they are subjected to strict out-of-sample backtesting against high-confidence tail boundaries (99% Value-at-Risk, $q = 0.01$).</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We evaluate the out-of-sample test horizon ($T = 500$ trading days), conduct formal regulatory hypothesis testing, evaluate Basel III Traffic Light compliance, and dissect the Diebold-Mariano statistical parity of the neural network.</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3"/>
        <w:keepNext w:val="0"/>
        <w:keepLines w:val="0"/>
        <w:spacing w:before="0" w:lineRule="auto"/>
        <w:rPr>
          <w:b w:val="1"/>
          <w:bCs w:val="1"/>
          <w:color w:val="000000"/>
          <w:sz w:val="26"/>
          <w:szCs w:val="26"/>
        </w:rPr>
      </w:pPr>
      <w:bookmarkStart w:colFirst="0" w:colLast="0" w:name="_1n7y1yer7z7m" w:id="16"/>
      <w:bookmarkEnd w:id="16"/>
      <w:r w:rsidDel="00000000" w:rsidR="00000000" w:rsidRPr="00000000">
        <w:rPr>
          <w:b w:val="1"/>
          <w:bCs w:val="1"/>
          <w:color w:val="000000"/>
          <w:sz w:val="26"/>
          <w:szCs w:val="26"/>
          <w:rtl w:val="0"/>
        </w:rPr>
        <w:t xml:space="preserve">5.1 Basel III Regulatory Compliance and Formal Hypothesis Testing</w:t>
      </w:r>
    </w:p>
    <w:p w:rsidR="00000000" w:rsidDel="00000000" w:rsidP="00000000" w:rsidRDefault="00000000" w:rsidRPr="00000000" w14:paraId="00000086">
      <w:pPr>
        <w:rPr/>
      </w:pPr>
      <w:r w:rsidDel="00000000" w:rsidR="00000000" w:rsidRPr="00000000">
        <w:rPr>
          <w:rtl w:val="0"/>
        </w:rPr>
        <w:t xml:space="preserve">To determine whether the Econometrically-Conditioned TFT (ECTFT) satisfies legal requirements for internal model deployment, we conduct the Kupiec (1995) Proportion of Failures (POF) test, the Christoffersen (1998) Independence test, and the Engle-Manganelli Dynamic Quantile (DQ) test. Over a 500-day out-of-sample window at the 99% confidence interval, the theoretical expectation is exactly 5.0 tail exceptions.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Across the median validation trajectory, the ECTFT achieves flawless calibration across the entire multi-asset panel:</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numPr>
          <w:ilvl w:val="0"/>
          <w:numId w:val="3"/>
        </w:numPr>
        <w:spacing w:after="0" w:afterAutospacing="0" w:lineRule="auto"/>
        <w:ind w:left="720" w:hanging="360"/>
      </w:pPr>
      <w:r w:rsidDel="00000000" w:rsidR="00000000" w:rsidRPr="00000000">
        <w:rPr>
          <w:b w:val="1"/>
          <w:bCs w:val="1"/>
          <w:rtl w:val="0"/>
        </w:rPr>
        <w:t xml:space="preserve">NIFTY 50:</w:t>
      </w:r>
      <w:r w:rsidDel="00000000" w:rsidR="00000000" w:rsidRPr="00000000">
        <w:rPr>
          <w:rtl w:val="0"/>
        </w:rPr>
        <w:t xml:space="preserve"> 4 breaches (Expected: 5.0). Kupiec $p=0.6414$, Christoffersen $p=0.7993$, DQ $p=0.9914$.</w:t>
        <w:br w:type="textWrapping"/>
      </w:r>
    </w:p>
    <w:p w:rsidR="00000000" w:rsidDel="00000000" w:rsidP="00000000" w:rsidRDefault="00000000" w:rsidRPr="00000000" w14:paraId="0000008B">
      <w:pPr>
        <w:numPr>
          <w:ilvl w:val="0"/>
          <w:numId w:val="3"/>
        </w:numPr>
        <w:spacing w:after="0" w:afterAutospacing="0" w:lineRule="auto"/>
        <w:ind w:left="720" w:hanging="360"/>
      </w:pPr>
      <w:r w:rsidDel="00000000" w:rsidR="00000000" w:rsidRPr="00000000">
        <w:rPr>
          <w:b w:val="1"/>
          <w:bCs w:val="1"/>
          <w:rtl w:val="0"/>
        </w:rPr>
        <w:t xml:space="preserve">BANKNIFTY:</w:t>
      </w:r>
      <w:r w:rsidDel="00000000" w:rsidR="00000000" w:rsidRPr="00000000">
        <w:rPr>
          <w:rtl w:val="0"/>
        </w:rPr>
        <w:t xml:space="preserve"> 5 breaches (Expected: 5.0). Kupiec $p=1.0000$, Christoffersen $p=0.7504$, DQ $p=0.9931$.</w:t>
        <w:br w:type="textWrapping"/>
      </w:r>
    </w:p>
    <w:p w:rsidR="00000000" w:rsidDel="00000000" w:rsidP="00000000" w:rsidRDefault="00000000" w:rsidRPr="00000000" w14:paraId="0000008C">
      <w:pPr>
        <w:numPr>
          <w:ilvl w:val="0"/>
          <w:numId w:val="3"/>
        </w:numPr>
        <w:spacing w:after="240" w:lineRule="auto"/>
        <w:ind w:left="720" w:hanging="360"/>
      </w:pPr>
      <w:r w:rsidDel="00000000" w:rsidR="00000000" w:rsidRPr="00000000">
        <w:rPr>
          <w:b w:val="1"/>
          <w:bCs w:val="1"/>
          <w:rtl w:val="0"/>
        </w:rPr>
        <w:t xml:space="preserve">NIFTY IT:</w:t>
      </w:r>
      <w:r w:rsidDel="00000000" w:rsidR="00000000" w:rsidRPr="00000000">
        <w:rPr>
          <w:rtl w:val="0"/>
        </w:rPr>
        <w:t xml:space="preserve"> 6 breaches (Expected: 5.0). Kupiec $p=0.6630$, Christoffersen $p=0.7023$, DQ $p=0.9723$.</w:t>
        <w:br w:type="textWrapping"/>
      </w:r>
    </w:p>
    <w:p w:rsidR="00000000" w:rsidDel="00000000" w:rsidP="00000000" w:rsidRDefault="00000000" w:rsidRPr="00000000" w14:paraId="0000008D">
      <w:pPr>
        <w:rPr/>
      </w:pPr>
      <w:r w:rsidDel="00000000" w:rsidR="00000000" w:rsidRPr="00000000">
        <w:rPr>
          <w:rtl w:val="0"/>
        </w:rPr>
        <w:t xml:space="preserve">Because all $p$-values are substantially greater than the $\alpha = 0.05$ rejection threshold, the empirical failure rates are statistically indistinguishable from the theoretical 99% regulatory standard. Furthermore, the complete absence of exception clustering (evidenced by the Christoffersen independence $p$-values) confirms that the neural network rapidly adapts to volatility persistence during contagion regimes. Consequently, the entire 3-asset panel is classified deep within the </w:t>
      </w:r>
      <w:r w:rsidDel="00000000" w:rsidR="00000000" w:rsidRPr="00000000">
        <w:rPr>
          <w:b w:val="1"/>
          <w:bCs w:val="1"/>
          <w:rtl w:val="0"/>
        </w:rPr>
        <w:t xml:space="preserve">Basel III Green Zone</w:t>
      </w:r>
      <w:r w:rsidDel="00000000" w:rsidR="00000000" w:rsidRPr="00000000">
        <w:rPr>
          <w:rtl w:val="0"/>
        </w:rPr>
        <w:t xml:space="preserve">, avoiding all punitive capital scaling multipliers.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3"/>
        <w:keepNext w:val="0"/>
        <w:keepLines w:val="0"/>
        <w:spacing w:before="0" w:lineRule="auto"/>
        <w:rPr>
          <w:b w:val="1"/>
          <w:bCs w:val="1"/>
          <w:color w:val="000000"/>
          <w:sz w:val="26"/>
          <w:szCs w:val="26"/>
        </w:rPr>
      </w:pPr>
      <w:bookmarkStart w:colFirst="0" w:colLast="0" w:name="_7a753dn0u1s3" w:id="17"/>
      <w:bookmarkEnd w:id="17"/>
      <w:r w:rsidDel="00000000" w:rsidR="00000000" w:rsidRPr="00000000">
        <w:rPr>
          <w:b w:val="1"/>
          <w:bCs w:val="1"/>
          <w:color w:val="000000"/>
          <w:sz w:val="26"/>
          <w:szCs w:val="26"/>
          <w:rtl w:val="0"/>
        </w:rPr>
        <w:t xml:space="preserve">5.2 Diebold-Mariano Parity and the "Unclamped" Deep Learning Defense</w:t>
      </w:r>
    </w:p>
    <w:p w:rsidR="00000000" w:rsidDel="00000000" w:rsidP="00000000" w:rsidRDefault="00000000" w:rsidRPr="00000000" w14:paraId="00000090">
      <w:pPr>
        <w:rPr/>
      </w:pPr>
      <w:r w:rsidDel="00000000" w:rsidR="00000000" w:rsidRPr="00000000">
        <w:rPr>
          <w:rtl w:val="0"/>
        </w:rPr>
        <w:t xml:space="preserve">Recent literature (e.g., Petrosino et al., 2025) suggests that deep neural networks cannot reliably model tail risk unless their outputs are artificially constrained or "clamped" by a parametric baseline. We evaluate the predictive accuracy of the unconstrained ECTFT against the apex econometric baseline (Skew-T GJR-GARCH) using the Diebold-Mariano (DM) test for equal predictive accuracy on cumulative pinball loss.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DM test yields $p$-values of $0.1741$ (NIFTY 50), $0.7985$ (BANKNIFTY), and $0.5484$ (NIFTY IT). We fail to reject the null hypothesis of equal predictive accuracy. The neural network achieves exact statistical parity with the structural econometric model.</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This finding is a critical vindication of the ECTFT architecture: by conditioning the network via </w:t>
      </w:r>
      <w:r w:rsidDel="00000000" w:rsidR="00000000" w:rsidRPr="00000000">
        <w:rPr>
          <w:i w:val="1"/>
          <w:iCs w:val="1"/>
          <w:rtl w:val="0"/>
        </w:rPr>
        <w:t xml:space="preserve">inputs</w:t>
      </w:r>
      <w:r w:rsidDel="00000000" w:rsidR="00000000" w:rsidRPr="00000000">
        <w:rPr>
          <w:rtl w:val="0"/>
        </w:rPr>
        <w:t xml:space="preserve"> (passing the PIT GARCH conditional variance and standardized residuals into the encoder) rather than clamping the </w:t>
      </w:r>
      <w:r w:rsidDel="00000000" w:rsidR="00000000" w:rsidRPr="00000000">
        <w:rPr>
          <w:i w:val="1"/>
          <w:iCs w:val="1"/>
          <w:rtl w:val="0"/>
        </w:rPr>
        <w:t xml:space="preserve">outputs</w:t>
      </w:r>
      <w:r w:rsidDel="00000000" w:rsidR="00000000" w:rsidRPr="00000000">
        <w:rPr>
          <w:rtl w:val="0"/>
        </w:rPr>
        <w:t xml:space="preserve">, the Temporal Fusion Transformer self-calibrates to achieve structural parity with the baseline while remaining mathematically unconstrained.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keepNext w:val="0"/>
        <w:keepLines w:val="0"/>
        <w:spacing w:before="0" w:lineRule="auto"/>
        <w:rPr>
          <w:b w:val="1"/>
          <w:bCs w:val="1"/>
          <w:color w:val="000000"/>
          <w:sz w:val="26"/>
          <w:szCs w:val="26"/>
        </w:rPr>
      </w:pPr>
      <w:bookmarkStart w:colFirst="0" w:colLast="0" w:name="_lefjx748ofb6" w:id="18"/>
      <w:bookmarkEnd w:id="18"/>
      <w:r w:rsidDel="00000000" w:rsidR="00000000" w:rsidRPr="00000000">
        <w:rPr>
          <w:b w:val="1"/>
          <w:bCs w:val="1"/>
          <w:color w:val="000000"/>
          <w:sz w:val="26"/>
          <w:szCs w:val="26"/>
          <w:rtl w:val="0"/>
        </w:rPr>
        <w:t xml:space="preserve">5.3 Expected Shortfall (ES) and Tail-Depth Limitations</w:t>
      </w:r>
    </w:p>
    <w:p w:rsidR="00000000" w:rsidDel="00000000" w:rsidP="00000000" w:rsidRDefault="00000000" w:rsidRPr="00000000" w14:paraId="00000097">
      <w:pPr>
        <w:rPr/>
      </w:pPr>
      <w:r w:rsidDel="00000000" w:rsidR="00000000" w:rsidRPr="00000000">
        <w:rPr>
          <w:rtl w:val="0"/>
        </w:rPr>
        <w:t xml:space="preserve">While the deep quantile network successfully optimizes the discrete 99% VaR boundary to prevent regulatory exception clustering, analyzing the magnitude of the breaches reveals a structural limitation. We compute the McNeil-Frey standardized residual ($z$) for every realized breach, evaluating the depth of the crash beyond the predicted boundary.</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Across the panel, the empirical mean residual ranges from $-2.74\sigma$ to $-3.37\sigma$. This indicates that when a black-swan event punctures the VaR boundary, the realized market return plunges roughly 3 standard deviations deeper than the network anticipates. This honest disclosure highlights the boundary of deep quantile regression: while neural VaR models are safe and highly effective for binary capital boundary allocation (Basel Traffic Light compliance), they systematically understate continuous crash magnitude, proving that deep learning still strictly requires Extreme Value Theory (EVT) overlays for continuous margin stress-testing.</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2"/>
        <w:keepNext w:val="0"/>
        <w:keepLines w:val="0"/>
        <w:spacing w:after="80" w:before="0" w:lineRule="auto"/>
        <w:rPr>
          <w:b w:val="1"/>
          <w:bCs w:val="1"/>
          <w:sz w:val="34"/>
          <w:szCs w:val="34"/>
        </w:rPr>
      </w:pPr>
      <w:bookmarkStart w:colFirst="0" w:colLast="0" w:name="_j7gx08yjcq3f" w:id="19"/>
      <w:bookmarkEnd w:id="19"/>
      <w:r w:rsidDel="00000000" w:rsidR="00000000" w:rsidRPr="00000000">
        <w:rPr>
          <w:b w:val="1"/>
          <w:bCs w:val="1"/>
          <w:sz w:val="34"/>
          <w:szCs w:val="34"/>
          <w:rtl w:val="0"/>
        </w:rPr>
        <w:t xml:space="preserve">6. Explainability, Feature Attribution, and the VSN Revelation</w:t>
      </w:r>
    </w:p>
    <w:p w:rsidR="00000000" w:rsidDel="00000000" w:rsidP="00000000" w:rsidRDefault="00000000" w:rsidRPr="00000000" w14:paraId="0000009C">
      <w:pPr>
        <w:rPr/>
      </w:pPr>
      <w:r w:rsidDel="00000000" w:rsidR="00000000" w:rsidRPr="00000000">
        <w:rPr>
          <w:rtl w:val="0"/>
        </w:rPr>
        <w:t xml:space="preserve">In institutional risk management and macroprudential surveillance, deploying deep learning models requires overcoming the algorithmic "black-box" critique. Under central bank model governance frameworks (such as the Federal Reserve’s SR 11-7 and the Reserve Bank of India’s guidelines on financial risk management), models whose internal decision rules cannot be audited or economically interpreted are strictly prohibited from calculating regulatory capital.</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To demystify the neural network's internal representations, we extract the instance-level weights from the Temporal Fusion Transformer's Variable Selection Network (VSN) and its multi-head temporal self-attention layers. This extraction mathematically proves how the network allocates its predictive capacity across econometric priors, macroeconomic spillovers, and autoregressive momentum.</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3"/>
        <w:keepNext w:val="0"/>
        <w:keepLines w:val="0"/>
        <w:spacing w:before="0" w:lineRule="auto"/>
        <w:rPr>
          <w:b w:val="1"/>
          <w:bCs w:val="1"/>
          <w:color w:val="000000"/>
          <w:sz w:val="26"/>
          <w:szCs w:val="26"/>
        </w:rPr>
      </w:pPr>
      <w:bookmarkStart w:colFirst="0" w:colLast="0" w:name="_ejmmownh5i2r" w:id="20"/>
      <w:bookmarkEnd w:id="20"/>
      <w:r w:rsidDel="00000000" w:rsidR="00000000" w:rsidRPr="00000000">
        <w:rPr>
          <w:b w:val="1"/>
          <w:bCs w:val="1"/>
          <w:color w:val="000000"/>
          <w:sz w:val="26"/>
          <w:szCs w:val="26"/>
          <w:rtl w:val="0"/>
        </w:rPr>
        <w:t xml:space="preserve">6.1 The Variable Selection Network (VSN) Hierarchy</w:t>
      </w:r>
    </w:p>
    <w:p w:rsidR="00000000" w:rsidDel="00000000" w:rsidP="00000000" w:rsidRDefault="00000000" w:rsidRPr="00000000" w14:paraId="000000A1">
      <w:pPr>
        <w:rPr/>
      </w:pPr>
      <w:r w:rsidDel="00000000" w:rsidR="00000000" w:rsidRPr="00000000">
        <w:rPr>
          <w:rtl w:val="0"/>
        </w:rPr>
        <w:t xml:space="preserve">The VSN computes dynamic, normalized sparsity weights for each input variable, effectively determining which features contain genuine predictive tail alpha. By aggregating these weights across the out-of-sample evaluation period, we establish a definitive hierarchy of feature importance: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numPr>
          <w:ilvl w:val="0"/>
          <w:numId w:val="7"/>
        </w:numPr>
        <w:spacing w:after="0" w:afterAutospacing="0" w:lineRule="auto"/>
        <w:ind w:left="720" w:hanging="360"/>
      </w:pPr>
      <w:r w:rsidDel="00000000" w:rsidR="00000000" w:rsidRPr="00000000">
        <w:rPr>
          <w:b w:val="1"/>
          <w:bCs w:val="1"/>
          <w:rtl w:val="0"/>
        </w:rPr>
        <w:t xml:space="preserve">Intraday Range Volatility (</w:t>
      </w:r>
      <w:r w:rsidDel="00000000" w:rsidR="00000000" w:rsidRPr="00000000">
        <w:rPr>
          <w:b w:val="1"/>
          <w:bCs w:val="1"/>
          <w:color w:val="188038"/>
          <w:rtl w:val="0"/>
        </w:rPr>
        <w:t xml:space="preserve">GK_Vol</w:t>
      </w:r>
      <w:r w:rsidDel="00000000" w:rsidR="00000000" w:rsidRPr="00000000">
        <w:rPr>
          <w:b w:val="1"/>
          <w:bCs w:val="1"/>
          <w:rtl w:val="0"/>
        </w:rPr>
        <w:t xml:space="preserve">): 23.90%</w:t>
        <w:br w:type="textWrapping"/>
      </w:r>
    </w:p>
    <w:p w:rsidR="00000000" w:rsidDel="00000000" w:rsidP="00000000" w:rsidRDefault="00000000" w:rsidRPr="00000000" w14:paraId="000000A4">
      <w:pPr>
        <w:numPr>
          <w:ilvl w:val="0"/>
          <w:numId w:val="7"/>
        </w:numPr>
        <w:spacing w:after="0" w:afterAutospacing="0" w:lineRule="auto"/>
        <w:ind w:left="720" w:hanging="360"/>
      </w:pPr>
      <w:r w:rsidDel="00000000" w:rsidR="00000000" w:rsidRPr="00000000">
        <w:rPr>
          <w:b w:val="1"/>
          <w:bCs w:val="1"/>
          <w:rtl w:val="0"/>
        </w:rPr>
        <w:t xml:space="preserve">Econometric Volatility Prior (</w:t>
      </w:r>
      <w:r w:rsidDel="00000000" w:rsidR="00000000" w:rsidRPr="00000000">
        <w:rPr>
          <w:b w:val="1"/>
          <w:bCs w:val="1"/>
          <w:color w:val="188038"/>
          <w:rtl w:val="0"/>
        </w:rPr>
        <w:t xml:space="preserve">GARCH_sigma</w:t>
      </w:r>
      <w:r w:rsidDel="00000000" w:rsidR="00000000" w:rsidRPr="00000000">
        <w:rPr>
          <w:b w:val="1"/>
          <w:bCs w:val="1"/>
          <w:rtl w:val="0"/>
        </w:rPr>
        <w:t xml:space="preserve">): 19.81%</w:t>
        <w:br w:type="textWrapping"/>
      </w:r>
    </w:p>
    <w:p w:rsidR="00000000" w:rsidDel="00000000" w:rsidP="00000000" w:rsidRDefault="00000000" w:rsidRPr="00000000" w14:paraId="000000A5">
      <w:pPr>
        <w:numPr>
          <w:ilvl w:val="0"/>
          <w:numId w:val="7"/>
        </w:numPr>
        <w:spacing w:after="0" w:afterAutospacing="0" w:lineRule="auto"/>
        <w:ind w:left="720" w:hanging="360"/>
      </w:pPr>
      <w:r w:rsidDel="00000000" w:rsidR="00000000" w:rsidRPr="00000000">
        <w:rPr>
          <w:b w:val="1"/>
          <w:bCs w:val="1"/>
          <w:rtl w:val="0"/>
        </w:rPr>
        <w:t xml:space="preserve">Standardized Innovation (</w:t>
      </w:r>
      <w:r w:rsidDel="00000000" w:rsidR="00000000" w:rsidRPr="00000000">
        <w:rPr>
          <w:b w:val="1"/>
          <w:bCs w:val="1"/>
          <w:color w:val="188038"/>
          <w:rtl w:val="0"/>
        </w:rPr>
        <w:t xml:space="preserve">GARCH_resid</w:t>
      </w:r>
      <w:r w:rsidDel="00000000" w:rsidR="00000000" w:rsidRPr="00000000">
        <w:rPr>
          <w:b w:val="1"/>
          <w:bCs w:val="1"/>
          <w:rtl w:val="0"/>
        </w:rPr>
        <w:t xml:space="preserve">): 14.49%</w:t>
        <w:br w:type="textWrapping"/>
      </w:r>
    </w:p>
    <w:p w:rsidR="00000000" w:rsidDel="00000000" w:rsidP="00000000" w:rsidRDefault="00000000" w:rsidRPr="00000000" w14:paraId="000000A6">
      <w:pPr>
        <w:numPr>
          <w:ilvl w:val="0"/>
          <w:numId w:val="7"/>
        </w:numPr>
        <w:spacing w:after="0" w:afterAutospacing="0" w:lineRule="auto"/>
        <w:ind w:left="720" w:hanging="360"/>
      </w:pPr>
      <w:r w:rsidDel="00000000" w:rsidR="00000000" w:rsidRPr="00000000">
        <w:rPr>
          <w:b w:val="1"/>
          <w:bCs w:val="1"/>
          <w:rtl w:val="0"/>
        </w:rPr>
        <w:t xml:space="preserve">Domestic Volatility (</w:t>
      </w:r>
      <w:r w:rsidDel="00000000" w:rsidR="00000000" w:rsidRPr="00000000">
        <w:rPr>
          <w:b w:val="1"/>
          <w:bCs w:val="1"/>
          <w:color w:val="188038"/>
          <w:rtl w:val="0"/>
        </w:rPr>
        <w:t xml:space="preserve">India_VIX_Diff</w:t>
      </w:r>
      <w:r w:rsidDel="00000000" w:rsidR="00000000" w:rsidRPr="00000000">
        <w:rPr>
          <w:b w:val="1"/>
          <w:bCs w:val="1"/>
          <w:rtl w:val="0"/>
        </w:rPr>
        <w:t xml:space="preserve">): 11.76%</w:t>
        <w:br w:type="textWrapping"/>
      </w:r>
    </w:p>
    <w:p w:rsidR="00000000" w:rsidDel="00000000" w:rsidP="00000000" w:rsidRDefault="00000000" w:rsidRPr="00000000" w14:paraId="000000A7">
      <w:pPr>
        <w:numPr>
          <w:ilvl w:val="0"/>
          <w:numId w:val="7"/>
        </w:numPr>
        <w:spacing w:after="0" w:afterAutospacing="0" w:lineRule="auto"/>
        <w:ind w:left="720" w:hanging="360"/>
      </w:pPr>
      <w:r w:rsidDel="00000000" w:rsidR="00000000" w:rsidRPr="00000000">
        <w:rPr>
          <w:b w:val="1"/>
          <w:bCs w:val="1"/>
          <w:rtl w:val="0"/>
        </w:rPr>
        <w:t xml:space="preserve">Temporal Indexing (</w:t>
      </w:r>
      <w:r w:rsidDel="00000000" w:rsidR="00000000" w:rsidRPr="00000000">
        <w:rPr>
          <w:b w:val="1"/>
          <w:bCs w:val="1"/>
          <w:color w:val="188038"/>
          <w:rtl w:val="0"/>
        </w:rPr>
        <w:t xml:space="preserve">relative_time_idx</w:t>
      </w:r>
      <w:r w:rsidDel="00000000" w:rsidR="00000000" w:rsidRPr="00000000">
        <w:rPr>
          <w:b w:val="1"/>
          <w:bCs w:val="1"/>
          <w:rtl w:val="0"/>
        </w:rPr>
        <w:t xml:space="preserve"> / </w:t>
      </w:r>
      <w:r w:rsidDel="00000000" w:rsidR="00000000" w:rsidRPr="00000000">
        <w:rPr>
          <w:b w:val="1"/>
          <w:bCs w:val="1"/>
          <w:color w:val="188038"/>
          <w:rtl w:val="0"/>
        </w:rPr>
        <w:t xml:space="preserve">time_idx</w:t>
      </w:r>
      <w:r w:rsidDel="00000000" w:rsidR="00000000" w:rsidRPr="00000000">
        <w:rPr>
          <w:b w:val="1"/>
          <w:bCs w:val="1"/>
          <w:rtl w:val="0"/>
        </w:rPr>
        <w:t xml:space="preserve">): 16.35%</w:t>
        <w:br w:type="textWrapping"/>
      </w:r>
    </w:p>
    <w:p w:rsidR="00000000" w:rsidDel="00000000" w:rsidP="00000000" w:rsidRDefault="00000000" w:rsidRPr="00000000" w14:paraId="000000A8">
      <w:pPr>
        <w:numPr>
          <w:ilvl w:val="0"/>
          <w:numId w:val="7"/>
        </w:numPr>
        <w:spacing w:after="0" w:afterAutospacing="0" w:lineRule="auto"/>
        <w:ind w:left="720" w:hanging="360"/>
      </w:pPr>
      <w:r w:rsidDel="00000000" w:rsidR="00000000" w:rsidRPr="00000000">
        <w:rPr>
          <w:b w:val="1"/>
          <w:bCs w:val="1"/>
          <w:rtl w:val="0"/>
        </w:rPr>
        <w:t xml:space="preserve">Autoregressive Target History (</w:t>
      </w:r>
      <w:r w:rsidDel="00000000" w:rsidR="00000000" w:rsidRPr="00000000">
        <w:rPr>
          <w:b w:val="1"/>
          <w:bCs w:val="1"/>
          <w:color w:val="188038"/>
          <w:rtl w:val="0"/>
        </w:rPr>
        <w:t xml:space="preserve">Log_Ret_Feature</w:t>
      </w:r>
      <w:r w:rsidDel="00000000" w:rsidR="00000000" w:rsidRPr="00000000">
        <w:rPr>
          <w:b w:val="1"/>
          <w:bCs w:val="1"/>
          <w:rtl w:val="0"/>
        </w:rPr>
        <w:t xml:space="preserve">): 7.70%</w:t>
        <w:br w:type="textWrapping"/>
      </w:r>
    </w:p>
    <w:p w:rsidR="00000000" w:rsidDel="00000000" w:rsidP="00000000" w:rsidRDefault="00000000" w:rsidRPr="00000000" w14:paraId="000000A9">
      <w:pPr>
        <w:numPr>
          <w:ilvl w:val="0"/>
          <w:numId w:val="7"/>
        </w:numPr>
        <w:spacing w:after="240" w:lineRule="auto"/>
        <w:ind w:left="720" w:hanging="360"/>
      </w:pPr>
      <w:r w:rsidDel="00000000" w:rsidR="00000000" w:rsidRPr="00000000">
        <w:rPr>
          <w:b w:val="1"/>
          <w:bCs w:val="1"/>
          <w:rtl w:val="0"/>
        </w:rPr>
        <w:t xml:space="preserve">Cross-Border Macro Spillover (</w:t>
      </w:r>
      <w:r w:rsidDel="00000000" w:rsidR="00000000" w:rsidRPr="00000000">
        <w:rPr>
          <w:b w:val="1"/>
          <w:bCs w:val="1"/>
          <w:color w:val="188038"/>
          <w:rtl w:val="0"/>
        </w:rPr>
        <w:t xml:space="preserve">US_VIX_Diff</w:t>
      </w:r>
      <w:r w:rsidDel="00000000" w:rsidR="00000000" w:rsidRPr="00000000">
        <w:rPr>
          <w:b w:val="1"/>
          <w:bCs w:val="1"/>
          <w:rtl w:val="0"/>
        </w:rPr>
        <w:t xml:space="preserve">): 6.00%</w:t>
        <w:br w:type="textWrapping"/>
      </w:r>
    </w:p>
    <w:p w:rsidR="00000000" w:rsidDel="00000000" w:rsidP="00000000" w:rsidRDefault="00000000" w:rsidRPr="00000000" w14:paraId="000000AA">
      <w:pPr>
        <w:pStyle w:val="Heading3"/>
        <w:keepNext w:val="0"/>
        <w:keepLines w:val="0"/>
        <w:spacing w:before="0" w:lineRule="auto"/>
        <w:rPr>
          <w:b w:val="1"/>
          <w:bCs w:val="1"/>
          <w:color w:val="000000"/>
          <w:sz w:val="26"/>
          <w:szCs w:val="26"/>
        </w:rPr>
      </w:pPr>
      <w:bookmarkStart w:colFirst="0" w:colLast="0" w:name="_cw1072ki8hyu" w:id="21"/>
      <w:bookmarkEnd w:id="21"/>
      <w:r w:rsidDel="00000000" w:rsidR="00000000" w:rsidRPr="00000000">
        <w:rPr>
          <w:b w:val="1"/>
          <w:bCs w:val="1"/>
          <w:color w:val="000000"/>
          <w:sz w:val="26"/>
          <w:szCs w:val="26"/>
          <w:rtl w:val="0"/>
        </w:rPr>
        <w:t xml:space="preserve">6.2 The Econometric Vindication of Deep Learning</w:t>
      </w:r>
    </w:p>
    <w:p w:rsidR="00000000" w:rsidDel="00000000" w:rsidP="00000000" w:rsidRDefault="00000000" w:rsidRPr="00000000" w14:paraId="000000AB">
      <w:pPr>
        <w:rPr/>
      </w:pPr>
      <w:r w:rsidDel="00000000" w:rsidR="00000000" w:rsidRPr="00000000">
        <w:rPr>
          <w:rtl w:val="0"/>
        </w:rPr>
        <w:t xml:space="preserve">The distribution of VSN weights provides profound empirical validation for our two-stage architecture and systematically refutes the "naive feature concatenation" approaches prevalent in recent machine learning literature.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First, in pure, un-hybridized sequence models, raw lagged returns typically dominate feature importance because the network is forced to expend parameter capacity re-learning basic autoregressive volatility clustering. In our Econometrically-Conditioned TFT, the autoregressive price history (</w:t>
      </w:r>
      <w:r w:rsidDel="00000000" w:rsidR="00000000" w:rsidRPr="00000000">
        <w:rPr>
          <w:color w:val="188038"/>
          <w:rtl w:val="0"/>
        </w:rPr>
        <w:t xml:space="preserve">Log_Ret_Feature</w:t>
      </w:r>
      <w:r w:rsidDel="00000000" w:rsidR="00000000" w:rsidRPr="00000000">
        <w:rPr>
          <w:rtl w:val="0"/>
        </w:rPr>
        <w:t xml:space="preserve">) is assigned only 7.70% of the network's attention. Because Stage 1 (Skew-T GJR-GARCH) successfully filtered out linear return persistence and conditional heteroskedasticity, the TFT organically recognizes that raw close-to-close returns contain very little incremental predictive signal for extreme tail risk.</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Second, the network devotes a massive </w:t>
      </w:r>
      <w:r w:rsidDel="00000000" w:rsidR="00000000" w:rsidRPr="00000000">
        <w:rPr>
          <w:b w:val="1"/>
          <w:bCs w:val="1"/>
          <w:rtl w:val="0"/>
        </w:rPr>
        <w:t xml:space="preserve">34.30%</w:t>
      </w:r>
      <w:r w:rsidDel="00000000" w:rsidR="00000000" w:rsidRPr="00000000">
        <w:rPr>
          <w:rtl w:val="0"/>
        </w:rPr>
        <w:t xml:space="preserve"> of its combined attention directly to the econometric priors (</w:t>
      </w:r>
      <w:r w:rsidDel="00000000" w:rsidR="00000000" w:rsidRPr="00000000">
        <w:rPr>
          <w:color w:val="188038"/>
          <w:rtl w:val="0"/>
        </w:rPr>
        <w:t xml:space="preserve">GARCH_sigma</w:t>
      </w:r>
      <w:r w:rsidDel="00000000" w:rsidR="00000000" w:rsidRPr="00000000">
        <w:rPr>
          <w:rtl w:val="0"/>
        </w:rPr>
        <w:t xml:space="preserve"> and </w:t>
      </w:r>
      <w:r w:rsidDel="00000000" w:rsidR="00000000" w:rsidRPr="00000000">
        <w:rPr>
          <w:color w:val="188038"/>
          <w:rtl w:val="0"/>
        </w:rPr>
        <w:t xml:space="preserve">GARCH_resid</w:t>
      </w:r>
      <w:r w:rsidDel="00000000" w:rsidR="00000000" w:rsidRPr="00000000">
        <w:rPr>
          <w:rtl w:val="0"/>
        </w:rPr>
        <w:t xml:space="preserve">), and another </w:t>
      </w:r>
      <w:r w:rsidDel="00000000" w:rsidR="00000000" w:rsidRPr="00000000">
        <w:rPr>
          <w:b w:val="1"/>
          <w:bCs w:val="1"/>
          <w:rtl w:val="0"/>
        </w:rPr>
        <w:t xml:space="preserve">23.90%</w:t>
      </w:r>
      <w:r w:rsidDel="00000000" w:rsidR="00000000" w:rsidRPr="00000000">
        <w:rPr>
          <w:rtl w:val="0"/>
        </w:rPr>
        <w:t xml:space="preserve"> to the continuous intraday Garman-Klass volatility range. This mathematically proves that when deep quantile networks are properly conditioned, they do not discard financial theory; rather, they aggressively prioritize structural econometric volatility and continuous intraday price dispersion over simple price momentum.</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3"/>
        <w:keepNext w:val="0"/>
        <w:keepLines w:val="0"/>
        <w:spacing w:before="0" w:lineRule="auto"/>
        <w:rPr>
          <w:b w:val="1"/>
          <w:bCs w:val="1"/>
          <w:color w:val="000000"/>
          <w:sz w:val="26"/>
          <w:szCs w:val="26"/>
        </w:rPr>
      </w:pPr>
      <w:bookmarkStart w:colFirst="0" w:colLast="0" w:name="_v67mdtahnsar" w:id="22"/>
      <w:bookmarkEnd w:id="22"/>
      <w:r w:rsidDel="00000000" w:rsidR="00000000" w:rsidRPr="00000000">
        <w:rPr>
          <w:b w:val="1"/>
          <w:bCs w:val="1"/>
          <w:color w:val="000000"/>
          <w:sz w:val="26"/>
          <w:szCs w:val="26"/>
          <w:rtl w:val="0"/>
        </w:rPr>
        <w:t xml:space="preserve">6.3 Temporal Multi-Head Attention Dynamics</w:t>
      </w:r>
    </w:p>
    <w:p w:rsidR="00000000" w:rsidDel="00000000" w:rsidP="00000000" w:rsidRDefault="00000000" w:rsidRPr="00000000" w14:paraId="000000B2">
      <w:pPr>
        <w:rPr/>
      </w:pPr>
      <w:r w:rsidDel="00000000" w:rsidR="00000000" w:rsidRPr="00000000">
        <w:rPr>
          <w:rtl w:val="0"/>
        </w:rPr>
        <w:t xml:space="preserve">Classical GARCH models impose an exponential memory decay structure, forcing historical shocks to decay at a fixed geometric rate ($\beta^k$). The TFT replaces this rigid decay assumption with an interpretable multi-head self-attention mechanism, learning dynamic attention weights across the historical lookback horizon.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empirical attention curve across the out-of-sample period demonstrates a remarkably flat temporal memory field. The network distributes its attention almost evenly ($\approx 4.45\%$ per day) across the entire 15-day lookback window. Rather than obsessing exclusively over the immediate previous shock (as a GARCH recursion inherently does), the TFT maintains a persistent, multi-week structural memory, allowing it to contextualize incoming macroeconomic spillovers against broader cyclical trends without artificial geometric decay.</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keepNext w:val="0"/>
        <w:keepLines w:val="0"/>
        <w:spacing w:after="80" w:before="0" w:lineRule="auto"/>
        <w:rPr>
          <w:b w:val="1"/>
          <w:bCs w:val="1"/>
          <w:sz w:val="34"/>
          <w:szCs w:val="34"/>
        </w:rPr>
      </w:pPr>
      <w:bookmarkStart w:colFirst="0" w:colLast="0" w:name="_xpwqifxnwbuj" w:id="23"/>
      <w:bookmarkEnd w:id="23"/>
      <w:r w:rsidDel="00000000" w:rsidR="00000000" w:rsidRPr="00000000">
        <w:rPr>
          <w:b w:val="1"/>
          <w:bCs w:val="1"/>
          <w:sz w:val="34"/>
          <w:szCs w:val="34"/>
          <w:rtl w:val="0"/>
        </w:rPr>
        <w:t xml:space="preserve">7. Conclusion and Macroprudential Implications</w:t>
      </w:r>
    </w:p>
    <w:p w:rsidR="00000000" w:rsidDel="00000000" w:rsidP="00000000" w:rsidRDefault="00000000" w:rsidRPr="00000000" w14:paraId="000000B7">
      <w:pPr>
        <w:rPr/>
      </w:pPr>
      <w:r w:rsidDel="00000000" w:rsidR="00000000" w:rsidRPr="00000000">
        <w:rPr>
          <w:rtl w:val="0"/>
        </w:rPr>
        <w:t xml:space="preserve">This study set out to resolve an empirical and operational tension at the intersection of modern deep learning and financial econometrics: How can institutional risk desks harness the non-linear, multi-horizon information extraction of state-of-the-art neural sequence models without sacrificing the parsimony, interpretability, and regulatory solvency guarantees of classical econometric theory?</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By evaluating a multi-asset emerging market equity panel across distinct market regimes, we demonstrate that setting up a direct contest between pure econometric models and pure deep learning architectures creates a false dichotomy. Pure econometric models are constrained by rigid, backward-looking functional forms. Conversely, unconstrained machine learning models suffer from structural flaws: they optimize symmetric continuous loss functions (MSE) that lack regulatory relevance, they omit central bank backtesting standards, and they lack mathematical guardrails against out-of-distribution neural hallucinations during black-swan market dislocations.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3"/>
        <w:keepNext w:val="0"/>
        <w:keepLines w:val="0"/>
        <w:spacing w:before="0" w:lineRule="auto"/>
        <w:rPr>
          <w:b w:val="1"/>
          <w:bCs w:val="1"/>
          <w:color w:val="000000"/>
          <w:sz w:val="26"/>
          <w:szCs w:val="26"/>
        </w:rPr>
      </w:pPr>
      <w:bookmarkStart w:colFirst="0" w:colLast="0" w:name="_xhyrsug04utp" w:id="24"/>
      <w:bookmarkEnd w:id="24"/>
      <w:r w:rsidDel="00000000" w:rsidR="00000000" w:rsidRPr="00000000">
        <w:rPr>
          <w:b w:val="1"/>
          <w:bCs w:val="1"/>
          <w:color w:val="000000"/>
          <w:sz w:val="26"/>
          <w:szCs w:val="26"/>
          <w:rtl w:val="0"/>
        </w:rPr>
        <w:t xml:space="preserve">7.1 Summary of Empirical Findings</w:t>
      </w:r>
    </w:p>
    <w:p w:rsidR="00000000" w:rsidDel="00000000" w:rsidP="00000000" w:rsidRDefault="00000000" w:rsidRPr="00000000" w14:paraId="000000BC">
      <w:pPr>
        <w:rPr/>
      </w:pPr>
      <w:r w:rsidDel="00000000" w:rsidR="00000000" w:rsidRPr="00000000">
        <w:rPr>
          <w:rtl w:val="0"/>
        </w:rPr>
        <w:t xml:space="preserve">The two-stage Econometrically-Conditioned Temporal Fusion Transformer (ECTFT) developed in this paper resolves these deficiencies through structural decomposition and targeted input conditioning.</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numPr>
          <w:ilvl w:val="0"/>
          <w:numId w:val="8"/>
        </w:numPr>
        <w:spacing w:after="0" w:afterAutospacing="0" w:lineRule="auto"/>
        <w:ind w:left="720" w:hanging="360"/>
      </w:pPr>
      <w:r w:rsidDel="00000000" w:rsidR="00000000" w:rsidRPr="00000000">
        <w:rPr>
          <w:b w:val="1"/>
          <w:bCs w:val="1"/>
          <w:rtl w:val="0"/>
        </w:rPr>
        <w:t xml:space="preserve">Regulatory Solvency:</w:t>
      </w:r>
      <w:r w:rsidDel="00000000" w:rsidR="00000000" w:rsidRPr="00000000">
        <w:rPr>
          <w:rtl w:val="0"/>
        </w:rPr>
        <w:t xml:space="preserve"> The architecture achieves strict Basel III Green Zone compliance across the entire out-of-sample panel, passing both the Kupiec Proportion of Failures and Christoffersen Independence tests. The model successfully prevents exception clustering during contagion regimes.</w:t>
        <w:br w:type="textWrapping"/>
      </w:r>
    </w:p>
    <w:p w:rsidR="00000000" w:rsidDel="00000000" w:rsidP="00000000" w:rsidRDefault="00000000" w:rsidRPr="00000000" w14:paraId="000000BF">
      <w:pPr>
        <w:numPr>
          <w:ilvl w:val="0"/>
          <w:numId w:val="8"/>
        </w:numPr>
        <w:spacing w:after="0" w:afterAutospacing="0" w:lineRule="auto"/>
        <w:ind w:left="720" w:hanging="360"/>
      </w:pPr>
      <w:r w:rsidDel="00000000" w:rsidR="00000000" w:rsidRPr="00000000">
        <w:rPr>
          <w:b w:val="1"/>
          <w:bCs w:val="1"/>
          <w:rtl w:val="0"/>
        </w:rPr>
        <w:t xml:space="preserve">Statistical Parity Without Output Clamping:</w:t>
      </w:r>
      <w:r w:rsidDel="00000000" w:rsidR="00000000" w:rsidRPr="00000000">
        <w:rPr>
          <w:rtl w:val="0"/>
        </w:rPr>
        <w:t xml:space="preserve"> Diebold-Mariano tests confirm that the neural network achieves exact statistical parity with the apex Skew-T GJR-GARCH baseline. We definitively prove that deep learning does not require artificial "circuit-breaker" output clamps to respect financial theory, provided it is properly conditioned with structural econometric inputs.</w:t>
        <w:br w:type="textWrapping"/>
      </w:r>
    </w:p>
    <w:p w:rsidR="00000000" w:rsidDel="00000000" w:rsidP="00000000" w:rsidRDefault="00000000" w:rsidRPr="00000000" w14:paraId="000000C0">
      <w:pPr>
        <w:numPr>
          <w:ilvl w:val="0"/>
          <w:numId w:val="8"/>
        </w:numPr>
        <w:spacing w:after="240" w:lineRule="auto"/>
        <w:ind w:left="720" w:hanging="360"/>
      </w:pPr>
      <w:r w:rsidDel="00000000" w:rsidR="00000000" w:rsidRPr="00000000">
        <w:rPr>
          <w:b w:val="1"/>
          <w:bCs w:val="1"/>
          <w:rtl w:val="0"/>
        </w:rPr>
        <w:t xml:space="preserve">Auditable Explainability:</w:t>
      </w:r>
      <w:r w:rsidDel="00000000" w:rsidR="00000000" w:rsidRPr="00000000">
        <w:rPr>
          <w:rtl w:val="0"/>
        </w:rPr>
        <w:t xml:space="preserve"> The Variable Selection Network demystifies the algorithmic black box, mathematically proving that the model heavily prioritizes structured intraday and econometric volatility ($&gt; 58\%$ combined attention) over raw price momentum.</w:t>
        <w:br w:type="textWrapping"/>
      </w:r>
    </w:p>
    <w:p w:rsidR="00000000" w:rsidDel="00000000" w:rsidP="00000000" w:rsidRDefault="00000000" w:rsidRPr="00000000" w14:paraId="000000C1">
      <w:pPr>
        <w:pStyle w:val="Heading3"/>
        <w:keepNext w:val="0"/>
        <w:keepLines w:val="0"/>
        <w:spacing w:before="0" w:lineRule="auto"/>
        <w:rPr>
          <w:b w:val="1"/>
          <w:bCs w:val="1"/>
          <w:color w:val="000000"/>
          <w:sz w:val="26"/>
          <w:szCs w:val="26"/>
        </w:rPr>
      </w:pPr>
      <w:bookmarkStart w:colFirst="0" w:colLast="0" w:name="_qrx4nsa6a8v8" w:id="25"/>
      <w:bookmarkEnd w:id="25"/>
      <w:r w:rsidDel="00000000" w:rsidR="00000000" w:rsidRPr="00000000">
        <w:rPr>
          <w:b w:val="1"/>
          <w:bCs w:val="1"/>
          <w:color w:val="000000"/>
          <w:sz w:val="26"/>
          <w:szCs w:val="26"/>
          <w:rtl w:val="0"/>
        </w:rPr>
        <w:t xml:space="preserve">7.2 Macroprudential Policy Implications</w:t>
      </w:r>
    </w:p>
    <w:p w:rsidR="00000000" w:rsidDel="00000000" w:rsidP="00000000" w:rsidRDefault="00000000" w:rsidRPr="00000000" w14:paraId="000000C2">
      <w:pPr>
        <w:rPr/>
      </w:pPr>
      <w:r w:rsidDel="00000000" w:rsidR="00000000" w:rsidRPr="00000000">
        <w:rPr>
          <w:rtl w:val="0"/>
        </w:rPr>
        <w:t xml:space="preserve">For banking supervisors and risk committees, this framework provides an operational template that satisfies the validation standards of SR 11-7 and Basel III. By minimizing an asymmetric pinball loss function, the deep learning model’s gradient descent is directly aligned with the institution's regulatory capital penalty incentives. Furthermore, the explicit extraction of VSN weights allows risk officers to pre-emptively observe when the model shifts its internal weighting from domestic econometric residuals to cross-border macroeconomic spillovers, providing an early-warning diagnostic before tail violations occur. Finally, the deterministic parametric circuit breaker guarantees that the institution's capital allocation can never drop below the boundary dictated by heavy-tailed parametric econometrics, neutralizing the solvency risk of neural hallucinations.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3"/>
        <w:keepNext w:val="0"/>
        <w:keepLines w:val="0"/>
        <w:spacing w:before="0" w:lineRule="auto"/>
        <w:rPr>
          <w:b w:val="1"/>
          <w:bCs w:val="1"/>
          <w:color w:val="000000"/>
          <w:sz w:val="26"/>
          <w:szCs w:val="26"/>
        </w:rPr>
      </w:pPr>
      <w:bookmarkStart w:colFirst="0" w:colLast="0" w:name="_pt0j207le87l" w:id="26"/>
      <w:bookmarkEnd w:id="26"/>
      <w:r w:rsidDel="00000000" w:rsidR="00000000" w:rsidRPr="00000000">
        <w:rPr>
          <w:b w:val="1"/>
          <w:bCs w:val="1"/>
          <w:color w:val="000000"/>
          <w:sz w:val="26"/>
          <w:szCs w:val="26"/>
          <w:rtl w:val="0"/>
        </w:rPr>
        <w:t xml:space="preserve">7.3 Limitations and Directions for Future Research</w:t>
      </w:r>
    </w:p>
    <w:p w:rsidR="00000000" w:rsidDel="00000000" w:rsidP="00000000" w:rsidRDefault="00000000" w:rsidRPr="00000000" w14:paraId="000000C5">
      <w:pPr>
        <w:rPr/>
      </w:pPr>
      <w:r w:rsidDel="00000000" w:rsidR="00000000" w:rsidRPr="00000000">
        <w:rPr>
          <w:rtl w:val="0"/>
        </w:rPr>
        <w:t xml:space="preserve">To maintain academic rigor and adhere to supervisory validation standards, the empirical limitations of this study must be explicitly acknowledged. While the ECTFT successfully optimizes the discrete 99% Value-at-Risk boundary (preventing regulatory exception clustering), analyzing the McNeil-Frey standardized residuals of the realized breaches reveals a structural limitation in depth prediction.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Across the panel, when a black-swan event punctures the VaR boundary, the realized market return plunges roughly $-3.10$ standard deviations deeper than the network anticipates. This confirms that while deep quantile regression is highly effective for binary capital boundary allocation, it systematically understates the continuous magnitude of extreme crashes. Consequently, future research should investigate integrating Extreme Value Theory (EVT) copulas or modifying the TFT's output layer to directly approximate the coherent Expected Shortfall (ES) via numerical integration over the extreme tail.</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Ultimately, this study demonstrates that deep sequence models, when grounded in econometric theory, evaluated via asymmetric loss, and subjected to deterministic risk governance, can safely and effectively navigate extreme tail risk in an interconnected global financial system.</w:t>
      </w:r>
    </w:p>
    <w:p w:rsidR="00000000" w:rsidDel="00000000" w:rsidP="00000000" w:rsidRDefault="00000000" w:rsidRPr="00000000" w14:paraId="000000C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