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hcvu5b9iilht" w:id="0"/>
      <w:bookmarkEnd w:id="0"/>
      <w:r w:rsidDel="00000000" w:rsidR="00000000" w:rsidRPr="00000000">
        <w:rPr>
          <w:b w:val="1"/>
          <w:bCs w:val="1"/>
          <w:sz w:val="34"/>
          <w:szCs w:val="34"/>
          <w:rtl w:val="0"/>
        </w:rPr>
        <w:t xml:space="preserve">Abstract and Front-Matter Components</w:t>
      </w:r>
    </w:p>
    <w:p w:rsidR="00000000" w:rsidDel="00000000" w:rsidP="00000000" w:rsidRDefault="00000000" w:rsidRPr="00000000" w14:paraId="00000002">
      <w:pPr>
        <w:spacing w:after="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Econometric Priors vs. Macro Spillovers in Deep Sequence Models: An Empirical VaR Analysis of Indian Equities</w:t>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5">
      <w:pPr>
        <w:spacing w:after="240" w:lineRule="auto"/>
        <w:rPr/>
      </w:pPr>
      <w:r w:rsidDel="00000000" w:rsidR="00000000" w:rsidRPr="00000000">
        <w:rPr>
          <w:rtl w:val="0"/>
        </w:rPr>
        <w:t xml:space="preserve">This study investigates whether state-of-the-art deep sequence models (Temporal Fusion Transformers) conditioned on asymmetric econometric priors and cross-border macro-financial spillovers can extract incremental predictive alpha for extreme equity tail-risk forecasting in emerging markets. Analyzing the National Stock Exchange of India (NIFTY 50, BANKNIFTY, and NIFTYIT) across a strict 500-day out-of-sample window, we deploy a pre-determined 3-seed ensemble governance structure and a 6-arm feature ablation tournament evaluated via Diebold-Mariano tests with Holm-Bonferroni corrections. Our empirical results demonstrate that while a Skew-t GJR-GARCH volatility prior acts as an effective structural regularizing anchor—achieving statistical parity with classical econometrics—appending high-capacity cross-border macro features (</w:t>
      </w:r>
      <w:r w:rsidDel="00000000" w:rsidR="00000000" w:rsidRPr="00000000">
        <w:rPr>
          <w:color w:val="188038"/>
          <w:rtl w:val="0"/>
        </w:rPr>
        <w:t xml:space="preserve">US_VIX_Diff</w:t>
      </w:r>
      <w:r w:rsidDel="00000000" w:rsidR="00000000" w:rsidRPr="00000000">
        <w:rPr>
          <w:rtl w:val="0"/>
        </w:rPr>
        <w:t xml:space="preserve">, </w:t>
      </w:r>
      <w:r w:rsidDel="00000000" w:rsidR="00000000" w:rsidRPr="00000000">
        <w:rPr>
          <w:color w:val="188038"/>
          <w:rtl w:val="0"/>
        </w:rPr>
        <w:t xml:space="preserve">India_VIX_Diff</w:t>
      </w:r>
      <w:r w:rsidDel="00000000" w:rsidR="00000000" w:rsidRPr="00000000">
        <w:rPr>
          <w:rtl w:val="0"/>
        </w:rPr>
        <w:t xml:space="preserve">) actively degrades out-of-sample pinball loss. In low-signal-to-noise ratio (SNR) tail regimes, unconstrained neural networks overfit to exogenous macro noise. Classical Skew-t GJR-GARCH remains the superior, parsimonious paradigm for operational 1% Value-at-Risk forecasting.</w:t>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b w:val="1"/>
          <w:bCs w:val="1"/>
          <w:rtl w:val="0"/>
        </w:rPr>
        <w:t xml:space="preserve">Keywords:</w:t>
      </w:r>
      <w:r w:rsidDel="00000000" w:rsidR="00000000" w:rsidRPr="00000000">
        <w:rPr>
          <w:rtl w:val="0"/>
        </w:rPr>
        <w:t xml:space="preserve"> Value-at-Risk (VaR); GJR-GARCH; Temporal Fusion Transformer; Asymmetric Quantile Loss; Feature Ablation; Cross-Border Spillovers.</w:t>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b w:val="1"/>
          <w:bCs w:val="1"/>
          <w:rtl w:val="0"/>
        </w:rPr>
        <w:t xml:space="preserve">JEL Classification:</w:t>
      </w:r>
      <w:r w:rsidDel="00000000" w:rsidR="00000000" w:rsidRPr="00000000">
        <w:rPr>
          <w:rtl w:val="0"/>
        </w:rPr>
        <w:t xml:space="preserve"> C45, C53, C58, G17, G32.</w:t>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lqk8o927dawq" w:id="1"/>
      <w:bookmarkEnd w:id="1"/>
      <w:r w:rsidDel="00000000" w:rsidR="00000000" w:rsidRPr="00000000">
        <w:rPr>
          <w:b w:val="1"/>
          <w:bCs w:val="1"/>
          <w:color w:val="000000"/>
          <w:sz w:val="26"/>
          <w:szCs w:val="26"/>
          <w:rtl w:val="0"/>
        </w:rPr>
        <w:t xml:space="preserve">Statement of Research Contribution</w:t>
      </w:r>
    </w:p>
    <w:p w:rsidR="00000000" w:rsidDel="00000000" w:rsidP="00000000" w:rsidRDefault="00000000" w:rsidRPr="00000000" w14:paraId="0000000C">
      <w:pPr>
        <w:spacing w:after="240" w:lineRule="auto"/>
        <w:rPr/>
      </w:pPr>
      <w:r w:rsidDel="00000000" w:rsidR="00000000" w:rsidRPr="00000000">
        <w:rPr>
          <w:rtl w:val="0"/>
        </w:rPr>
        <w:t xml:space="preserve">This study establishes four distinct contributions to empirical finance, financial econometrics, and quantitative risk management:</w:t>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De-risking Deep Learning Benchmarks:</w:t>
      </w:r>
      <w:r w:rsidDel="00000000" w:rsidR="00000000" w:rsidRPr="00000000">
        <w:rPr>
          <w:rtl w:val="0"/>
        </w:rPr>
        <w:t xml:space="preserve"> Demonstrates that claims of deep learning superiority in financial tail-risk forecasting are frequently artifacts of weak, symmetric Gaussian benchmarks. When compared against an apex Skew-t GJR-GARCH(1,1) model, unconstrained neural networks fail to achieve statistical out-of-sample superiority.</w:t>
        <w:br w:type="textWrapping"/>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b w:val="1"/>
          <w:bCs w:val="1"/>
          <w:rtl w:val="0"/>
        </w:rPr>
        <w:t xml:space="preserve">Empirical Identification of the Macro-Noise Trap:</w:t>
      </w:r>
      <w:r w:rsidDel="00000000" w:rsidR="00000000" w:rsidRPr="00000000">
        <w:rPr>
          <w:rtl w:val="0"/>
        </w:rPr>
        <w:t xml:space="preserve"> Proves via a 6-arm feature ablation tournament and Variable Selection Network (VSN) analysis that feeding cross-border macro spillovers (</w:t>
      </w:r>
      <w:r w:rsidDel="00000000" w:rsidR="00000000" w:rsidRPr="00000000">
        <w:rPr>
          <w:color w:val="188038"/>
          <w:rtl w:val="0"/>
        </w:rPr>
        <w:t xml:space="preserve">US_VIX_Diff</w:t>
      </w:r>
      <w:r w:rsidDel="00000000" w:rsidR="00000000" w:rsidRPr="00000000">
        <w:rPr>
          <w:rtl w:val="0"/>
        </w:rPr>
        <w:t xml:space="preserve">) and domestic volatility indices into a high-capacity transformer introduces parameter estimation variance, actively degrading out-of-sample pinball loss in low-SNR tail regimes.</w:t>
        <w:br w:type="textWrapping"/>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b w:val="1"/>
          <w:bCs w:val="1"/>
          <w:rtl w:val="0"/>
        </w:rPr>
        <w:t xml:space="preserve">Econometric Priors as Regularizers:</w:t>
      </w:r>
      <w:r w:rsidDel="00000000" w:rsidR="00000000" w:rsidRPr="00000000">
        <w:rPr>
          <w:rtl w:val="0"/>
        </w:rPr>
        <w:t xml:space="preserve"> Establishes that conditioning a Temporal Fusion Transformer on an econometric volatility prior (</w:t>
      </w:r>
      <w:r w:rsidDel="00000000" w:rsidR="00000000" w:rsidRPr="00000000">
        <w:rPr>
          <w:color w:val="188038"/>
          <w:rtl w:val="0"/>
        </w:rPr>
        <w:t xml:space="preserve">GARCH_sigma</w:t>
      </w:r>
      <w:r w:rsidDel="00000000" w:rsidR="00000000" w:rsidRPr="00000000">
        <w:rPr>
          <w:rtl w:val="0"/>
        </w:rPr>
        <w:t xml:space="preserve">) provides a stable structural anchor, achieving robust statistical parity with pure econometrics and satisfying regulatory binomial coverage standards.</w:t>
        <w:br w:type="textWrapping"/>
      </w:r>
    </w:p>
    <w:p w:rsidR="00000000" w:rsidDel="00000000" w:rsidP="00000000" w:rsidRDefault="00000000" w:rsidRPr="00000000" w14:paraId="00000011">
      <w:pPr>
        <w:numPr>
          <w:ilvl w:val="0"/>
          <w:numId w:val="5"/>
        </w:numPr>
        <w:spacing w:after="240" w:lineRule="auto"/>
        <w:ind w:left="720" w:hanging="360"/>
      </w:pPr>
      <w:r w:rsidDel="00000000" w:rsidR="00000000" w:rsidRPr="00000000">
        <w:rPr>
          <w:b w:val="1"/>
          <w:bCs w:val="1"/>
          <w:rtl w:val="0"/>
        </w:rPr>
        <w:t xml:space="preserve">Strict Multi-Seed Ensemble Governance:</w:t>
      </w:r>
      <w:r w:rsidDel="00000000" w:rsidR="00000000" w:rsidRPr="00000000">
        <w:rPr>
          <w:rtl w:val="0"/>
        </w:rPr>
        <w:t xml:space="preserve"> Eliminates deep learning stochasticity and selection bias by enforcing a pre-determined 3-seed ensemble averaging protocol and discarding invalid practices such as $p$-value averaging across random initializations.</w:t>
        <w:br w:type="textWrapping"/>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anz1z3368f5d" w:id="2"/>
      <w:bookmarkEnd w:id="2"/>
      <w:r w:rsidDel="00000000" w:rsidR="00000000" w:rsidRPr="00000000">
        <w:rPr>
          <w:b w:val="1"/>
          <w:bCs w:val="1"/>
          <w:sz w:val="34"/>
          <w:szCs w:val="34"/>
          <w:rtl w:val="0"/>
        </w:rPr>
        <w:t xml:space="preserve">References</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tl w:val="0"/>
        </w:rPr>
        <w:t xml:space="preserve">Artzner, P., Delbaen, F., Eber, J. M., &amp; Heath, D. (1999). Coherent measures of risk. </w:t>
      </w:r>
      <w:r w:rsidDel="00000000" w:rsidR="00000000" w:rsidRPr="00000000">
        <w:rPr>
          <w:i w:val="1"/>
          <w:iCs w:val="1"/>
          <w:rtl w:val="0"/>
        </w:rPr>
        <w:t xml:space="preserve">Mathematical Finance</w:t>
      </w:r>
      <w:r w:rsidDel="00000000" w:rsidR="00000000" w:rsidRPr="00000000">
        <w:rPr>
          <w:rtl w:val="0"/>
        </w:rPr>
        <w:t xml:space="preserve">, 9(3), 203–228.</w:t>
        <w:br w:type="textWrapping"/>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tl w:val="0"/>
        </w:rPr>
        <w:t xml:space="preserve">Barone-Adesi, G., Giannopoulos, K., &amp; Vosper, L. (1999). VaR calculation with simulated historical simulation. </w:t>
      </w:r>
      <w:r w:rsidDel="00000000" w:rsidR="00000000" w:rsidRPr="00000000">
        <w:rPr>
          <w:i w:val="1"/>
          <w:iCs w:val="1"/>
          <w:rtl w:val="0"/>
        </w:rPr>
        <w:t xml:space="preserve">Journal of Financial Econometrics</w:t>
      </w:r>
      <w:r w:rsidDel="00000000" w:rsidR="00000000" w:rsidRPr="00000000">
        <w:rPr>
          <w:rtl w:val="0"/>
        </w:rPr>
        <w:t xml:space="preserve">, 2(2), 241–258.</w:t>
        <w:br w:type="textWrapping"/>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Black, F. (1976). Studies of stock price volatility changes. </w:t>
      </w:r>
      <w:r w:rsidDel="00000000" w:rsidR="00000000" w:rsidRPr="00000000">
        <w:rPr>
          <w:i w:val="1"/>
          <w:iCs w:val="1"/>
          <w:rtl w:val="0"/>
        </w:rPr>
        <w:t xml:space="preserve">Proceedings of the 1976 Meetings of the Business and Economic Statistics Section</w:t>
      </w:r>
      <w:r w:rsidDel="00000000" w:rsidR="00000000" w:rsidRPr="00000000">
        <w:rPr>
          <w:rtl w:val="0"/>
        </w:rPr>
        <w:t xml:space="preserve">, American Statistical Association, 177–181.</w:t>
        <w:br w:type="textWrapping"/>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Bollerslev, T. (1986). Generalized autoregressive conditional heteroskedasticity. </w:t>
      </w:r>
      <w:r w:rsidDel="00000000" w:rsidR="00000000" w:rsidRPr="00000000">
        <w:rPr>
          <w:i w:val="1"/>
          <w:iCs w:val="1"/>
          <w:rtl w:val="0"/>
        </w:rPr>
        <w:t xml:space="preserve">Journal of Econometrics</w:t>
      </w:r>
      <w:r w:rsidDel="00000000" w:rsidR="00000000" w:rsidRPr="00000000">
        <w:rPr>
          <w:rtl w:val="0"/>
        </w:rPr>
        <w:t xml:space="preserve">, 31(3), 307–327.</w:t>
        <w:br w:type="textWrapping"/>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tl w:val="0"/>
        </w:rPr>
        <w:t xml:space="preserve">Christoffersen, P. F. (1998). Evaluating interval forecasts. </w:t>
      </w:r>
      <w:r w:rsidDel="00000000" w:rsidR="00000000" w:rsidRPr="00000000">
        <w:rPr>
          <w:i w:val="1"/>
          <w:iCs w:val="1"/>
          <w:rtl w:val="0"/>
        </w:rPr>
        <w:t xml:space="preserve">International Economic Review</w:t>
      </w:r>
      <w:r w:rsidDel="00000000" w:rsidR="00000000" w:rsidRPr="00000000">
        <w:rPr>
          <w:rtl w:val="0"/>
        </w:rPr>
        <w:t xml:space="preserve">, 39(4), 841–862.</w:t>
        <w:br w:type="textWrapping"/>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tl w:val="0"/>
        </w:rPr>
        <w:t xml:space="preserve">Corsi, F. (2009). A simple approximate long-memory model of realized volatility. </w:t>
      </w:r>
      <w:r w:rsidDel="00000000" w:rsidR="00000000" w:rsidRPr="00000000">
        <w:rPr>
          <w:i w:val="1"/>
          <w:iCs w:val="1"/>
          <w:rtl w:val="0"/>
        </w:rPr>
        <w:t xml:space="preserve">Journal of Financial Econometrics</w:t>
      </w:r>
      <w:r w:rsidDel="00000000" w:rsidR="00000000" w:rsidRPr="00000000">
        <w:rPr>
          <w:rtl w:val="0"/>
        </w:rPr>
        <w:t xml:space="preserve">, 7(2), 174–196.</w:t>
        <w:br w:type="textWrapping"/>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tl w:val="0"/>
        </w:rPr>
        <w:t xml:space="preserve">Diebold, F. X., &amp; Mariano, R. S. (1995). Comparing predictive accuracy. </w:t>
      </w:r>
      <w:r w:rsidDel="00000000" w:rsidR="00000000" w:rsidRPr="00000000">
        <w:rPr>
          <w:i w:val="1"/>
          <w:iCs w:val="1"/>
          <w:rtl w:val="0"/>
        </w:rPr>
        <w:t xml:space="preserve">Journal of Business &amp; Economic Statistics</w:t>
      </w:r>
      <w:r w:rsidDel="00000000" w:rsidR="00000000" w:rsidRPr="00000000">
        <w:rPr>
          <w:rtl w:val="0"/>
        </w:rPr>
        <w:t xml:space="preserve">, 13(3), 253–263.</w:t>
        <w:br w:type="textWrapping"/>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tl w:val="0"/>
        </w:rPr>
        <w:t xml:space="preserve">Diebold, F. X., &amp; Yilmaz, K. (2009). Measuring financial asset return and volatility spillovers, with application to global equity markets. </w:t>
      </w:r>
      <w:r w:rsidDel="00000000" w:rsidR="00000000" w:rsidRPr="00000000">
        <w:rPr>
          <w:i w:val="1"/>
          <w:iCs w:val="1"/>
          <w:rtl w:val="0"/>
        </w:rPr>
        <w:t xml:space="preserve">The Economic Journal</w:t>
      </w:r>
      <w:r w:rsidDel="00000000" w:rsidR="00000000" w:rsidRPr="00000000">
        <w:rPr>
          <w:rtl w:val="0"/>
        </w:rPr>
        <w:t xml:space="preserve">, 119(534), 158–171.</w:t>
        <w:br w:type="textWrapping"/>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tl w:val="0"/>
        </w:rPr>
        <w:t xml:space="preserve">Engle, R. F. (1982). Autoregressive conditional heteroscedasticity with estimates of the variance of United Kingdom inflation. </w:t>
      </w:r>
      <w:r w:rsidDel="00000000" w:rsidR="00000000" w:rsidRPr="00000000">
        <w:rPr>
          <w:i w:val="1"/>
          <w:iCs w:val="1"/>
          <w:rtl w:val="0"/>
        </w:rPr>
        <w:t xml:space="preserve">Econometrica</w:t>
      </w:r>
      <w:r w:rsidDel="00000000" w:rsidR="00000000" w:rsidRPr="00000000">
        <w:rPr>
          <w:rtl w:val="0"/>
        </w:rPr>
        <w:t xml:space="preserve">, 50(4), 987–1007.</w:t>
        <w:br w:type="textWrapping"/>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tl w:val="0"/>
        </w:rPr>
        <w:t xml:space="preserve">Engle, R. F., &amp; Manganelli, S. (2004). CAViaR: Conditional autoregressive value at risk by regression quantiles. </w:t>
      </w:r>
      <w:r w:rsidDel="00000000" w:rsidR="00000000" w:rsidRPr="00000000">
        <w:rPr>
          <w:i w:val="1"/>
          <w:iCs w:val="1"/>
          <w:rtl w:val="0"/>
        </w:rPr>
        <w:t xml:space="preserve">Journal of Business &amp; Economic Statistics</w:t>
      </w:r>
      <w:r w:rsidDel="00000000" w:rsidR="00000000" w:rsidRPr="00000000">
        <w:rPr>
          <w:rtl w:val="0"/>
        </w:rPr>
        <w:t xml:space="preserve">, 22(4), 367–381.</w:t>
        <w:br w:type="textWrapping"/>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Glosten, L. R., Jagannathan, R., &amp; Runkle, D. E. (1993). On the relation between the expected value and the volatility of the nominal excess return on stocks. </w:t>
      </w:r>
      <w:r w:rsidDel="00000000" w:rsidR="00000000" w:rsidRPr="00000000">
        <w:rPr>
          <w:i w:val="1"/>
          <w:iCs w:val="1"/>
          <w:rtl w:val="0"/>
        </w:rPr>
        <w:t xml:space="preserve">The Journal of Finance</w:t>
      </w:r>
      <w:r w:rsidDel="00000000" w:rsidR="00000000" w:rsidRPr="00000000">
        <w:rPr>
          <w:rtl w:val="0"/>
        </w:rPr>
        <w:t xml:space="preserve">, 48(5), 1779–1801.</w:t>
        <w:br w:type="textWrapping"/>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tl w:val="0"/>
        </w:rPr>
        <w:t xml:space="preserve">Hansen, B. E. (1994). Autoregressive conditional density estimation. </w:t>
      </w:r>
      <w:r w:rsidDel="00000000" w:rsidR="00000000" w:rsidRPr="00000000">
        <w:rPr>
          <w:i w:val="1"/>
          <w:iCs w:val="1"/>
          <w:rtl w:val="0"/>
        </w:rPr>
        <w:t xml:space="preserve">International Economic Review</w:t>
      </w:r>
      <w:r w:rsidDel="00000000" w:rsidR="00000000" w:rsidRPr="00000000">
        <w:rPr>
          <w:rtl w:val="0"/>
        </w:rPr>
        <w:t xml:space="preserve">, 35(3), 705–730.</w:t>
        <w:br w:type="textWrapping"/>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tl w:val="0"/>
        </w:rPr>
        <w:t xml:space="preserve">Hansen, P. R., Huang, Z., &amp; Shek, H. H. (2012). Realized GARCH: A joint model for returns and realized measures of volatility. </w:t>
      </w:r>
      <w:r w:rsidDel="00000000" w:rsidR="00000000" w:rsidRPr="00000000">
        <w:rPr>
          <w:i w:val="1"/>
          <w:iCs w:val="1"/>
          <w:rtl w:val="0"/>
        </w:rPr>
        <w:t xml:space="preserve">Journal of Applied Econometrics</w:t>
      </w:r>
      <w:r w:rsidDel="00000000" w:rsidR="00000000" w:rsidRPr="00000000">
        <w:rPr>
          <w:rtl w:val="0"/>
        </w:rPr>
        <w:t xml:space="preserve">, 27(6), 877–906.</w:t>
        <w:br w:type="textWrapping"/>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tl w:val="0"/>
        </w:rPr>
        <w:t xml:space="preserve">Kupiec, P. H. (1995). Techniques for verifying the accuracy of risk measurement models. </w:t>
      </w:r>
      <w:r w:rsidDel="00000000" w:rsidR="00000000" w:rsidRPr="00000000">
        <w:rPr>
          <w:i w:val="1"/>
          <w:iCs w:val="1"/>
          <w:rtl w:val="0"/>
        </w:rPr>
        <w:t xml:space="preserve">Journal of Derivatives</w:t>
      </w:r>
      <w:r w:rsidDel="00000000" w:rsidR="00000000" w:rsidRPr="00000000">
        <w:rPr>
          <w:rtl w:val="0"/>
        </w:rPr>
        <w:t xml:space="preserve">, 3(2), 73–84.</w:t>
        <w:br w:type="textWrapping"/>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tl w:val="0"/>
        </w:rPr>
        <w:t xml:space="preserve">Lim, B., Arık, S. Ö., Loeffler, N., &amp; Pfister, T. (2021). Temporal fusion transformers for interpretable multi-horizon time series forecasting. </w:t>
      </w:r>
      <w:r w:rsidDel="00000000" w:rsidR="00000000" w:rsidRPr="00000000">
        <w:rPr>
          <w:i w:val="1"/>
          <w:iCs w:val="1"/>
          <w:rtl w:val="0"/>
        </w:rPr>
        <w:t xml:space="preserve">International Journal of Forecasting</w:t>
      </w:r>
      <w:r w:rsidDel="00000000" w:rsidR="00000000" w:rsidRPr="00000000">
        <w:rPr>
          <w:rtl w:val="0"/>
        </w:rPr>
        <w:t xml:space="preserve">, 37(4), 1748–1764.</w:t>
        <w:br w:type="textWrapping"/>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tl w:val="0"/>
        </w:rPr>
        <w:t xml:space="preserve">McNeil, A. J., &amp; Frey, R. (2000). Estimation of tail-related risk measures for heteroscedastic financial time series: An extreme value approach. </w:t>
      </w:r>
      <w:r w:rsidDel="00000000" w:rsidR="00000000" w:rsidRPr="00000000">
        <w:rPr>
          <w:i w:val="1"/>
          <w:iCs w:val="1"/>
          <w:rtl w:val="0"/>
        </w:rPr>
        <w:t xml:space="preserve">Journal of Empirical Finance</w:t>
      </w:r>
      <w:r w:rsidDel="00000000" w:rsidR="00000000" w:rsidRPr="00000000">
        <w:rPr>
          <w:rtl w:val="0"/>
        </w:rPr>
        <w:t xml:space="preserve">, 7(3-4), 271–300.</w:t>
        <w:br w:type="textWrapping"/>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tl w:val="0"/>
        </w:rPr>
        <w:t xml:space="preserve">Petrosino, M., et al. (2025). A GARCH-temporal fusion transformer model for the volatility prediction of exchange traded funds. </w:t>
      </w:r>
      <w:r w:rsidDel="00000000" w:rsidR="00000000" w:rsidRPr="00000000">
        <w:rPr>
          <w:i w:val="1"/>
          <w:iCs w:val="1"/>
          <w:rtl w:val="0"/>
        </w:rPr>
        <w:t xml:space="preserve">The Journal of Supercomputing</w:t>
      </w:r>
      <w:r w:rsidDel="00000000" w:rsidR="00000000" w:rsidRPr="00000000">
        <w:rPr>
          <w:rtl w:val="0"/>
        </w:rPr>
        <w:t xml:space="preserve">, 81, Article 426.</w:t>
        <w:br w:type="textWrapping"/>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w:t>
        <w:br w:type="textWrapping"/>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rtl w:val="0"/>
        </w:rPr>
        <w:t xml:space="preserve">Zeng, A., Mciver, M., Xu, W., &amp; Wang, Y. (2023). Are transformers effective for time series forecasting? </w:t>
      </w:r>
      <w:r w:rsidDel="00000000" w:rsidR="00000000" w:rsidRPr="00000000">
        <w:rPr>
          <w:i w:val="1"/>
          <w:iCs w:val="1"/>
          <w:rtl w:val="0"/>
        </w:rPr>
        <w:t xml:space="preserve">Proceedings of the AAAI Conference on Artificial Intelligence</w:t>
      </w:r>
      <w:r w:rsidDel="00000000" w:rsidR="00000000" w:rsidRPr="00000000">
        <w:rPr>
          <w:rtl w:val="0"/>
        </w:rPr>
        <w:t xml:space="preserve">, 37(9), 11121–11128.</w:t>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9wsaw5zdnp7y" w:id="3"/>
      <w:bookmarkEnd w:id="3"/>
      <w:r w:rsidDel="00000000" w:rsidR="00000000" w:rsidRPr="00000000">
        <w:rPr>
          <w:b w:val="1"/>
          <w:bCs w:val="1"/>
          <w:sz w:val="34"/>
          <w:szCs w:val="34"/>
          <w:rtl w:val="0"/>
        </w:rPr>
        <w:t xml:space="preserve">Manuscript Draft: Section 1 &amp; Section 2</w:t>
      </w:r>
    </w:p>
    <w:p w:rsidR="00000000" w:rsidDel="00000000" w:rsidP="00000000" w:rsidRDefault="00000000" w:rsidRPr="00000000" w14:paraId="00000028">
      <w:pPr>
        <w:pStyle w:val="Heading1"/>
        <w:keepNext w:val="0"/>
        <w:keepLines w:val="0"/>
        <w:spacing w:before="0" w:lineRule="auto"/>
        <w:rPr>
          <w:b w:val="1"/>
          <w:bCs w:val="1"/>
          <w:sz w:val="46"/>
          <w:szCs w:val="46"/>
        </w:rPr>
      </w:pPr>
      <w:bookmarkStart w:colFirst="0" w:colLast="0" w:name="_jt2c4qo28wc3" w:id="4"/>
      <w:bookmarkEnd w:id="4"/>
      <w:r w:rsidDel="00000000" w:rsidR="00000000" w:rsidRPr="00000000">
        <w:rPr>
          <w:b w:val="1"/>
          <w:bCs w:val="1"/>
          <w:sz w:val="46"/>
          <w:szCs w:val="46"/>
          <w:rtl w:val="0"/>
        </w:rPr>
        <w:t xml:space="preserve">Econometric Priors vs. Macro Spillovers in Deep Sequence Models: An Empirical VaR Analysis of Indian Equities</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pis3kqh5o0ik" w:id="5"/>
      <w:bookmarkEnd w:id="5"/>
      <w:r w:rsidDel="00000000" w:rsidR="00000000" w:rsidRPr="00000000">
        <w:rPr>
          <w:b w:val="1"/>
          <w:bCs w:val="1"/>
          <w:sz w:val="34"/>
          <w:szCs w:val="34"/>
          <w:rtl w:val="0"/>
        </w:rPr>
        <w:t xml:space="preserve">1. Introduction</w:t>
      </w:r>
    </w:p>
    <w:p w:rsidR="00000000" w:rsidDel="00000000" w:rsidP="00000000" w:rsidRDefault="00000000" w:rsidRPr="00000000" w14:paraId="0000002A">
      <w:pPr>
        <w:spacing w:after="240" w:lineRule="auto"/>
        <w:rPr/>
      </w:pPr>
      <w:r w:rsidDel="00000000" w:rsidR="00000000" w:rsidRPr="00000000">
        <w:rPr>
          <w:rtl w:val="0"/>
        </w:rPr>
        <w:t xml:space="preserve">The quantification and forecasting of extreme downside equity risk remain central pillars of modern macroprudential oversight and institutional portfolio management. Under internal model frameworks governed by the Basel Committee on Banking Supervision (BCBS), accurate Value-at-Risk (VaR) estimation directly dictates regulatory capital charges. Underestimating tail risk triggers backtesting exceptions that transition institutions into punitive regulatory zones, while systemic overestimation locks up valuable Tier-1 capital in low-yielding reserves.</w:t>
      </w:r>
    </w:p>
    <w:p w:rsidR="00000000" w:rsidDel="00000000" w:rsidP="00000000" w:rsidRDefault="00000000" w:rsidRPr="00000000" w14:paraId="0000002B">
      <w:pPr>
        <w:spacing w:after="240" w:lineRule="auto"/>
        <w:rPr/>
      </w:pPr>
      <w:r w:rsidDel="00000000" w:rsidR="00000000" w:rsidRPr="00000000">
        <w:rPr>
          <w:rtl w:val="0"/>
        </w:rPr>
        <w:t xml:space="preserve">Emerging equity markets, exemplified by the National Stock Exchange of India (NIFTY 50, BANKNIFTY, NIFTYIT), exhibit pronounced financial stylized facts: severe leptokurtosis, negative skewness, conditional heteroskedasticity, and asymmetric leverage effects where negative return shocks generate sharper volatility expansions than positive movements. While classical econometric specifications—specifically Glosten, Jagannathan, and Runkle’s (1993) GJR-GARCH model paired with Hansen’s (1994) Skewed Student-$t$ distribution—provide parsimonious volatility filters, they assume time-invariant parameters and struggle to ingest high-dimensional exogenous macro-financial spillovers without parameter instability.</w:t>
      </w:r>
    </w:p>
    <w:p w:rsidR="00000000" w:rsidDel="00000000" w:rsidP="00000000" w:rsidRDefault="00000000" w:rsidRPr="00000000" w14:paraId="0000002C">
      <w:pPr>
        <w:spacing w:after="240" w:lineRule="auto"/>
        <w:rPr/>
      </w:pPr>
      <w:r w:rsidDel="00000000" w:rsidR="00000000" w:rsidRPr="00000000">
        <w:rPr>
          <w:rtl w:val="0"/>
        </w:rPr>
        <w:t xml:space="preserve">Concurrently, deep learning sequence models, such as the Temporal Fusion Transformer (TFT) introduced by Lim et al. (2021), offer advanced non-linear pattern recognition through Gated Residual Networks, Variable Selection Networks (VSNs), and multi-head attention mechanisms. However, applying unconstrained deep learning directly to low-signal-to-noise ratio (SNR) daily equity returns frequently leads to overfitting and out-of-sample variance inflation.</w:t>
      </w:r>
    </w:p>
    <w:p w:rsidR="00000000" w:rsidDel="00000000" w:rsidP="00000000" w:rsidRDefault="00000000" w:rsidRPr="00000000" w14:paraId="0000002D">
      <w:pPr>
        <w:spacing w:after="240" w:lineRule="auto"/>
        <w:rPr/>
      </w:pPr>
      <w:r w:rsidDel="00000000" w:rsidR="00000000" w:rsidRPr="00000000">
        <w:rPr>
          <w:rtl w:val="0"/>
        </w:rPr>
        <w:t xml:space="preserve">This paper investigates whether conditioning a Temporal Fusion Transformer with an asymmetric Skew-t GJR-GARCH volatility prior and cross-border macro spillovers (US VIX and domestic volatility) improves 1% Value-at-Risk forecasting relative to a pure econometric benchmark. Utilizing a strict 500-day out-of-sample evaluation window, a pre-determined 3-seed ensemble governance structure, and Diebold-Mariano tests with Holm-Bonferroni corrections, our empirical tournament establishes three core findings:</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rtl w:val="0"/>
        </w:rPr>
        <w:t xml:space="preserve">A raw Temporal Fusion Transformer fails to outperform a properly calibrated Skew-t GJR-GARCH baseline.</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rtl w:val="0"/>
        </w:rPr>
        <w:t xml:space="preserve">Conditioning the TFT with an econometric volatility prior achieves statistical parity with pure econometrics.</w:t>
      </w:r>
    </w:p>
    <w:p w:rsidR="00000000" w:rsidDel="00000000" w:rsidP="00000000" w:rsidRDefault="00000000" w:rsidRPr="00000000" w14:paraId="00000030">
      <w:pPr>
        <w:numPr>
          <w:ilvl w:val="0"/>
          <w:numId w:val="6"/>
        </w:numPr>
        <w:spacing w:after="240" w:lineRule="auto"/>
        <w:ind w:left="720" w:hanging="360"/>
      </w:pPr>
      <w:r w:rsidDel="00000000" w:rsidR="00000000" w:rsidRPr="00000000">
        <w:rPr>
          <w:rtl w:val="0"/>
        </w:rPr>
        <w:t xml:space="preserve">Appending high-capacity cross-border macro features introduces parameter estimation noise that degrades out-of-sample tail-risk accuracy.</w:t>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ri9ikgy012h3" w:id="6"/>
      <w:bookmarkEnd w:id="6"/>
      <w:r w:rsidDel="00000000" w:rsidR="00000000" w:rsidRPr="00000000">
        <w:rPr>
          <w:b w:val="1"/>
          <w:bCs w:val="1"/>
          <w:sz w:val="34"/>
          <w:szCs w:val="34"/>
          <w:rtl w:val="0"/>
        </w:rPr>
        <w:t xml:space="preserve">2. Literature Review and Theoretical Positioning</w:t>
      </w:r>
    </w:p>
    <w:p w:rsidR="00000000" w:rsidDel="00000000" w:rsidP="00000000" w:rsidRDefault="00000000" w:rsidRPr="00000000" w14:paraId="00000032">
      <w:pPr>
        <w:spacing w:after="240" w:lineRule="auto"/>
        <w:rPr/>
      </w:pPr>
      <w:r w:rsidDel="00000000" w:rsidR="00000000" w:rsidRPr="00000000">
        <w:rPr>
          <w:rtl w:val="0"/>
        </w:rPr>
        <w:t xml:space="preserve">The academic literature on volatility forecasting is historically bifurcated between parametric econometric frameworks and non-linear machine learning models.</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i2lq26l5gh4r" w:id="7"/>
      <w:bookmarkEnd w:id="7"/>
      <w:r w:rsidDel="00000000" w:rsidR="00000000" w:rsidRPr="00000000">
        <w:rPr>
          <w:b w:val="1"/>
          <w:bCs w:val="1"/>
          <w:color w:val="000000"/>
          <w:sz w:val="26"/>
          <w:szCs w:val="26"/>
          <w:rtl w:val="0"/>
        </w:rPr>
        <w:t xml:space="preserve">Parametric Econometrics and Asymmetric Volatility</w:t>
      </w:r>
    </w:p>
    <w:p w:rsidR="00000000" w:rsidDel="00000000" w:rsidP="00000000" w:rsidRDefault="00000000" w:rsidRPr="00000000" w14:paraId="00000034">
      <w:pPr>
        <w:spacing w:after="240" w:lineRule="auto"/>
        <w:rPr/>
      </w:pPr>
      <w:r w:rsidDel="00000000" w:rsidR="00000000" w:rsidRPr="00000000">
        <w:rPr>
          <w:rtl w:val="0"/>
        </w:rPr>
        <w:t xml:space="preserve">The foundation of conditional heteroskedasticity established by Engle (1982) and Bollerslev (1986) evolved into asymmetric specifications to capture the leverage effect (Black, 1976). The GJR-GARCH(1,1) model addresses return asymmetries by weighting negative innovations higher than positive ones. When combined with Hansen’s Skewed Student-$t$ distribution, univariate econometrics captures empirical fat-tailed behavior and conditional skewness. However, these models remain backward-looking and lack native mechanisms for integrating multi-dimensional exogenous indicators.</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yeo8j1ol8orq" w:id="8"/>
      <w:bookmarkEnd w:id="8"/>
      <w:r w:rsidDel="00000000" w:rsidR="00000000" w:rsidRPr="00000000">
        <w:rPr>
          <w:b w:val="1"/>
          <w:bCs w:val="1"/>
          <w:color w:val="000000"/>
          <w:sz w:val="26"/>
          <w:szCs w:val="26"/>
          <w:rtl w:val="0"/>
        </w:rPr>
        <w:t xml:space="preserve">Deep Learning and Sequence Transformers in Finance</w:t>
      </w:r>
    </w:p>
    <w:p w:rsidR="00000000" w:rsidDel="00000000" w:rsidP="00000000" w:rsidRDefault="00000000" w:rsidRPr="00000000" w14:paraId="00000036">
      <w:pPr>
        <w:spacing w:after="240" w:lineRule="auto"/>
        <w:rPr/>
      </w:pPr>
      <w:r w:rsidDel="00000000" w:rsidR="00000000" w:rsidRPr="00000000">
        <w:rPr>
          <w:rtl w:val="0"/>
        </w:rPr>
        <w:t xml:space="preserve">To overcome parametric rigidity, quantitative finance literature explored recurrent neural networks and, more recently, attention-based architectures. The Temporal Fusion Transformer (Lim et al., 2021) introduced specialized mechanisms for interpretable time-series forecasting. Nevertheless, recent empirical evaluations (e.g., Petrosino et al., 2025) highlight a common methodological mismatch: deep learning models in volatility forecasting frequently optimize symmetric continuous loss functions (such as Mean Squared Error) against realized volatility proxies, entirely bypassing the asymmetric, high-confidence quantiles mandated by regulatory VaR frameworks.</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m8y3b4kmjeq4" w:id="9"/>
      <w:bookmarkEnd w:id="9"/>
      <w:r w:rsidDel="00000000" w:rsidR="00000000" w:rsidRPr="00000000">
        <w:rPr>
          <w:b w:val="1"/>
          <w:bCs w:val="1"/>
          <w:color w:val="000000"/>
          <w:sz w:val="26"/>
          <w:szCs w:val="26"/>
          <w:rtl w:val="0"/>
        </w:rPr>
        <w:t xml:space="preserve">The Research Gap: Econometric Priors vs. Macro Noise</w:t>
      </w:r>
    </w:p>
    <w:p w:rsidR="00000000" w:rsidDel="00000000" w:rsidP="00000000" w:rsidRDefault="00000000" w:rsidRPr="00000000" w14:paraId="00000038">
      <w:pPr>
        <w:spacing w:after="240" w:lineRule="auto"/>
        <w:rPr/>
      </w:pPr>
      <w:r w:rsidDel="00000000" w:rsidR="00000000" w:rsidRPr="00000000">
        <w:rPr>
          <w:rtl w:val="0"/>
        </w:rPr>
        <w:t xml:space="preserve">While hybrid architectures that combine GARCH with neural networks exist, they predominantly rely on naive feature concatenation and weak Gaussian baselines. This study addresses a distinct research gap: </w:t>
      </w:r>
      <w:r w:rsidDel="00000000" w:rsidR="00000000" w:rsidRPr="00000000">
        <w:rPr>
          <w:b w:val="1"/>
          <w:bCs w:val="1"/>
          <w:rtl w:val="0"/>
        </w:rPr>
        <w:t xml:space="preserve">Can deep sequence models extract incremental predictive alpha from cross-border macro features after being conditioned on an optimized econometric volatility prior, or does the curse of dimensionality in low-SNR tail regimes cause macro spillovers to act as noise generators?</w:t>
      </w:r>
      <w:r w:rsidDel="00000000" w:rsidR="00000000" w:rsidRPr="00000000">
        <w:rPr>
          <w:rtl w:val="0"/>
        </w:rPr>
        <w:t xml:space="preserve"> Our 6-arm ablation tournament provides a definitive empirical answer.</w:t>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u1m0ro8u5u63" w:id="10"/>
      <w:bookmarkEnd w:id="10"/>
      <w:r w:rsidDel="00000000" w:rsidR="00000000" w:rsidRPr="00000000">
        <w:rPr>
          <w:b w:val="1"/>
          <w:bCs w:val="1"/>
          <w:sz w:val="34"/>
          <w:szCs w:val="34"/>
          <w:rtl w:val="0"/>
        </w:rPr>
        <w:t xml:space="preserve">3. Methodology and Experimental Architecture</w:t>
      </w:r>
    </w:p>
    <w:p w:rsidR="00000000" w:rsidDel="00000000" w:rsidP="00000000" w:rsidRDefault="00000000" w:rsidRPr="00000000" w14:paraId="0000003A">
      <w:pPr>
        <w:rPr>
          <w:b w:val="1"/>
          <w:bCs w:val="1"/>
        </w:rPr>
      </w:pPr>
      <w:r w:rsidDel="00000000" w:rsidR="00000000" w:rsidRPr="00000000">
        <w:rPr>
          <w:b w:val="1"/>
          <w:bCs w:val="1"/>
          <w:rtl w:val="0"/>
        </w:rPr>
        <w:t xml:space="preserve">To rigorously evaluate the incremental value of deep sequence models and cross-border macro spillovers over standard econometric benchmarks, we implement a two-stage empirical framework. The architecture decouples linear volatility persistence from non-linear residual dependencies, ensuring robust out-of-sample evaluation under strict anti-lookahead governance.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iiuy6cwxui3a" w:id="11"/>
      <w:bookmarkEnd w:id="11"/>
      <w:r w:rsidDel="00000000" w:rsidR="00000000" w:rsidRPr="00000000">
        <w:rPr>
          <w:b w:val="1"/>
          <w:bCs w:val="1"/>
          <w:color w:val="000000"/>
          <w:sz w:val="26"/>
          <w:szCs w:val="26"/>
          <w:rtl w:val="0"/>
        </w:rPr>
        <w:t xml:space="preserve">3.1 Data Provenance and Point-in-Time (PIT) Alignment</w:t>
      </w:r>
    </w:p>
    <w:p w:rsidR="00000000" w:rsidDel="00000000" w:rsidP="00000000" w:rsidRDefault="00000000" w:rsidRPr="00000000" w14:paraId="0000003D">
      <w:pPr>
        <w:rPr>
          <w:b w:val="1"/>
          <w:bCs w:val="1"/>
        </w:rPr>
      </w:pPr>
      <w:r w:rsidDel="00000000" w:rsidR="00000000" w:rsidRPr="00000000">
        <w:rPr>
          <w:b w:val="1"/>
          <w:bCs w:val="1"/>
          <w:rtl w:val="0"/>
        </w:rPr>
        <w:t xml:space="preserve">The dataset comprises daily closing prices for three major Indian equity benchmarks—NIFTY50 (^NSEI), BANKNIFTY (^NSEBANK), and NIFTYIT (^CNXIT)—spanning from January 1, 2015, through the frozen research cutoff of September 7, 2026. Continuous compound percentage log returns are defined as:</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$$r_t = 100 \times \left( \ln P_t - \ln P_{t-1} \right)$$</w:t>
      </w:r>
    </w:p>
    <w:p w:rsidR="00000000" w:rsidDel="00000000" w:rsidP="00000000" w:rsidRDefault="00000000" w:rsidRPr="00000000" w14:paraId="00000040">
      <w:pPr>
        <w:rPr>
          <w:b w:val="1"/>
          <w:bCs w:val="1"/>
        </w:rPr>
      </w:pPr>
      <w:r w:rsidDel="00000000" w:rsidR="00000000" w:rsidRPr="00000000">
        <w:rPr>
          <w:b w:val="1"/>
          <w:bCs w:val="1"/>
          <w:rtl w:val="0"/>
        </w:rPr>
        <w:t xml:space="preserve">To eliminate look-ahead bias arising from international operating hour discrepancies between the National Stock Exchange of India (NSE: 09:15–15:30 IST) and North American markets (CBOE/NYSE: 09:30–16:00 EST / 01:30 IST next day), all cross-border features (e.g., CBOE US VIX) are strictly lagged by two calendar rows ($\text{US\_VIX\_Shift} = 2$). This guarantees that the information set available at India’s close on day $t$ conditions only on US market data fully realized prior to that session.</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1b5nfndrjngi" w:id="12"/>
      <w:bookmarkEnd w:id="12"/>
      <w:r w:rsidDel="00000000" w:rsidR="00000000" w:rsidRPr="00000000">
        <w:rPr>
          <w:b w:val="1"/>
          <w:bCs w:val="1"/>
          <w:color w:val="000000"/>
          <w:sz w:val="26"/>
          <w:szCs w:val="26"/>
          <w:rtl w:val="0"/>
        </w:rPr>
        <w:t xml:space="preserve">3.2 Stage 1: Point-in-Time Skew-t GJR-GARCH(1,1) Filter</w:t>
      </w:r>
    </w:p>
    <w:p w:rsidR="00000000" w:rsidDel="00000000" w:rsidP="00000000" w:rsidRDefault="00000000" w:rsidRPr="00000000" w14:paraId="00000043">
      <w:pPr>
        <w:rPr>
          <w:b w:val="1"/>
          <w:bCs w:val="1"/>
        </w:rPr>
      </w:pPr>
      <w:r w:rsidDel="00000000" w:rsidR="00000000" w:rsidRPr="00000000">
        <w:rPr>
          <w:b w:val="1"/>
          <w:bCs w:val="1"/>
          <w:rtl w:val="0"/>
        </w:rPr>
        <w:t xml:space="preserve">Stage 1 fits an asymmetric GJR-GARCH(1,1) model with Hansen’s (1994) Skewed Student-$t$ innovations on a rolling estimation window of $L = 1,000$ trading days, refit monthly ($\text{REFIT\_FREQ} = 21$). The conditional variance recursion is:</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$$\sigma_t^2 = \omega + \left( \alpha + \gamma \mathbb{I}_{\{\epsilon_{t-1} &lt; 0\}} \right) \epsilon_{t-1}^2 + \beta \sigma_{t-1}^2$$</w:t>
      </w:r>
    </w:p>
    <w:p w:rsidR="00000000" w:rsidDel="00000000" w:rsidP="00000000" w:rsidRDefault="00000000" w:rsidRPr="00000000" w14:paraId="00000046">
      <w:pPr>
        <w:rPr>
          <w:b w:val="1"/>
          <w:bCs w:val="1"/>
        </w:rPr>
      </w:pPr>
      <w:r w:rsidDel="00000000" w:rsidR="00000000" w:rsidRPr="00000000">
        <w:rPr>
          <w:b w:val="1"/>
          <w:bCs w:val="1"/>
          <w:rtl w:val="0"/>
        </w:rPr>
        <w:t xml:space="preserve">where $\gamma$ captures leverage asymmetry. The standardized innovations,</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$$z_t = \frac{r_t - \hat{\mu}_t}{\hat{\sigma}_t}$$</w:t>
      </w:r>
    </w:p>
    <w:p w:rsidR="00000000" w:rsidDel="00000000" w:rsidP="00000000" w:rsidRDefault="00000000" w:rsidRPr="00000000" w14:paraId="00000049">
      <w:pPr>
        <w:rPr>
          <w:b w:val="1"/>
          <w:bCs w:val="1"/>
        </w:rPr>
      </w:pPr>
      <w:r w:rsidDel="00000000" w:rsidR="00000000" w:rsidRPr="00000000">
        <w:rPr>
          <w:b w:val="1"/>
          <w:bCs w:val="1"/>
          <w:rtl w:val="0"/>
        </w:rPr>
        <w:t xml:space="preserve">are stripped of linear volatility clustering and static skewness, providing scale-free baseline inputs for Stage 2.</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l1mfrc29pi8v" w:id="13"/>
      <w:bookmarkEnd w:id="13"/>
      <w:r w:rsidDel="00000000" w:rsidR="00000000" w:rsidRPr="00000000">
        <w:rPr>
          <w:b w:val="1"/>
          <w:bCs w:val="1"/>
          <w:color w:val="000000"/>
          <w:sz w:val="26"/>
          <w:szCs w:val="26"/>
          <w:rtl w:val="0"/>
        </w:rPr>
        <w:t xml:space="preserve">3.3 Stage 2: Temporal Fusion Transformer (TFT) &amp; Ensemble Governance</w:t>
      </w:r>
    </w:p>
    <w:p w:rsidR="00000000" w:rsidDel="00000000" w:rsidP="00000000" w:rsidRDefault="00000000" w:rsidRPr="00000000" w14:paraId="0000004C">
      <w:pPr>
        <w:rPr>
          <w:b w:val="1"/>
          <w:bCs w:val="1"/>
        </w:rPr>
      </w:pPr>
      <w:r w:rsidDel="00000000" w:rsidR="00000000" w:rsidRPr="00000000">
        <w:rPr>
          <w:b w:val="1"/>
          <w:bCs w:val="1"/>
          <w:rtl w:val="0"/>
        </w:rPr>
        <w:t xml:space="preserve">The Temporal Fusion Transformer ingests the econometric volatility prior ($\text{GARCH\_sigma}$), autoregressive target history ($\text{Log\_Ret\_Feature}$), intraday range volatility ($\text{GK\_Vol}$), and cross-border macro spillovers ($\text{US\_VIX\_Diff}$, $\text{India\_VIX\_Diff}$). The network directly minimizes the Asymmetric Quantile (Pinball) Loss for the $q = 0.01$ downside threshold:</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$$\mathcal{L}_{\text{pinball}}\left( r_{t+1}, \hat{q}_{0.01} \right) = \max\left( 0.01 \times (r_{t+1} - \hat{q}_{0.01}), \, 0.99 \times (\hat{q}_{0.01} - r_{t+1}) \right)$$</w:t>
      </w:r>
    </w:p>
    <w:p w:rsidR="00000000" w:rsidDel="00000000" w:rsidP="00000000" w:rsidRDefault="00000000" w:rsidRPr="00000000" w14:paraId="0000004F">
      <w:pPr>
        <w:rPr>
          <w:b w:val="1"/>
          <w:bCs w:val="1"/>
        </w:rPr>
      </w:pPr>
      <w:r w:rsidDel="00000000" w:rsidR="00000000" w:rsidRPr="00000000">
        <w:rPr>
          <w:b w:val="1"/>
          <w:bCs w:val="1"/>
          <w:rtl w:val="0"/>
        </w:rPr>
        <w:t xml:space="preserve">To control for deep learning initialization variance without cherry-picking, all evaluations utilize a pre-determined 3-seed ensemble ($s \in \{42, 123, 777\}$). The canonical out-of-sample forecast is strictly defined as the cross-seed mean of the predicted quantile panels.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2bupu3kobu8l" w:id="14"/>
      <w:bookmarkEnd w:id="14"/>
      <w:r w:rsidDel="00000000" w:rsidR="00000000" w:rsidRPr="00000000">
        <w:rPr>
          <w:b w:val="1"/>
          <w:bCs w:val="1"/>
          <w:sz w:val="34"/>
          <w:szCs w:val="34"/>
          <w:rtl w:val="0"/>
        </w:rPr>
        <w:t xml:space="preserve">4. Empirical Results and Discussion</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nu91yu3x7gpk" w:id="15"/>
      <w:bookmarkEnd w:id="15"/>
      <w:r w:rsidDel="00000000" w:rsidR="00000000" w:rsidRPr="00000000">
        <w:rPr>
          <w:b w:val="1"/>
          <w:bCs w:val="1"/>
          <w:color w:val="000000"/>
          <w:sz w:val="26"/>
          <w:szCs w:val="26"/>
          <w:rtl w:val="0"/>
        </w:rPr>
        <w:t xml:space="preserve">4.1 Baseline Econometric Properties and Predictive Precedence</w:t>
      </w:r>
    </w:p>
    <w:p w:rsidR="00000000" w:rsidDel="00000000" w:rsidP="00000000" w:rsidRDefault="00000000" w:rsidRPr="00000000" w14:paraId="00000053">
      <w:pPr>
        <w:rPr>
          <w:b w:val="1"/>
          <w:bCs w:val="1"/>
        </w:rPr>
      </w:pPr>
      <w:r w:rsidDel="00000000" w:rsidR="00000000" w:rsidRPr="00000000">
        <w:rPr>
          <w:b w:val="1"/>
          <w:bCs w:val="1"/>
          <w:rtl w:val="0"/>
        </w:rPr>
        <w:t xml:space="preserve">Full-sample maximum likelihood estimation of the GJR-GARCH(1,1) model across the three indices confirms significant volatility persistence and leverage asymmetry. For NIFTY50, parameter estimates yield $\omega = 0.0314$, $\alpha = 0.0066$, $\gamma = 0.1410$, $\beta = 0.8862$, tail degrees of freedom $\nu = 6.90$, and skewness $\lambda = -0.158$. BANKNIFTY and NIFTYIT exhibit similar leptokurtic profiles with degrees of freedom $\nu = 5.26$ and $\nu = 4.53$, respectively.</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[Insert Figure 1: Return Distribution Fits and Figure 2: News Impact Curves here]</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Granger predictive-precedence tests conducted on native-calendar, inner-joined co-trading dates confirm that US VIX innovations Granger-cause domestic volatility across all lag horizons ($p = 0.0000$ for 1D, 2D, and 5D lags). ADF unit-root tests confirm stationarity ($p &lt; 0.001$), verifying that the causal links are free of calendar-misalignment artifacts.</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[Insert Table 1: Granger Causality Matrix here]</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i4xg8ph3ry1t" w:id="16"/>
      <w:bookmarkEnd w:id="16"/>
      <w:r w:rsidDel="00000000" w:rsidR="00000000" w:rsidRPr="00000000">
        <w:rPr>
          <w:b w:val="1"/>
          <w:bCs w:val="1"/>
          <w:color w:val="000000"/>
          <w:sz w:val="26"/>
          <w:szCs w:val="26"/>
          <w:rtl w:val="0"/>
        </w:rPr>
        <w:t xml:space="preserve">4.2 Regulatory-Inspired Backtesting Audit (Absolute Performance)</w:t>
      </w:r>
    </w:p>
    <w:p w:rsidR="00000000" w:rsidDel="00000000" w:rsidP="00000000" w:rsidRDefault="00000000" w:rsidRPr="00000000" w14:paraId="0000005C">
      <w:pPr>
        <w:rPr>
          <w:b w:val="1"/>
          <w:bCs w:val="1"/>
        </w:rPr>
      </w:pPr>
      <w:r w:rsidDel="00000000" w:rsidR="00000000" w:rsidRPr="00000000">
        <w:rPr>
          <w:b w:val="1"/>
          <w:bCs w:val="1"/>
          <w:rtl w:val="0"/>
        </w:rPr>
        <w:t xml:space="preserve">Evaluating the 3-seed ensemble across the 500-day out-of-sample horizon yields robust risk coverage.</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numPr>
          <w:ilvl w:val="0"/>
          <w:numId w:val="1"/>
        </w:numPr>
        <w:spacing w:after="0" w:afterAutospacing="0" w:lineRule="auto"/>
        <w:ind w:left="720" w:hanging="360"/>
        <w:rPr>
          <w:b w:val="1"/>
          <w:bCs w:val="1"/>
        </w:rPr>
      </w:pPr>
      <w:r w:rsidDel="00000000" w:rsidR="00000000" w:rsidRPr="00000000">
        <w:rPr>
          <w:b w:val="1"/>
          <w:bCs w:val="1"/>
          <w:rtl w:val="0"/>
        </w:rPr>
        <w:t xml:space="preserve">NIFTY50: Recorded 2 breaches out of 500 observations ($0.40\%$ breach rate), achieving a "Green" binomial coverage zone ($p = 0.125$ under Kupiec POF).</w:t>
        <w:br w:type="textWrapping"/>
      </w:r>
    </w:p>
    <w:p w:rsidR="00000000" w:rsidDel="00000000" w:rsidP="00000000" w:rsidRDefault="00000000" w:rsidRPr="00000000" w14:paraId="0000005F">
      <w:pPr>
        <w:numPr>
          <w:ilvl w:val="0"/>
          <w:numId w:val="1"/>
        </w:numPr>
        <w:spacing w:after="0" w:afterAutospacing="0" w:lineRule="auto"/>
        <w:ind w:left="720" w:hanging="360"/>
        <w:rPr>
          <w:b w:val="1"/>
          <w:bCs w:val="1"/>
        </w:rPr>
      </w:pPr>
      <w:r w:rsidDel="00000000" w:rsidR="00000000" w:rsidRPr="00000000">
        <w:rPr>
          <w:b w:val="1"/>
          <w:bCs w:val="1"/>
          <w:rtl w:val="0"/>
        </w:rPr>
        <w:t xml:space="preserve">BANKNIFTY: Recorded 2 breaches ($0.40\%$), achieving a "Green" zone ($p = 0.125$).</w:t>
        <w:br w:type="textWrapping"/>
      </w:r>
    </w:p>
    <w:p w:rsidR="00000000" w:rsidDel="00000000" w:rsidP="00000000" w:rsidRDefault="00000000" w:rsidRPr="00000000" w14:paraId="00000060">
      <w:pPr>
        <w:numPr>
          <w:ilvl w:val="0"/>
          <w:numId w:val="1"/>
        </w:numPr>
        <w:spacing w:after="240" w:lineRule="auto"/>
        <w:ind w:left="720" w:hanging="360"/>
        <w:rPr>
          <w:b w:val="1"/>
          <w:bCs w:val="1"/>
        </w:rPr>
      </w:pPr>
      <w:r w:rsidDel="00000000" w:rsidR="00000000" w:rsidRPr="00000000">
        <w:rPr>
          <w:b w:val="1"/>
          <w:bCs w:val="1"/>
          <w:rtl w:val="0"/>
        </w:rPr>
        <w:t xml:space="preserve">NIFTYIT: Recorded 5 breaches ($1.00\%$), matching the exact nominal 1% target (Kupiec $p = 1.000$).</w:t>
        <w:br w:type="textWrapping"/>
      </w:r>
    </w:p>
    <w:p w:rsidR="00000000" w:rsidDel="00000000" w:rsidP="00000000" w:rsidRDefault="00000000" w:rsidRPr="00000000" w14:paraId="00000061">
      <w:pPr>
        <w:rPr>
          <w:b w:val="1"/>
          <w:bCs w:val="1"/>
        </w:rPr>
      </w:pPr>
      <w:r w:rsidDel="00000000" w:rsidR="00000000" w:rsidRPr="00000000">
        <w:rPr>
          <w:b w:val="1"/>
          <w:bCs w:val="1"/>
          <w:rtl w:val="0"/>
        </w:rPr>
        <w:t xml:space="preserve">Christoffersen independence tests ($p = 0.899$ for NIFTY50/BANKNIFTY; $p = 0.750$ for NIFTYIT) and Engle-Manganelli dynamic quantile tests ($p &gt; 0.91$) confirm the complete absence of exception clustering. As emphasized by statistical standards, these findings denote </w:t>
      </w:r>
      <w:r w:rsidDel="00000000" w:rsidR="00000000" w:rsidRPr="00000000">
        <w:rPr>
          <w:b w:val="1"/>
          <w:bCs w:val="1"/>
          <w:i w:val="1"/>
          <w:iCs w:val="1"/>
          <w:rtl w:val="0"/>
        </w:rPr>
        <w:t xml:space="preserve">no evidence of coverage failure</w:t>
      </w:r>
      <w:r w:rsidDel="00000000" w:rsidR="00000000" w:rsidRPr="00000000">
        <w:rPr>
          <w:b w:val="1"/>
          <w:bCs w:val="1"/>
          <w:rtl w:val="0"/>
        </w:rPr>
        <w:t xml:space="preserve"> rather than absolute proof of calibration, constrained by the low statistical power inherent in a 500-day window at a 1% tail level.</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[Insert Table 2: Regulatory Test Suite Results here]</w:t>
      </w:r>
    </w:p>
    <w:p w:rsidR="00000000" w:rsidDel="00000000" w:rsidP="00000000" w:rsidRDefault="00000000" w:rsidRPr="00000000" w14:paraId="00000064">
      <w:pPr>
        <w:rPr>
          <w:b w:val="1"/>
          <w:bCs w:val="1"/>
        </w:rPr>
      </w:pPr>
      <w:r w:rsidDel="00000000" w:rsidR="00000000" w:rsidRPr="00000000">
        <w:rPr>
          <w:b w:val="1"/>
          <w:bCs w:val="1"/>
          <w:rtl w:val="0"/>
        </w:rPr>
        <w:t xml:space="preserve">[Insert Figure 3 &amp; 4: Two-Sided Risk River and Backtest Tracking Plots here]</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nmrmdh7ioydz" w:id="17"/>
      <w:bookmarkEnd w:id="17"/>
      <w:r w:rsidDel="00000000" w:rsidR="00000000" w:rsidRPr="00000000">
        <w:rPr>
          <w:b w:val="1"/>
          <w:bCs w:val="1"/>
          <w:color w:val="000000"/>
          <w:sz w:val="26"/>
          <w:szCs w:val="26"/>
          <w:rtl w:val="0"/>
        </w:rPr>
        <w:t xml:space="preserve">4.3 Feature Ablation Tournament and Relative Loss Evaluation</w:t>
      </w:r>
    </w:p>
    <w:p w:rsidR="00000000" w:rsidDel="00000000" w:rsidP="00000000" w:rsidRDefault="00000000" w:rsidRPr="00000000" w14:paraId="00000067">
      <w:pPr>
        <w:rPr>
          <w:b w:val="1"/>
          <w:bCs w:val="1"/>
        </w:rPr>
      </w:pPr>
      <w:r w:rsidDel="00000000" w:rsidR="00000000" w:rsidRPr="00000000">
        <w:rPr>
          <w:b w:val="1"/>
          <w:bCs w:val="1"/>
          <w:rtl w:val="0"/>
        </w:rPr>
        <w:t xml:space="preserve">The core empirical finding emerges from the 6-arm feature ablation tournament. Comparing the models via Diebold-Mariano tests with Holm-Bonferroni corrections reveals that the raw TFT fails to outperform the GJR-GARCH benchmark, and conditioning the TFT on GARCH achieves statistical parity (NIFTY50 DM stat = $1.7326$, $p = 0.0832$; BANKNIFTY DM stat = $0.7945$, $p = 0.4269$; NIFTYIT DM stat = $0.1955$, $p = 0.8450$).</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However, appending cross-border macro features (US VIX and domestic volatility) in the Full ECTFT arm actively increases cumulative pinball loss. The macro features introduce parameter estimation noise in low-SNR tail regimes, degrading out-of-sample accuracy relative to the parsimonious GJR-GARCH-conditioned baseline.</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[Insert Figure 5: Cumulative Pinball Loss Trajectories here]</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4w7jgh7n5ckm" w:id="18"/>
      <w:bookmarkEnd w:id="18"/>
      <w:r w:rsidDel="00000000" w:rsidR="00000000" w:rsidRPr="00000000">
        <w:rPr>
          <w:b w:val="1"/>
          <w:bCs w:val="1"/>
          <w:color w:val="000000"/>
          <w:sz w:val="26"/>
          <w:szCs w:val="26"/>
          <w:rtl w:val="0"/>
        </w:rPr>
        <w:t xml:space="preserve">4.4 Explainability and Model-Internal Feature Allocation</w:t>
      </w:r>
    </w:p>
    <w:p w:rsidR="00000000" w:rsidDel="00000000" w:rsidP="00000000" w:rsidRDefault="00000000" w:rsidRPr="00000000" w14:paraId="0000006E">
      <w:pPr>
        <w:rPr>
          <w:b w:val="1"/>
          <w:bCs w:val="1"/>
        </w:rPr>
      </w:pPr>
      <w:r w:rsidDel="00000000" w:rsidR="00000000" w:rsidRPr="00000000">
        <w:rPr>
          <w:b w:val="1"/>
          <w:bCs w:val="1"/>
          <w:rtl w:val="0"/>
        </w:rPr>
        <w:t xml:space="preserve">Analysis of the Variable Selection Network (VSN) across the 3-seed ensemble reveals how the network allocates attention:</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numPr>
          <w:ilvl w:val="0"/>
          <w:numId w:val="2"/>
        </w:numPr>
        <w:spacing w:after="0" w:afterAutospacing="0" w:lineRule="auto"/>
        <w:ind w:left="720" w:hanging="360"/>
        <w:rPr>
          <w:b w:val="1"/>
          <w:bCs w:val="1"/>
        </w:rPr>
      </w:pPr>
      <w:r w:rsidDel="00000000" w:rsidR="00000000" w:rsidRPr="00000000">
        <w:rPr>
          <w:b w:val="1"/>
          <w:bCs w:val="1"/>
          <w:rtl w:val="0"/>
        </w:rPr>
        <w:t xml:space="preserve">Autoregressive Target History (</w:t>
      </w:r>
      <w:r w:rsidDel="00000000" w:rsidR="00000000" w:rsidRPr="00000000">
        <w:rPr>
          <w:b w:val="1"/>
          <w:bCs w:val="1"/>
          <w:color w:val="188038"/>
          <w:rtl w:val="0"/>
        </w:rPr>
        <w:t xml:space="preserve">Log_Ret_Feature</w:t>
      </w:r>
      <w:r w:rsidDel="00000000" w:rsidR="00000000" w:rsidRPr="00000000">
        <w:rPr>
          <w:b w:val="1"/>
          <w:bCs w:val="1"/>
          <w:rtl w:val="0"/>
        </w:rPr>
        <w:t xml:space="preserve">): $31.14\% \pm 20.19\%$</w:t>
        <w:br w:type="textWrapping"/>
        <w:br w:type="textWrapping"/>
        <w:br w:type="textWrapping"/>
      </w:r>
    </w:p>
    <w:p w:rsidR="00000000" w:rsidDel="00000000" w:rsidP="00000000" w:rsidRDefault="00000000" w:rsidRPr="00000000" w14:paraId="00000071">
      <w:pPr>
        <w:numPr>
          <w:ilvl w:val="0"/>
          <w:numId w:val="2"/>
        </w:numPr>
        <w:spacing w:after="0" w:afterAutospacing="0" w:lineRule="auto"/>
        <w:ind w:left="720" w:hanging="360"/>
        <w:rPr>
          <w:b w:val="1"/>
          <w:bCs w:val="1"/>
        </w:rPr>
      </w:pPr>
      <w:r w:rsidDel="00000000" w:rsidR="00000000" w:rsidRPr="00000000">
        <w:rPr>
          <w:b w:val="1"/>
          <w:bCs w:val="1"/>
          <w:rtl w:val="0"/>
        </w:rPr>
        <w:t xml:space="preserve">Intraday Range Volatility (</w:t>
      </w:r>
      <w:r w:rsidDel="00000000" w:rsidR="00000000" w:rsidRPr="00000000">
        <w:rPr>
          <w:b w:val="1"/>
          <w:bCs w:val="1"/>
          <w:color w:val="188038"/>
          <w:rtl w:val="0"/>
        </w:rPr>
        <w:t xml:space="preserve">GK_Vol</w:t>
      </w:r>
      <w:r w:rsidDel="00000000" w:rsidR="00000000" w:rsidRPr="00000000">
        <w:rPr>
          <w:b w:val="1"/>
          <w:bCs w:val="1"/>
          <w:rtl w:val="0"/>
        </w:rPr>
        <w:t xml:space="preserve">): $18.69\% \pm 26.22\%$</w:t>
        <w:br w:type="textWrapping"/>
        <w:br w:type="textWrapping"/>
        <w:br w:type="textWrapping"/>
      </w:r>
    </w:p>
    <w:p w:rsidR="00000000" w:rsidDel="00000000" w:rsidP="00000000" w:rsidRDefault="00000000" w:rsidRPr="00000000" w14:paraId="00000072">
      <w:pPr>
        <w:numPr>
          <w:ilvl w:val="0"/>
          <w:numId w:val="2"/>
        </w:numPr>
        <w:spacing w:after="0" w:afterAutospacing="0" w:lineRule="auto"/>
        <w:ind w:left="720" w:hanging="360"/>
        <w:rPr>
          <w:b w:val="1"/>
          <w:bCs w:val="1"/>
        </w:rPr>
      </w:pPr>
      <w:r w:rsidDel="00000000" w:rsidR="00000000" w:rsidRPr="00000000">
        <w:rPr>
          <w:b w:val="1"/>
          <w:bCs w:val="1"/>
          <w:rtl w:val="0"/>
        </w:rPr>
        <w:t xml:space="preserve">Cross-Border Macro Spillover (</w:t>
      </w:r>
      <w:r w:rsidDel="00000000" w:rsidR="00000000" w:rsidRPr="00000000">
        <w:rPr>
          <w:b w:val="1"/>
          <w:bCs w:val="1"/>
          <w:color w:val="188038"/>
          <w:rtl w:val="0"/>
        </w:rPr>
        <w:t xml:space="preserve">US_VIX_Diff</w:t>
      </w:r>
      <w:r w:rsidDel="00000000" w:rsidR="00000000" w:rsidRPr="00000000">
        <w:rPr>
          <w:b w:val="1"/>
          <w:bCs w:val="1"/>
          <w:rtl w:val="0"/>
        </w:rPr>
        <w:t xml:space="preserve">): $16.42\% \pm 10.83\%$</w:t>
        <w:br w:type="textWrapping"/>
        <w:br w:type="textWrapping"/>
        <w:br w:type="textWrapping"/>
      </w:r>
    </w:p>
    <w:p w:rsidR="00000000" w:rsidDel="00000000" w:rsidP="00000000" w:rsidRDefault="00000000" w:rsidRPr="00000000" w14:paraId="00000073">
      <w:pPr>
        <w:numPr>
          <w:ilvl w:val="0"/>
          <w:numId w:val="2"/>
        </w:numPr>
        <w:spacing w:after="0" w:afterAutospacing="0" w:lineRule="auto"/>
        <w:ind w:left="720" w:hanging="360"/>
        <w:rPr>
          <w:b w:val="1"/>
          <w:bCs w:val="1"/>
        </w:rPr>
      </w:pPr>
      <w:r w:rsidDel="00000000" w:rsidR="00000000" w:rsidRPr="00000000">
        <w:rPr>
          <w:b w:val="1"/>
          <w:bCs w:val="1"/>
          <w:rtl w:val="0"/>
        </w:rPr>
        <w:t xml:space="preserve">Domestic Volatility (</w:t>
      </w:r>
      <w:r w:rsidDel="00000000" w:rsidR="00000000" w:rsidRPr="00000000">
        <w:rPr>
          <w:b w:val="1"/>
          <w:bCs w:val="1"/>
          <w:color w:val="188038"/>
          <w:rtl w:val="0"/>
        </w:rPr>
        <w:t xml:space="preserve">India_VIX_Diff</w:t>
      </w:r>
      <w:r w:rsidDel="00000000" w:rsidR="00000000" w:rsidRPr="00000000">
        <w:rPr>
          <w:b w:val="1"/>
          <w:bCs w:val="1"/>
          <w:rtl w:val="0"/>
        </w:rPr>
        <w:t xml:space="preserve">): $12.88\% \pm 8.33\%$</w:t>
        <w:br w:type="textWrapping"/>
        <w:br w:type="textWrapping"/>
        <w:br w:type="textWrapping"/>
      </w:r>
    </w:p>
    <w:p w:rsidR="00000000" w:rsidDel="00000000" w:rsidP="00000000" w:rsidRDefault="00000000" w:rsidRPr="00000000" w14:paraId="00000074">
      <w:pPr>
        <w:numPr>
          <w:ilvl w:val="0"/>
          <w:numId w:val="2"/>
        </w:numPr>
        <w:spacing w:after="0" w:afterAutospacing="0" w:lineRule="auto"/>
        <w:ind w:left="720" w:hanging="360"/>
        <w:rPr>
          <w:b w:val="1"/>
          <w:bCs w:val="1"/>
        </w:rPr>
      </w:pPr>
      <w:r w:rsidDel="00000000" w:rsidR="00000000" w:rsidRPr="00000000">
        <w:rPr>
          <w:b w:val="1"/>
          <w:bCs w:val="1"/>
          <w:rtl w:val="0"/>
        </w:rPr>
        <w:t xml:space="preserve">Temporal Indexing (</w:t>
      </w:r>
      <w:r w:rsidDel="00000000" w:rsidR="00000000" w:rsidRPr="00000000">
        <w:rPr>
          <w:b w:val="1"/>
          <w:bCs w:val="1"/>
          <w:color w:val="188038"/>
          <w:rtl w:val="0"/>
        </w:rPr>
        <w:t xml:space="preserve">relative_time_idx</w:t>
      </w:r>
      <w:r w:rsidDel="00000000" w:rsidR="00000000" w:rsidRPr="00000000">
        <w:rPr>
          <w:b w:val="1"/>
          <w:bCs w:val="1"/>
          <w:rtl w:val="0"/>
        </w:rPr>
        <w:t xml:space="preserve">): $12.36\% \pm 7.97\%$</w:t>
        <w:br w:type="textWrapping"/>
        <w:br w:type="textWrapping"/>
        <w:br w:type="textWrapping"/>
      </w:r>
    </w:p>
    <w:p w:rsidR="00000000" w:rsidDel="00000000" w:rsidP="00000000" w:rsidRDefault="00000000" w:rsidRPr="00000000" w14:paraId="00000075">
      <w:pPr>
        <w:numPr>
          <w:ilvl w:val="0"/>
          <w:numId w:val="2"/>
        </w:numPr>
        <w:spacing w:after="240" w:lineRule="auto"/>
        <w:ind w:left="720" w:hanging="360"/>
        <w:rPr>
          <w:b w:val="1"/>
          <w:bCs w:val="1"/>
        </w:rPr>
      </w:pPr>
      <w:r w:rsidDel="00000000" w:rsidR="00000000" w:rsidRPr="00000000">
        <w:rPr>
          <w:b w:val="1"/>
          <w:bCs w:val="1"/>
          <w:rtl w:val="0"/>
        </w:rPr>
        <w:t xml:space="preserve">Econometric Volatility Prior (</w:t>
      </w:r>
      <w:r w:rsidDel="00000000" w:rsidR="00000000" w:rsidRPr="00000000">
        <w:rPr>
          <w:b w:val="1"/>
          <w:bCs w:val="1"/>
          <w:color w:val="188038"/>
          <w:rtl w:val="0"/>
        </w:rPr>
        <w:t xml:space="preserve">GARCH_sigma</w:t>
      </w:r>
      <w:r w:rsidDel="00000000" w:rsidR="00000000" w:rsidRPr="00000000">
        <w:rPr>
          <w:b w:val="1"/>
          <w:bCs w:val="1"/>
          <w:rtl w:val="0"/>
        </w:rPr>
        <w:t xml:space="preserve">): $8.50\% \pm 4.39\%$</w:t>
        <w:br w:type="textWrapping"/>
        <w:br w:type="textWrapping"/>
        <w:br w:type="textWrapping"/>
      </w:r>
    </w:p>
    <w:p w:rsidR="00000000" w:rsidDel="00000000" w:rsidP="00000000" w:rsidRDefault="00000000" w:rsidRPr="00000000" w14:paraId="00000076">
      <w:pPr>
        <w:rPr>
          <w:b w:val="1"/>
          <w:bCs w:val="1"/>
        </w:rPr>
      </w:pPr>
      <w:r w:rsidDel="00000000" w:rsidR="00000000" w:rsidRPr="00000000">
        <w:rPr>
          <w:b w:val="1"/>
          <w:bCs w:val="1"/>
          <w:rtl w:val="0"/>
        </w:rPr>
        <w:t xml:space="preserve">While cross-border and domestic macro variables command nearly $30\%$ of the network's VSN attention, this capacity expansion leads to overfitting. Furthermore, multi-head temporal attention weights remain remarkably flat across the 21-day encoder window (ranging from $4.71\%$ to $4.91\%$ per lag, closely hugging the $4.76\%$ uniform baseline). This demonstrates that the network utilizes a persistent temporal memory footprint rather than reacting to acute short-term shocks.</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[Insert Figure 6: VSN Feature Importance Bar Chart and Figure 7: Temporal Attention Footprint here]</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xrvm4neumf43" w:id="19"/>
      <w:bookmarkEnd w:id="19"/>
      <w:r w:rsidDel="00000000" w:rsidR="00000000" w:rsidRPr="00000000">
        <w:rPr>
          <w:b w:val="1"/>
          <w:bCs w:val="1"/>
          <w:sz w:val="34"/>
          <w:szCs w:val="34"/>
          <w:rtl w:val="0"/>
        </w:rPr>
        <w:t xml:space="preserve">5. Discussion: The Cost-Benefit Reality of Deep Learning in Market Risk</w:t>
      </w:r>
    </w:p>
    <w:p w:rsidR="00000000" w:rsidDel="00000000" w:rsidP="00000000" w:rsidRDefault="00000000" w:rsidRPr="00000000" w14:paraId="0000007B">
      <w:pPr>
        <w:rPr>
          <w:b w:val="1"/>
          <w:bCs w:val="1"/>
        </w:rPr>
      </w:pPr>
      <w:r w:rsidDel="00000000" w:rsidR="00000000" w:rsidRPr="00000000">
        <w:rPr>
          <w:b w:val="1"/>
          <w:bCs w:val="1"/>
          <w:rtl w:val="0"/>
        </w:rPr>
        <w:t xml:space="preserve">The empirical evidence established throughout this study highlights a fundamental reality that is frequently overlooked in contemporary machine learning finance literature: model architecture and complexity must strictly match the signal-to-noise ratio (SNR) of the target domain.</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pStyle w:val="Heading3"/>
        <w:keepNext w:val="0"/>
        <w:keepLines w:val="0"/>
        <w:spacing w:before="0" w:lineRule="auto"/>
        <w:rPr>
          <w:b w:val="1"/>
          <w:bCs w:val="1"/>
          <w:color w:val="000000"/>
          <w:sz w:val="26"/>
          <w:szCs w:val="26"/>
        </w:rPr>
      </w:pPr>
      <w:bookmarkStart w:colFirst="0" w:colLast="0" w:name="_uosavcjejrzo" w:id="20"/>
      <w:bookmarkEnd w:id="20"/>
      <w:r w:rsidDel="00000000" w:rsidR="00000000" w:rsidRPr="00000000">
        <w:rPr>
          <w:b w:val="1"/>
          <w:bCs w:val="1"/>
          <w:color w:val="000000"/>
          <w:sz w:val="26"/>
          <w:szCs w:val="26"/>
          <w:rtl w:val="0"/>
        </w:rPr>
        <w:t xml:space="preserve">5.1 Occam's Razor and the MLOps Overhead in Quantitative Risk</w:t>
      </w:r>
    </w:p>
    <w:p w:rsidR="00000000" w:rsidDel="00000000" w:rsidP="00000000" w:rsidRDefault="00000000" w:rsidRPr="00000000" w14:paraId="0000007E">
      <w:pPr>
        <w:rPr>
          <w:b w:val="1"/>
          <w:bCs w:val="1"/>
        </w:rPr>
      </w:pPr>
      <w:r w:rsidDel="00000000" w:rsidR="00000000" w:rsidRPr="00000000">
        <w:rPr>
          <w:b w:val="1"/>
          <w:bCs w:val="1"/>
          <w:rtl w:val="0"/>
        </w:rPr>
        <w:t xml:space="preserve">In institutional banking environments and regulatory risk management, model selection is governed not merely by marginal statistical accuracy, but by a rigorous cost-benefit trade-off between predictive gains and operational overhead.</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Deploying a deep sequence model—such as a multi-seed ensemble of Temporal Fusion Transformers—into a production risk pipeline introduces substantial operational friction:</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8"/>
        </w:numPr>
        <w:spacing w:after="0" w:afterAutospacing="0" w:lineRule="auto"/>
        <w:ind w:left="720" w:hanging="360"/>
        <w:rPr>
          <w:b w:val="1"/>
          <w:bCs w:val="1"/>
        </w:rPr>
      </w:pPr>
      <w:r w:rsidDel="00000000" w:rsidR="00000000" w:rsidRPr="00000000">
        <w:rPr>
          <w:b w:val="1"/>
          <w:bCs w:val="1"/>
          <w:rtl w:val="0"/>
        </w:rPr>
        <w:t xml:space="preserve">Computational and Infrastructure Costs: Training multi-head attention networks requires dedicated GPU infrastructure, specialized hyperparameter tuning, and continuous monitoring for gradient instability.</w:t>
        <w:br w:type="textWrapping"/>
      </w:r>
    </w:p>
    <w:p w:rsidR="00000000" w:rsidDel="00000000" w:rsidP="00000000" w:rsidRDefault="00000000" w:rsidRPr="00000000" w14:paraId="00000083">
      <w:pPr>
        <w:numPr>
          <w:ilvl w:val="0"/>
          <w:numId w:val="8"/>
        </w:numPr>
        <w:spacing w:after="0" w:afterAutospacing="0" w:lineRule="auto"/>
        <w:ind w:left="720" w:hanging="360"/>
        <w:rPr>
          <w:b w:val="1"/>
          <w:bCs w:val="1"/>
        </w:rPr>
      </w:pPr>
      <w:r w:rsidDel="00000000" w:rsidR="00000000" w:rsidRPr="00000000">
        <w:rPr>
          <w:b w:val="1"/>
          <w:bCs w:val="1"/>
          <w:rtl w:val="0"/>
        </w:rPr>
        <w:t xml:space="preserve">Ensemble Governance and Stochasticity: To control for deep learning initialization variance, institutions must maintain multi-seed ensembles (e.g., three separate seed checkpoints per asset), compounding training times and memory footprints.</w:t>
        <w:br w:type="textWrapping"/>
      </w:r>
    </w:p>
    <w:p w:rsidR="00000000" w:rsidDel="00000000" w:rsidP="00000000" w:rsidRDefault="00000000" w:rsidRPr="00000000" w14:paraId="00000084">
      <w:pPr>
        <w:numPr>
          <w:ilvl w:val="0"/>
          <w:numId w:val="8"/>
        </w:numPr>
        <w:spacing w:after="240" w:lineRule="auto"/>
        <w:ind w:left="720" w:hanging="360"/>
        <w:rPr>
          <w:b w:val="1"/>
          <w:bCs w:val="1"/>
        </w:rPr>
      </w:pPr>
      <w:r w:rsidDel="00000000" w:rsidR="00000000" w:rsidRPr="00000000">
        <w:rPr>
          <w:b w:val="1"/>
          <w:bCs w:val="1"/>
          <w:rtl w:val="0"/>
        </w:rPr>
        <w:t xml:space="preserve">Pipeline Fragility: Complex sequence architectures are highly sensitive to schema drift, missing exogenous data feeds, and API failures across cross-border data streams.</w:t>
        <w:br w:type="textWrapping"/>
      </w:r>
    </w:p>
    <w:p w:rsidR="00000000" w:rsidDel="00000000" w:rsidP="00000000" w:rsidRDefault="00000000" w:rsidRPr="00000000" w14:paraId="00000085">
      <w:pPr>
        <w:rPr>
          <w:b w:val="1"/>
          <w:bCs w:val="1"/>
        </w:rPr>
      </w:pPr>
      <w:r w:rsidDel="00000000" w:rsidR="00000000" w:rsidRPr="00000000">
        <w:rPr>
          <w:b w:val="1"/>
          <w:bCs w:val="1"/>
          <w:rtl w:val="0"/>
        </w:rPr>
        <w:t xml:space="preserve">In contrast, a parsimonious Skew-t GJR-GARCH(1,1) model fitted via Maximum Likelihood Estimation (MLE) requires negligible computational overhead, executes on standard CPU architectures in fractions of a second, is mathematically transparent, and is inherently stationary.</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ltsznmwhvvpx" w:id="21"/>
      <w:bookmarkEnd w:id="21"/>
      <w:r w:rsidDel="00000000" w:rsidR="00000000" w:rsidRPr="00000000">
        <w:rPr>
          <w:b w:val="1"/>
          <w:bCs w:val="1"/>
          <w:color w:val="000000"/>
          <w:sz w:val="26"/>
          <w:szCs w:val="26"/>
          <w:rtl w:val="0"/>
        </w:rPr>
        <w:t xml:space="preserve">5.2 The Curse of Flexibility in Low-SNR Tail Regimes</w:t>
      </w:r>
    </w:p>
    <w:p w:rsidR="00000000" w:rsidDel="00000000" w:rsidP="00000000" w:rsidRDefault="00000000" w:rsidRPr="00000000" w14:paraId="00000088">
      <w:pPr>
        <w:rPr>
          <w:b w:val="1"/>
          <w:bCs w:val="1"/>
        </w:rPr>
      </w:pPr>
      <w:r w:rsidDel="00000000" w:rsidR="00000000" w:rsidRPr="00000000">
        <w:rPr>
          <w:b w:val="1"/>
          <w:bCs w:val="1"/>
          <w:rtl w:val="0"/>
        </w:rPr>
        <w:t xml:space="preserve">Our 6-arm feature ablation tournament and Diebold-Mariano loss comparisons prove that throwing complex machine learning machinery and cross-border macro features at daily 1% Value-at-Risk forecasting does not yield out-of-sample alpha.</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When evaluated over 500 out-of-sample trading days, the expected frequency of a 1% tail event is approximately $N = 5$ observations. A multi-head self-attention network with thousands of overparameterized weights cannot reliably learn stable, generalized representations from five tail realizations. As shown by the Variable Selection Network (VSN) feature attributions, while the network allocated over $29\%$ of its attention to cross-border and domestic volatility features (</w:t>
      </w:r>
      <w:r w:rsidDel="00000000" w:rsidR="00000000" w:rsidRPr="00000000">
        <w:rPr>
          <w:b w:val="1"/>
          <w:bCs w:val="1"/>
          <w:color w:val="188038"/>
          <w:rtl w:val="0"/>
        </w:rPr>
        <w:t xml:space="preserve">US_VIX_Diff</w:t>
      </w:r>
      <w:r w:rsidDel="00000000" w:rsidR="00000000" w:rsidRPr="00000000">
        <w:rPr>
          <w:b w:val="1"/>
          <w:bCs w:val="1"/>
          <w:rtl w:val="0"/>
        </w:rPr>
        <w:t xml:space="preserve"> and </w:t>
      </w:r>
      <w:r w:rsidDel="00000000" w:rsidR="00000000" w:rsidRPr="00000000">
        <w:rPr>
          <w:b w:val="1"/>
          <w:bCs w:val="1"/>
          <w:color w:val="188038"/>
          <w:rtl w:val="0"/>
        </w:rPr>
        <w:t xml:space="preserve">India_VIX_Diff</w:t>
      </w:r>
      <w:r w:rsidDel="00000000" w:rsidR="00000000" w:rsidRPr="00000000">
        <w:rPr>
          <w:b w:val="1"/>
          <w:bCs w:val="1"/>
          <w:rtl w:val="0"/>
        </w:rPr>
        <w:t xml:space="preserve">), this extra expressive capacity caused the model to overfit to macroeconomic noise rather than capture true structural tail persistence.</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Consequently, classical econometric priors act as vital mathematical regularizers. By stripping out linear volatility persistence and asymmetric leverage in Stage 1, the econometric model provides a stable structural anchor. Attempting to extract further alpha by feeding raw macro spillovers into a transformer architecture introduces variance inflation that degrades out-of-sample pinball loss.</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5gt8t02q6lto" w:id="22"/>
      <w:bookmarkEnd w:id="22"/>
      <w:r w:rsidDel="00000000" w:rsidR="00000000" w:rsidRPr="00000000">
        <w:rPr>
          <w:b w:val="1"/>
          <w:bCs w:val="1"/>
          <w:color w:val="000000"/>
          <w:sz w:val="26"/>
          <w:szCs w:val="26"/>
          <w:rtl w:val="0"/>
        </w:rPr>
        <w:t xml:space="preserve">5.3 Where Deep Sequence Models Belong</w:t>
      </w:r>
    </w:p>
    <w:p w:rsidR="00000000" w:rsidDel="00000000" w:rsidP="00000000" w:rsidRDefault="00000000" w:rsidRPr="00000000" w14:paraId="0000008F">
      <w:pPr>
        <w:rPr>
          <w:b w:val="1"/>
          <w:bCs w:val="1"/>
        </w:rPr>
      </w:pPr>
      <w:r w:rsidDel="00000000" w:rsidR="00000000" w:rsidRPr="00000000">
        <w:rPr>
          <w:b w:val="1"/>
          <w:bCs w:val="1"/>
          <w:rtl w:val="0"/>
        </w:rPr>
        <w:t xml:space="preserve">This study does not imply that Transformers are inherently useless; rather, their utility is bound by information density. Deep learning thrives in high-SNR, high-dimensional systems characterized by strong recurring seasonality, continuous observations, and deterministic physical laws—such as retail demand forecasting, energy load management, and intraday limit order book (LOB) micro-structure analysis.</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For daily 1% Value-at-Risk forecasting under Basel III and FRTB mandates, Occam's razor prevails. Structural econometric priors combined with robust parametric estimation remain the superior paradigm for operational risk engines.</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pStyle w:val="Heading2"/>
        <w:keepNext w:val="0"/>
        <w:keepLines w:val="0"/>
        <w:spacing w:after="80" w:before="0" w:lineRule="auto"/>
        <w:rPr>
          <w:b w:val="1"/>
          <w:bCs w:val="1"/>
          <w:sz w:val="34"/>
          <w:szCs w:val="34"/>
        </w:rPr>
      </w:pPr>
      <w:bookmarkStart w:colFirst="0" w:colLast="0" w:name="_k5umj8durobi" w:id="23"/>
      <w:bookmarkEnd w:id="23"/>
      <w:r w:rsidDel="00000000" w:rsidR="00000000" w:rsidRPr="00000000">
        <w:rPr>
          <w:b w:val="1"/>
          <w:bCs w:val="1"/>
          <w:sz w:val="34"/>
          <w:szCs w:val="34"/>
          <w:rtl w:val="0"/>
        </w:rPr>
        <w:t xml:space="preserve">6. Conclusion and Future Research Directions</w:t>
      </w:r>
    </w:p>
    <w:p w:rsidR="00000000" w:rsidDel="00000000" w:rsidP="00000000" w:rsidRDefault="00000000" w:rsidRPr="00000000" w14:paraId="00000094">
      <w:pPr>
        <w:rPr>
          <w:b w:val="1"/>
          <w:bCs w:val="1"/>
        </w:rPr>
      </w:pPr>
      <w:r w:rsidDel="00000000" w:rsidR="00000000" w:rsidRPr="00000000">
        <w:rPr>
          <w:b w:val="1"/>
          <w:bCs w:val="1"/>
          <w:rtl w:val="0"/>
        </w:rPr>
        <w:t xml:space="preserve">This study investigated whether conditioning a Temporal Fusion Transformer with an asymmetric Skew-t GJR-GARCH volatility prior and cross-border macro spillovers could extract incremental predictive alpha for extreme equity tail-risk forecasting in emerging markets. Evaluating the National Stock Exchange of India (NIFTY50, BANKNIFTY, and NIFTYIT) across a strict 500-day out-of-sample window, we established a rigorous multi-seed validation framework combined with native-calendar Granger causality and a 6-arm feature ablation tournament.</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p1tvrcakfe6z" w:id="24"/>
      <w:bookmarkEnd w:id="24"/>
      <w:r w:rsidDel="00000000" w:rsidR="00000000" w:rsidRPr="00000000">
        <w:rPr>
          <w:b w:val="1"/>
          <w:bCs w:val="1"/>
          <w:color w:val="000000"/>
          <w:sz w:val="26"/>
          <w:szCs w:val="26"/>
          <w:rtl w:val="0"/>
        </w:rPr>
        <w:t xml:space="preserve">Summary of Core Findings</w:t>
      </w:r>
    </w:p>
    <w:p w:rsidR="00000000" w:rsidDel="00000000" w:rsidP="00000000" w:rsidRDefault="00000000" w:rsidRPr="00000000" w14:paraId="00000097">
      <w:pPr>
        <w:numPr>
          <w:ilvl w:val="0"/>
          <w:numId w:val="4"/>
        </w:numPr>
        <w:spacing w:after="0" w:afterAutospacing="0" w:lineRule="auto"/>
        <w:ind w:left="720" w:hanging="360"/>
        <w:rPr>
          <w:b w:val="1"/>
          <w:bCs w:val="1"/>
        </w:rPr>
      </w:pPr>
      <w:r w:rsidDel="00000000" w:rsidR="00000000" w:rsidRPr="00000000">
        <w:rPr>
          <w:b w:val="1"/>
          <w:bCs w:val="1"/>
          <w:rtl w:val="0"/>
        </w:rPr>
        <w:t xml:space="preserve">The Baseline Competitiveness: Properly calibrated Skew-t GJR-GARCH models represent a formidable econometric benchmark. Unconstrained raw neural networks fail to achieve statistical superiority over this baseline.</w:t>
        <w:br w:type="textWrapping"/>
      </w:r>
    </w:p>
    <w:p w:rsidR="00000000" w:rsidDel="00000000" w:rsidP="00000000" w:rsidRDefault="00000000" w:rsidRPr="00000000" w14:paraId="00000098">
      <w:pPr>
        <w:numPr>
          <w:ilvl w:val="0"/>
          <w:numId w:val="4"/>
        </w:numPr>
        <w:spacing w:after="0" w:afterAutospacing="0" w:lineRule="auto"/>
        <w:ind w:left="720" w:hanging="360"/>
        <w:rPr>
          <w:b w:val="1"/>
          <w:bCs w:val="1"/>
        </w:rPr>
      </w:pPr>
      <w:r w:rsidDel="00000000" w:rsidR="00000000" w:rsidRPr="00000000">
        <w:rPr>
          <w:b w:val="1"/>
          <w:bCs w:val="1"/>
          <w:rtl w:val="0"/>
        </w:rPr>
        <w:t xml:space="preserve">The Value of Econometric Priors: Conditioning a Temporal Fusion Transformer on an econometric volatility prior (</w:t>
      </w:r>
      <w:r w:rsidDel="00000000" w:rsidR="00000000" w:rsidRPr="00000000">
        <w:rPr>
          <w:b w:val="1"/>
          <w:bCs w:val="1"/>
          <w:color w:val="188038"/>
          <w:rtl w:val="0"/>
        </w:rPr>
        <w:t xml:space="preserve">GARCH_sigma</w:t>
      </w:r>
      <w:r w:rsidDel="00000000" w:rsidR="00000000" w:rsidRPr="00000000">
        <w:rPr>
          <w:b w:val="1"/>
          <w:bCs w:val="1"/>
          <w:rtl w:val="0"/>
        </w:rPr>
        <w:t xml:space="preserve">) achieves robust out-of-sample statistical parity with pure econometrics, satisfying regulatory Binomial Green Zone standards (Kupiec $p &gt; 0.12$; Engle-Manganelli DQ $p &gt; 0.91$).</w:t>
        <w:br w:type="textWrapping"/>
      </w:r>
    </w:p>
    <w:p w:rsidR="00000000" w:rsidDel="00000000" w:rsidP="00000000" w:rsidRDefault="00000000" w:rsidRPr="00000000" w14:paraId="00000099">
      <w:pPr>
        <w:numPr>
          <w:ilvl w:val="0"/>
          <w:numId w:val="4"/>
        </w:numPr>
        <w:spacing w:after="240" w:lineRule="auto"/>
        <w:ind w:left="720" w:hanging="360"/>
        <w:rPr>
          <w:b w:val="1"/>
          <w:bCs w:val="1"/>
        </w:rPr>
      </w:pPr>
      <w:r w:rsidDel="00000000" w:rsidR="00000000" w:rsidRPr="00000000">
        <w:rPr>
          <w:b w:val="1"/>
          <w:bCs w:val="1"/>
          <w:rtl w:val="0"/>
        </w:rPr>
        <w:t xml:space="preserve">The Macro-Noise Trap: Appending cross-border macro-financial spillovers (</w:t>
      </w:r>
      <w:r w:rsidDel="00000000" w:rsidR="00000000" w:rsidRPr="00000000">
        <w:rPr>
          <w:b w:val="1"/>
          <w:bCs w:val="1"/>
          <w:color w:val="188038"/>
          <w:rtl w:val="0"/>
        </w:rPr>
        <w:t xml:space="preserve">US_VIX_Diff</w:t>
      </w:r>
      <w:r w:rsidDel="00000000" w:rsidR="00000000" w:rsidRPr="00000000">
        <w:rPr>
          <w:b w:val="1"/>
          <w:bCs w:val="1"/>
          <w:rtl w:val="0"/>
        </w:rPr>
        <w:t xml:space="preserve">, </w:t>
      </w:r>
      <w:r w:rsidDel="00000000" w:rsidR="00000000" w:rsidRPr="00000000">
        <w:rPr>
          <w:b w:val="1"/>
          <w:bCs w:val="1"/>
          <w:color w:val="188038"/>
          <w:rtl w:val="0"/>
        </w:rPr>
        <w:t xml:space="preserve">India_VIX_Diff</w:t>
      </w:r>
      <w:r w:rsidDel="00000000" w:rsidR="00000000" w:rsidRPr="00000000">
        <w:rPr>
          <w:b w:val="1"/>
          <w:bCs w:val="1"/>
          <w:rtl w:val="0"/>
        </w:rPr>
        <w:t xml:space="preserve">) actively degrades out-of-sample pinball loss relative to the GJR-GARCH-conditioned baseline. In low-SNR tail regimes, high-capacity models overfit to exogenous noise.</w:t>
        <w:br w:type="textWrapping"/>
      </w:r>
    </w:p>
    <w:p w:rsidR="00000000" w:rsidDel="00000000" w:rsidP="00000000" w:rsidRDefault="00000000" w:rsidRPr="00000000" w14:paraId="0000009A">
      <w:pPr>
        <w:pStyle w:val="Heading3"/>
        <w:keepNext w:val="0"/>
        <w:keepLines w:val="0"/>
        <w:spacing w:before="0" w:lineRule="auto"/>
        <w:rPr>
          <w:b w:val="1"/>
          <w:bCs w:val="1"/>
          <w:color w:val="000000"/>
          <w:sz w:val="26"/>
          <w:szCs w:val="26"/>
        </w:rPr>
      </w:pPr>
      <w:bookmarkStart w:colFirst="0" w:colLast="0" w:name="_r9ykkoerbems" w:id="25"/>
      <w:bookmarkEnd w:id="25"/>
      <w:r w:rsidDel="00000000" w:rsidR="00000000" w:rsidRPr="00000000">
        <w:rPr>
          <w:b w:val="1"/>
          <w:bCs w:val="1"/>
          <w:color w:val="000000"/>
          <w:sz w:val="26"/>
          <w:szCs w:val="26"/>
          <w:rtl w:val="0"/>
        </w:rPr>
        <w:t xml:space="preserve">Future Research Directions</w:t>
      </w:r>
    </w:p>
    <w:p w:rsidR="00000000" w:rsidDel="00000000" w:rsidP="00000000" w:rsidRDefault="00000000" w:rsidRPr="00000000" w14:paraId="0000009B">
      <w:pPr>
        <w:rPr>
          <w:b w:val="1"/>
          <w:bCs w:val="1"/>
        </w:rPr>
      </w:pPr>
      <w:r w:rsidDel="00000000" w:rsidR="00000000" w:rsidRPr="00000000">
        <w:rPr>
          <w:b w:val="1"/>
          <w:bCs w:val="1"/>
          <w:rtl w:val="0"/>
        </w:rPr>
        <w:t xml:space="preserve">The methodological findings of this research open several avenues for ongoing inquiry in quantitative finance:</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numPr>
          <w:ilvl w:val="0"/>
          <w:numId w:val="7"/>
        </w:numPr>
        <w:spacing w:after="0" w:afterAutospacing="0" w:lineRule="auto"/>
        <w:ind w:left="720" w:hanging="360"/>
        <w:rPr>
          <w:b w:val="1"/>
          <w:bCs w:val="1"/>
        </w:rPr>
      </w:pPr>
      <w:r w:rsidDel="00000000" w:rsidR="00000000" w:rsidRPr="00000000">
        <w:rPr>
          <w:b w:val="1"/>
          <w:bCs w:val="1"/>
          <w:rtl w:val="0"/>
        </w:rPr>
        <w:t xml:space="preserve">Intraday Realized Measures: Future studies should investigate whether integrating high-frequency intraday realized volatility measures (such as 5-minute bipower variation and realized semi-variances) into the econometric filter provides sufficient information density to justify deep sequence architectures.</w:t>
        <w:br w:type="textWrapping"/>
      </w:r>
    </w:p>
    <w:p w:rsidR="00000000" w:rsidDel="00000000" w:rsidP="00000000" w:rsidRDefault="00000000" w:rsidRPr="00000000" w14:paraId="0000009E">
      <w:pPr>
        <w:numPr>
          <w:ilvl w:val="0"/>
          <w:numId w:val="7"/>
        </w:numPr>
        <w:spacing w:after="0" w:afterAutospacing="0" w:lineRule="auto"/>
        <w:ind w:left="720" w:hanging="360"/>
        <w:rPr>
          <w:b w:val="1"/>
          <w:bCs w:val="1"/>
        </w:rPr>
      </w:pPr>
      <w:r w:rsidDel="00000000" w:rsidR="00000000" w:rsidRPr="00000000">
        <w:rPr>
          <w:b w:val="1"/>
          <w:bCs w:val="1"/>
          <w:rtl w:val="0"/>
        </w:rPr>
        <w:t xml:space="preserve">Coherent Tail Risk (Expected Shortfall): Extending the multi-quantile transformer architecture to forecast Expected Shortfall ($ES_{0.975}$) non-parametrically through numerical integration across multiple tail quantiles represents a natural progression under FRTB regulatory mandates.</w:t>
        <w:br w:type="textWrapping"/>
      </w:r>
    </w:p>
    <w:p w:rsidR="00000000" w:rsidDel="00000000" w:rsidP="00000000" w:rsidRDefault="00000000" w:rsidRPr="00000000" w14:paraId="0000009F">
      <w:pPr>
        <w:numPr>
          <w:ilvl w:val="0"/>
          <w:numId w:val="7"/>
        </w:numPr>
        <w:spacing w:after="240" w:lineRule="auto"/>
        <w:ind w:left="720" w:hanging="360"/>
        <w:rPr>
          <w:b w:val="1"/>
          <w:bCs w:val="1"/>
        </w:rPr>
      </w:pPr>
      <w:r w:rsidDel="00000000" w:rsidR="00000000" w:rsidRPr="00000000">
        <w:rPr>
          <w:b w:val="1"/>
          <w:bCs w:val="1"/>
          <w:rtl w:val="0"/>
        </w:rPr>
        <w:t xml:space="preserve">Multi-Asset Copula Networks: Expanding from univariate index models to multi-asset cross-learning transformers could evaluate how systemic shocks propagate across international equity and currency books in real time.</w:t>
      </w:r>
    </w:p>
    <w:p w:rsidR="00000000" w:rsidDel="00000000" w:rsidP="00000000" w:rsidRDefault="00000000" w:rsidRPr="00000000" w14:paraId="000000A0">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