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literature-review"/>
    <w:p>
      <w:pPr>
        <w:pStyle w:val="Heading2"/>
      </w:pPr>
      <w:r>
        <w:t xml:space="preserve">2. Literature Review</w:t>
      </w:r>
    </w:p>
    <w:bookmarkStart w:id="9" w:name="Xa320a01faba8558a688c29ff1f5fda863884b29"/>
    <w:p>
      <w:pPr>
        <w:pStyle w:val="Heading3"/>
      </w:pPr>
      <w:r>
        <w:t xml:space="preserve">2.1 Conditional volatility and the modelling of financial risk</w:t>
      </w:r>
    </w:p>
    <w:p>
      <w:pPr>
        <w:pStyle w:val="FirstParagraph"/>
      </w:pPr>
      <w:r>
        <w:t xml:space="preserve">Financial returns exhibit several empirical features that complicate risk forecasting under a homoskedastic framework. In particular, volatility tends to cluster over time, large movements are followed by periods of elevated uncertainty, and the response of volatility to negative and positive returns is often asymmetric. These characteristics motivated the development of autoregressive conditional heteroskedasticity models and, subsequently, the generalized ARCH (GARCH) family. Rather than assuming a constant unconditional variance, GARCH-type models allow conditional volatility to evolve as a function of recent shocks and past conditional variance, making them natural tools for one-step-ahead financial risk forecasting.</w:t>
      </w:r>
    </w:p>
    <w:p>
      <w:pPr>
        <w:pStyle w:val="BodyText"/>
      </w:pPr>
      <w:r>
        <w:t xml:space="preserve">The asymmetric response of volatility to shocks is particularly relevant for equity-market risk. The GJR-GARCH specification of Glosten, Jagannathan, and Runkle extends the basic GARCH framework by allowing the conditional variance response to differ according to the sign of the preceding innovation. Such asymmetry is economically plausible for equity markets, where negative returns can generate larger increases in perceived risk than positive returns of comparable magnitude. The present study therefore adopts GJR-GARCH rather than a symmetric GARCH specification as its principal econometric benchmark.</w:t>
      </w:r>
    </w:p>
    <w:p>
      <w:pPr>
        <w:pStyle w:val="BodyText"/>
      </w:pPr>
      <w:r>
        <w:t xml:space="preserve">An important implication follows from this modelling choice. A comparison between a neural forecasting architecture and an unduly simple econometric benchmark can exaggerate the apparent benefit of machine learning. The relevant question is not whether a flexible nonlinear model can outperform a weak volatility specification, but whether it can improve upon a carefully specified classical model that already captures volatility persistence, asymmetry, and non-Gaussian tail behaviour.</w:t>
      </w:r>
    </w:p>
    <w:bookmarkEnd w:id="9"/>
    <w:bookmarkStart w:id="10" w:name="X71fac193e4b500f597e0517c20e5d367c48a3a9"/>
    <w:p>
      <w:pPr>
        <w:pStyle w:val="Heading3"/>
      </w:pPr>
      <w:r>
        <w:t xml:space="preserve">2.2 Non-Gaussian conditional distributions and tail risk</w:t>
      </w:r>
    </w:p>
    <w:p>
      <w:pPr>
        <w:pStyle w:val="FirstParagraph"/>
      </w:pPr>
      <w:r>
        <w:t xml:space="preserve">Volatility forecasting and tail-risk forecasting are related but distinct problems. A conditional variance forecast describes the scale of uncertainty, whereas a Value at Risk forecast requires a conditional quantile of the future return distribution. Consequently, an appropriate VaR model must account not only for time-varying volatility but also for the shape of the conditional return distribution, particularly its lower tail.</w:t>
      </w:r>
    </w:p>
    <w:p>
      <w:pPr>
        <w:pStyle w:val="BodyText"/>
      </w:pPr>
      <w:r>
        <w:t xml:space="preserve">This consideration motivates the use of heavy-tailed and asymmetric conditional distributions rather than a Gaussian assumption. Huang and Wang’s comparative analysis of alternative GARCH specifications demonstrates the importance of allowing for departures from normality when evaluating volatility and density forecasts. Their results illustrate that distributional assumptions can materially affect financial forecast performance, although superiority is not necessarily universal across all forecasting environments. The implication for the present study is methodological: the econometric benchmark should be sufficiently strong that any apparent advantage of a neural model cannot simply be attributed to a misspecified conditional distribution.</w:t>
      </w:r>
    </w:p>
    <w:p>
      <w:pPr>
        <w:pStyle w:val="BodyText"/>
      </w:pPr>
      <w:r>
        <w:t xml:space="preserve">The present study therefore employs a skewed Student-t conditional distribution within a GJR-GARCH framework. This specification combines asymmetric volatility dynamics with flexible treatment of skewness and heavy tails. The resulting benchmark is intended to represent a demanding econometric comparator for machine-learning-based VaR forecasts.</w:t>
      </w:r>
    </w:p>
    <w:bookmarkEnd w:id="10"/>
    <w:bookmarkStart w:id="11" w:name="X3de4a318bb6ffc065929585494edff2c5d96436"/>
    <w:p>
      <w:pPr>
        <w:pStyle w:val="Heading3"/>
      </w:pPr>
      <w:r>
        <w:t xml:space="preserve">2.3 From volatility forecasts to Value at Risk</w:t>
      </w:r>
    </w:p>
    <w:p>
      <w:pPr>
        <w:pStyle w:val="FirstParagraph"/>
      </w:pPr>
      <w:r>
        <w:t xml:space="preserve">Value at Risk is naturally formulated as a conditional quantile. For a one-day-ahead return (r_{t+1}), the lower-tail VaR at level (</w:t>
      </w:r>
      <w:r>
        <w:t xml:space="preserve">) can be represented as the conditional quantile</w:t>
      </w:r>
    </w:p>
    <w:p>
      <w:pPr>
        <w:pStyle w:val="BodyText"/>
      </w:pPr>
      <w:r>
        <w:t xml:space="preserve">[</w:t>
      </w:r>
      <w:r>
        <w:t xml:space="preserve"> </w:t>
      </w:r>
      <w:r>
        <w:t xml:space="preserve">VaR_{t+1}^{(</w:t>
      </w:r>
      <w:r>
        <w:t xml:space="preserve">)}</w:t>
      </w:r>
      <w:r>
        <w:t xml:space="preserve"> </w:t>
      </w:r>
      <w:r>
        <w:t xml:space="preserve">=</w:t>
      </w:r>
      <w:r>
        <w:t xml:space="preserve"> </w:t>
      </w:r>
      <w:r>
        <w:t xml:space="preserve">Q_{</w:t>
      </w:r>
      <w:r>
        <w:t xml:space="preserve">}(r_{t+1}</w:t>
      </w:r>
      <w:r>
        <w:t xml:space="preserve">_t),</w:t>
      </w:r>
      <w:r>
        <w:t xml:space="preserve"> </w:t>
      </w:r>
      <w:r>
        <w:t xml:space="preserve">]</w:t>
      </w:r>
    </w:p>
    <w:p>
      <w:pPr>
        <w:pStyle w:val="BodyText"/>
      </w:pPr>
      <w:r>
        <w:t xml:space="preserve">where (</w:t>
      </w:r>
      <w:r>
        <w:t xml:space="preserve">_t) denotes the information set available at the forecast origin. At the 1% level considered in this study, the objective is therefore to estimate the return threshold that is expected to be exceeded on the downside with probability approximately (0.01), conditional on information available at the end of day (t).</w:t>
      </w:r>
    </w:p>
    <w:p>
      <w:pPr>
        <w:pStyle w:val="BodyText"/>
      </w:pPr>
      <w:r>
        <w:t xml:space="preserve">A substantial literature has developed around the evaluation of VaR models. Kupiec (1995) proposed formal procedures for evaluating the frequency of VaR exceptions, providing a framework for testing whether the observed proportion of exceedances is consistent with the nominal VaR probability. His analysis also highlights a fundamental practical problem for extreme-quantile evaluation: reliable statistical assessment becomes increasingly difficult as the target probability becomes smaller. This issue is directly relevant to 1% VaR because even a long daily evaluation sample contains relatively few expected exceedances.</w:t>
      </w:r>
    </w:p>
    <w:p>
      <w:pPr>
        <w:pStyle w:val="BodyText"/>
      </w:pPr>
      <w:r>
        <w:t xml:space="preserve">Christoffersen (1998) extended the evaluation framework by distinguishing unconditional coverage from conditional coverage. A VaR model can generate the correct unconditional number of exceptions while nevertheless producing clusters of violations, indicating that the model has failed to capture time dependence in the risk process. Christoffersen’s framework therefore motivates testing both the frequency of exceptions and their independence over time. In the present study, unconditional and conditional coverage diagnostics are interpreted jointly, while recognizing the limited power of extreme-quantile tests over a finite evaluation sample.</w:t>
      </w:r>
    </w:p>
    <w:p>
      <w:pPr>
        <w:pStyle w:val="BodyText"/>
      </w:pPr>
      <w:r>
        <w:t xml:space="preserve">The regression-quantile perspective developed by Engle and Manganelli (2004) provides a complementary foundation. Their CAViaR framework models Value at Risk directly as a conditional quantile process rather than deriving it solely from a conditional variance model. This work is important for the present study because it emphasizes that VaR forecasting is fundamentally a quantile-prediction problem. It also motivates evaluation criteria that score the predicted quantile itself rather than relying exclusively on binary exceedance counts.</w:t>
      </w:r>
    </w:p>
    <w:bookmarkEnd w:id="11"/>
    <w:bookmarkStart w:id="12" w:name="X08ae8cdd4bb34d96fa1a64c21417d474817d30e"/>
    <w:p>
      <w:pPr>
        <w:pStyle w:val="Heading3"/>
      </w:pPr>
      <w:r>
        <w:t xml:space="preserve">2.4 Filtered risk models and the role of conditional volatility</w:t>
      </w:r>
    </w:p>
    <w:p>
      <w:pPr>
        <w:pStyle w:val="FirstParagraph"/>
      </w:pPr>
      <w:r>
        <w:t xml:space="preserve">The use of volatility filtering in risk forecasting provides an important conceptual bridge between econometric models and the hybrid architecture examined in this study. Gurrola-Perez and Murphy’s analysis of filtered historical simulation and alternative VaR models illustrates the value of conditioning the historical return distribution on a time-varying volatility estimate. In such approaches, recent market information enters the risk forecast through the estimated conditional volatility state, allowing the forecast to adapt to changing market conditions.</w:t>
      </w:r>
    </w:p>
    <w:p>
      <w:pPr>
        <w:pStyle w:val="BodyText"/>
      </w:pPr>
      <w:r>
        <w:t xml:space="preserve">The present study adopts a related principle but implements it in two different ways. First, the skewed-t GJR-GARCH model generates an econometric VaR benchmark directly from estimated conditional volatility and the fitted conditional distribution. Second, the estimated GARCH conditional volatility is supplied as an input to a Temporal Fusion Transformer (TFT), allowing the neural model to condition its quantile forecasts on an explicit econometric estimate of the prevailing volatility state.</w:t>
      </w:r>
    </w:p>
    <w:p>
      <w:pPr>
        <w:pStyle w:val="BodyText"/>
      </w:pPr>
      <w:r>
        <w:t xml:space="preserve">This design reflects a broader methodological question: whether a flexible machine-learning model can exploit information beyond that already captured by a well-specified econometric volatility state. The answer is not assumed in advance. Indeed, the strength of the classical benchmark makes the comparison deliberately demanding.</w:t>
      </w:r>
    </w:p>
    <w:bookmarkEnd w:id="12"/>
    <w:bookmarkStart w:id="13" w:name="Xbdeb6fd445e37d0d8065887f94ff97791a4d608"/>
    <w:p>
      <w:pPr>
        <w:pStyle w:val="Heading3"/>
      </w:pPr>
      <w:r>
        <w:t xml:space="preserve">2.5 Machine learning and temporal forecasting</w:t>
      </w:r>
    </w:p>
    <w:p>
      <w:pPr>
        <w:pStyle w:val="FirstParagraph"/>
      </w:pPr>
      <w:r>
        <w:t xml:space="preserve">Machine-learning methods offer an alternative approach to financial forecasting by allowing complex nonlinear relationships among multiple historical and exogenous variables to be learned directly from the data. Neural sequence models are particularly attractive when the forecasting problem involves temporal dependence, multiple covariates, and potentially heterogeneous relationships across variables and lags.</w:t>
      </w:r>
    </w:p>
    <w:p>
      <w:pPr>
        <w:pStyle w:val="BodyText"/>
      </w:pPr>
      <w:r>
        <w:t xml:space="preserve">The Temporal Fusion Transformer introduced by Lim et al. (2021) combines recurrent processing, gating mechanisms, variable-selection networks, and attention mechanisms within a unified architecture for interpretable multi-horizon forecasting. Of particular relevance to the present study is the model’s ability to distinguish between variables according to their relevance to the forecasting task and to represent temporal relationships across an encoder window.</w:t>
      </w:r>
    </w:p>
    <w:p>
      <w:pPr>
        <w:pStyle w:val="BodyText"/>
      </w:pPr>
      <w:r>
        <w:t xml:space="preserve">However, the existence of a flexible forecasting architecture does not imply that it will improve prediction in every domain. Financial return series present a particularly difficult environment for machine learning because the signal-to-noise ratio is low, predictive relationships can be unstable, and the variables most useful for forecasting conditional volatility may already be highly informative of the target risk state. Accordingly, the relevant empirical question is not whether TFT can produce a VaR forecast, but whether its flexibility produces incremental out-of-sample accuracy after conditioning on strong econometric information.</w:t>
      </w:r>
    </w:p>
    <w:bookmarkEnd w:id="13"/>
    <w:bookmarkStart w:id="14" w:name="Xea73582db17ef8736a70563880c6bc26f36edbc"/>
    <w:p>
      <w:pPr>
        <w:pStyle w:val="Heading3"/>
      </w:pPr>
      <w:r>
        <w:t xml:space="preserve">2.6 Hybrid econometric–deep learning approaches</w:t>
      </w:r>
    </w:p>
    <w:p>
      <w:pPr>
        <w:pStyle w:val="FirstParagraph"/>
      </w:pPr>
      <w:r>
        <w:t xml:space="preserve">Recent research has increasingly explored hybrid architectures that combine established econometric volatility models with neural sequence models. Petrosino et al. (2025), for example, propose a GARCH–TFT framework for financial volatility prediction and report evidence that combining econometric volatility modelling with the temporal representation capabilities of TFT can improve forecasting performance in their empirical setting.</w:t>
      </w:r>
    </w:p>
    <w:p>
      <w:pPr>
        <w:pStyle w:val="BodyText"/>
      </w:pPr>
      <w:r>
        <w:t xml:space="preserve">This line of work provides a strong motivation for hybrid architectures, but it also identifies an important distinction for the present study. Forecasting a volatility proxy and forecasting an extreme conditional quantile are not identical tasks. A model may improve the prediction of conditional variance or a volatility proxy without producing a corresponding improvement in the lower-tail quantile relevant to Value at Risk. Consequently, evidence of superiority in volatility forecasting cannot by itself establish superiority in VaR forecasting.</w:t>
      </w:r>
    </w:p>
    <w:p>
      <w:pPr>
        <w:pStyle w:val="BodyText"/>
      </w:pPr>
      <w:r>
        <w:t xml:space="preserve">The present study therefore treats the GARCH–TFT hypothesis as an empirical question rather than as an assumed methodological advantage. GARCH information is supplied to the TFT as an explicit volatility prior, and the resulting forecasts are compared directly against the underlying econometric benchmark using out-of-sample quantile loss and formal forecast-comparison procedures.</w:t>
      </w:r>
    </w:p>
    <w:bookmarkEnd w:id="14"/>
    <w:bookmarkStart w:id="15" w:name="X0e30b11054c2169109df7b5f84a21a80bf026d9"/>
    <w:p>
      <w:pPr>
        <w:pStyle w:val="Heading3"/>
      </w:pPr>
      <w:r>
        <w:t xml:space="preserve">2.7 Exogenous volatility information and cross-market effects</w:t>
      </w:r>
    </w:p>
    <w:p>
      <w:pPr>
        <w:pStyle w:val="FirstParagraph"/>
      </w:pPr>
      <w:r>
        <w:t xml:space="preserve">An additional motivation for the expanded hybrid architecture is the possibility that volatility information from broader financial markets contains predictive information beyond domestic return and volatility dynamics. The Chicago Board Options Exchange Volatility Index (VIX) is widely interpreted as a forward-looking market-implied measure of expected equity-market volatility and has consequently been used as an exogenous financial-market variable in empirical forecasting studies.</w:t>
      </w:r>
    </w:p>
    <w:p>
      <w:pPr>
        <w:pStyle w:val="BodyText"/>
      </w:pPr>
      <w:r>
        <w:t xml:space="preserve">For the present application, both domestic India VIX information and US VIX information are considered. Their inclusion reflects two distinct hypotheses. Domestic VIX may contain contemporaneous information about the risk state of Indian equities, while US VIX may contain lagged information about global risk conditions that becomes available before the next Indian market close.</w:t>
      </w:r>
    </w:p>
    <w:p>
      <w:pPr>
        <w:pStyle w:val="BodyText"/>
      </w:pPr>
      <w:r>
        <w:t xml:space="preserve">The timing of these variables is therefore critical. Because the TFT receives decoder-side known covariates at the forecast target row, a feature stored at row (t+1) must correspond only to information available at the forecast origin (t). Accordingly, the domestic VIX is shifted so that the day-(t) close is used when forecasting (t+1), while the US VIX is shifted further because the US market closes after the Indian market. This design preserves the information-set constraint and prevents future market observations from entering the forecast.</w:t>
      </w:r>
    </w:p>
    <w:p>
      <w:pPr>
        <w:pStyle w:val="BodyText"/>
      </w:pPr>
      <w:r>
        <w:t xml:space="preserve">The study also distinguishes predictive precedence from economic causality. Granger-style tests are used as exploratory diagnostics of whether lagged volatility innovations contain incremental predictive information about another volatility series; such tests do not establish structural economic causation.</w:t>
      </w:r>
    </w:p>
    <w:bookmarkEnd w:id="15"/>
    <w:bookmarkStart w:id="16" w:name="quantile-scoring-and-forecast-comparison"/>
    <w:p>
      <w:pPr>
        <w:pStyle w:val="Heading3"/>
      </w:pPr>
      <w:r>
        <w:t xml:space="preserve">2.8 Quantile scoring and forecast comparison</w:t>
      </w:r>
    </w:p>
    <w:p>
      <w:pPr>
        <w:pStyle w:val="FirstParagraph"/>
      </w:pPr>
      <w:r>
        <w:t xml:space="preserve">Because the target of the study is a conditional quantile rather than a point forecast, evaluation should be based on a loss function appropriate for quantiles. The asymmetric absolute or “tick” loss used in quantile regression penalizes forecast errors differently depending on whether the realized observation lies above or below the predicted quantile. For quantile level (</w:t>
      </w:r>
      <w:r>
        <w:t xml:space="preserve">), the pinball loss may be written as</w:t>
      </w:r>
    </w:p>
    <w:p>
      <w:pPr>
        <w:pStyle w:val="BodyText"/>
      </w:pPr>
      <w:r>
        <w:t xml:space="preserve">[</w:t>
      </w:r>
      <w:r>
        <w:t xml:space="preserve"> </w:t>
      </w:r>
      <w:r>
        <w:t xml:space="preserve">L_{</w:t>
      </w:r>
      <w:r>
        <w:t xml:space="preserve">}(y,q)</w:t>
      </w:r>
      <w:r>
        <w:t xml:space="preserve"> </w:t>
      </w:r>
      <w:r>
        <w:t xml:space="preserve">=</w:t>
      </w:r>
      <w:r>
        <w:t xml:space="preserve"> </w:t>
      </w:r>
      <w:r>
        <w:t xml:space="preserve">(</w:t>
      </w:r>
      <w:r>
        <w:t xml:space="preserve">-</w:t>
      </w:r>
      <w:r>
        <w:t xml:space="preserve">{y&lt;q}</w:t>
      </w:r>
      <w:r>
        <w:t xml:space="preserve">)(y-q).</w:t>
      </w:r>
      <w:r>
        <w:t xml:space="preserve"> </w:t>
      </w:r>
      <w:r>
        <w:t xml:space="preserve">]</w:t>
      </w:r>
    </w:p>
    <w:p>
      <w:pPr>
        <w:pStyle w:val="BodyText"/>
      </w:pPr>
      <w:r>
        <w:t xml:space="preserve">Minimizing the expected pinball loss identifies the corresponding conditional quantile. This makes pinball loss a natural criterion for comparing competing VaR forecasts.</w:t>
      </w:r>
    </w:p>
    <w:p>
      <w:pPr>
        <w:pStyle w:val="BodyText"/>
      </w:pPr>
      <w:r>
        <w:t xml:space="preserve">Giacomini and Komunjer (2005) develop a conditional framework for evaluating and comparing conditional quantile forecasts using the tick loss. Their framework is particularly relevant because it is designed for out-of-sample quantile forecast evaluation and applies to forecasts generated by both nested and non-nested procedures. The present study therefore evaluates predictive performance primarily through out-of-sample pinball loss rather than relying solely on exception counts.</w:t>
      </w:r>
    </w:p>
    <w:p>
      <w:pPr>
        <w:pStyle w:val="BodyText"/>
      </w:pPr>
      <w:r>
        <w:t xml:space="preserve">The broader theoretical foundation for this approach comes from the literature on proper scoring rules. Gneiting and Raftery (2007) show that strictly proper scoring rules provide a principled basis for evaluating probabilistic forecasts because the expected score is optimized when the forecast corresponds to the true predictive object. For quantile forecasting, the corresponding strictly consistent scoring structure justifies the use of quantile loss as an objective for comparing conditional quantile predictions.</w:t>
      </w:r>
    </w:p>
    <w:p>
      <w:pPr>
        <w:pStyle w:val="BodyText"/>
      </w:pPr>
      <w:r>
        <w:t xml:space="preserve">Once losses have been constructed over the common out-of-sample period, statistical comparison between competing models becomes necessary. Diebold and Mariano (1995) provide the canonical test for equal predictive accuracy, allowing the comparison to be based on a general loss function rather than restricting evaluation to squared forecast errors. This is particularly important for VaR because the loss function is asymmetric by design and forecast-loss sequences may exhibit serial dependence. The present study therefore uses Diebold–Mariano tests on out-of-sample pinball-loss differentials to distinguish economically visible differences in average loss from differences that are statistically supported.</w:t>
      </w:r>
    </w:p>
    <w:bookmarkEnd w:id="16"/>
    <w:bookmarkStart w:id="17" w:name="multiple-comparisons-and-robustness"/>
    <w:p>
      <w:pPr>
        <w:pStyle w:val="Heading3"/>
      </w:pPr>
      <w:r>
        <w:t xml:space="preserve">2.9 Multiple comparisons and robustness</w:t>
      </w:r>
    </w:p>
    <w:p>
      <w:pPr>
        <w:pStyle w:val="FirstParagraph"/>
      </w:pPr>
      <w:r>
        <w:t xml:space="preserve">The study evaluates multiple model pairs across multiple indices and therefore faces a multiple-testing problem. When several hypothesis tests are performed simultaneously, the probability of obtaining at least one apparently significant result under the global null increases. The empirical analysis consequently applies a Holm adjustment to the relevant collection of pairwise Diebold–Mariano p-values.</w:t>
      </w:r>
    </w:p>
    <w:p>
      <w:pPr>
        <w:pStyle w:val="BodyText"/>
      </w:pPr>
      <w:r>
        <w:t xml:space="preserve">Multiple random seeds are also used for the neural models. This is important because neural-network optimization introduces stochastic variation through parameter initialization and training procedures. A result observed under a single random initialization may therefore be an artifact of a particular optimization trajectory. Repeated seeds provide a more reliable picture of model stability and allow the analysis to distinguish persistent performance differences from seed-specific outcomes.</w:t>
      </w:r>
    </w:p>
    <w:p>
      <w:pPr>
        <w:pStyle w:val="BodyText"/>
      </w:pPr>
      <w:r>
        <w:t xml:space="preserve">At the same time, additional seeds should not be confused with additional information about the financial process. Increasing the number of neural-network seeds can reduce uncertainty associated with model stochasticity and can stabilize an ensemble forecast, but it does not increase the number of independent financial observations available for inference.</w:t>
      </w:r>
    </w:p>
    <w:bookmarkEnd w:id="17"/>
    <w:bookmarkStart w:id="18" w:name="research-gap-and-empirical-contribution"/>
    <w:p>
      <w:pPr>
        <w:pStyle w:val="Heading3"/>
      </w:pPr>
      <w:r>
        <w:t xml:space="preserve">2.10 Research gap and empirical contribution</w:t>
      </w:r>
    </w:p>
    <w:p>
      <w:pPr>
        <w:pStyle w:val="FirstParagraph"/>
      </w:pPr>
      <w:r>
        <w:t xml:space="preserve">The existing literature therefore provides strong support for each component of the present study but leaves an important empirical question open. Classical volatility models provide a well-established framework for modelling conditional risk; VaR research provides formal coverage and quantile-evaluation procedures; TFT provides a flexible architecture for multivariate temporal forecasting; and recent research suggests that GARCH information can complement neural forecasting models in volatility prediction.</w:t>
      </w:r>
    </w:p>
    <w:p>
      <w:pPr>
        <w:pStyle w:val="BodyText"/>
      </w:pPr>
      <w:r>
        <w:t xml:space="preserve">What remains less clear is whether this additional modelling complexity generates measurable incremental value for</w:t>
      </w:r>
      <w:r>
        <w:t xml:space="preserve"> </w:t>
      </w:r>
      <w:r>
        <w:rPr>
          <w:b/>
          <w:bCs/>
        </w:rPr>
        <w:t xml:space="preserve">extreme lower-tail VaR forecasting when the benchmark is itself a carefully specified asymmetric, heavy-tailed GARCH model</w:t>
      </w:r>
      <w:r>
        <w:t xml:space="preserve">.</w:t>
      </w:r>
    </w:p>
    <w:p>
      <w:pPr>
        <w:pStyle w:val="BodyText"/>
      </w:pPr>
      <w:r>
        <w:t xml:space="preserve">The present study addresses this question using three Indian equity-market indices: NIFTY 50, NIFTY Bank, and NIFTY IT. It compares a classical skewed-t GJR-GARCH benchmark with three neural configurations: a Raw TFT, a GARCH-conditioned TFT, and a fully augmented TFT incorporating both GARCH-derived volatility information and exogenous VIX variables. The comparison is conducted on a fixed out-of-sample period using quantile loss, VaR exception diagnostics, conditional-coverage tests, and formal pairwise forecast-comparison tests.</w:t>
      </w:r>
    </w:p>
    <w:p>
      <w:pPr>
        <w:pStyle w:val="BodyText"/>
      </w:pPr>
      <w:r>
        <w:t xml:space="preserve">The central contribution is consequently not the assumption that a more complex model should outperform a classical model. Instead, the study asks whether the additional representational flexibility of a TFT produces statistically and practically meaningful improvements once a strong econometric representation of conditional volatility is already available. This framing permits both positive and negative findings to be informative. In particular, a failure of the neural architecture to outperform the econometric benchmark would provide evidence about the limits of additional model complexity in daily equity-tail forecasting rather than constituting a failure of the experiment itself.</w:t>
      </w:r>
    </w:p>
    <w:p>
      <w:pPr>
        <w:pStyle w:val="BodyText"/>
      </w:pPr>
      <w:r>
        <w:t xml:space="preserve">Finally, if Expected Shortfall is considered in future work, the joint elicitation framework of Fissler and Ziegel (2016) provides a theoretically coherent foundation for evaluating VaR and ES simultaneously. That extension is outside the formal scope of the present study, which focuses on one-step-ahead 1% VaR.</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