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36"/>
          <w:szCs w:val="36"/>
        </w:rPr>
        <w:t xml:space="preserve">Executive Summary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What Drives Property Price — Analysis of 300 Listings</w:t>
      </w:r>
    </w:p>
    <w:p>
      <w:pPr>
        <w:pStyle w:val="Heading1"/>
        <w:spacing w:after="100" w:before="200"/>
      </w:pPr>
      <w:r>
        <w:t xml:space="preserve">Purpose</w:t>
      </w:r>
    </w:p>
    <w:p>
      <w:pPr>
        <w:spacing w:after="140"/>
      </w:pPr>
      <w:r>
        <w:rPr>
          <w:sz w:val="22"/>
          <w:szCs w:val="22"/>
        </w:rPr>
        <w:t xml:space="preserve">Analyzed 300 property listings to identify which attributes — size, location, type, age, bedrooms, bathrooms — actually influence sale price, and confirmed the results with statistical testing rather than visual impressions alone.</w:t>
      </w:r>
    </w:p>
    <w:p>
      <w:pPr>
        <w:pStyle w:val="Heading1"/>
        <w:spacing w:after="100" w:before="20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Property size (Area) is the single biggest driver of price — larger properties command consistently higher prices.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Location matters significantly — City Center properties sell for roughly double the price of Rural properties on average.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Property type (House, Villa, or Apartment) does not meaningfully affect price once other factors are accounted for.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Number of bedrooms, bathrooms, and property age have little to no measurable effect on price.</w:t>
      </w:r>
    </w:p>
    <w:p>
      <w:pPr>
        <w:pStyle w:val="Heading1"/>
        <w:spacing w:after="100" w:before="200"/>
      </w:pPr>
      <w:r>
        <w:t xml:space="preserve">Business Implication</w:t>
      </w:r>
    </w:p>
    <w:p>
      <w:pPr>
        <w:spacing w:after="140"/>
      </w:pPr>
      <w:r>
        <w:rPr>
          <w:sz w:val="22"/>
          <w:szCs w:val="22"/>
        </w:rPr>
        <w:t xml:space="preserve">Pricing and valuation efforts should prioritize Area and Location as the primary factors. Property_Type, bedroom/bathroom count, and age can largely be deprioritized in pricing models — they add complexity without adding predictive value.</w:t>
      </w:r>
    </w:p>
    <w:p>
      <w:pPr>
        <w:pStyle w:val="Heading1"/>
        <w:spacing w:after="100" w:before="200"/>
      </w:pPr>
      <w:r>
        <w:t xml:space="preserve">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5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on Price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 (size)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— biggest driver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— City Center &gt; Suburb &gt; Rural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(not statistically significant)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Bedrooms / Bathrooms / Age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to none</w:t>
            </w:r>
          </w:p>
        </w:tc>
      </w:tr>
    </w:tbl>
    <w:p>
      <w:pPr>
        <w:spacing w:after="160"/>
      </w:pPr>
    </w:p>
    <w:p>
      <w:pPr>
        <w:spacing w:after="160" w:before="100"/>
        <w:jc w:val="center"/>
      </w:pPr>
      <w:r>
        <w:drawing>
          <wp:inline distT="0" distB="0" distL="0" distR="0">
            <wp:extent cx="4572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200"/>
      </w:pPr>
      <w:r>
        <w:t xml:space="preserve">Confidence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Findings are statistically validated (p &lt; 0.05 for Area and Location effects) using a sample of 300 property records. Full methodology and detailed statistical results are available in the accompanying technical report.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dd865359eddaf262c29f3b2196470f8eb11e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2026-08-13T08:12:43.828Z</dcterms:created>
  <dcterms:modified xsi:type="dcterms:W3CDTF">2026-08-13T08:12:43.839Z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