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2F5496"/>
          <w:sz w:val="44"/>
          <w:szCs w:val="44"/>
        </w:rPr>
        <w:t xml:space="preserve">Technical Report</w:t>
      </w:r>
    </w:p>
    <w:p>
      <w:pPr>
        <w:spacing w:after="400"/>
        <w:jc w:val="center"/>
      </w:pPr>
      <w:r>
        <w:rPr>
          <w:sz w:val="26"/>
          <w:szCs w:val="26"/>
        </w:rPr>
        <w:t xml:space="preserve">Property Listings: Data Cleaning, Exploratory Analysis, Feature Engineering, and Hypothesis Testing</w:t>
      </w:r>
    </w:p>
    <w:p>
      <w:pPr>
        <w:spacing w:after="200"/>
        <w:jc w:val="center"/>
      </w:pPr>
      <w:r>
        <w:rPr>
          <w:color w:val="555555"/>
          <w:sz w:val="22"/>
          <w:szCs w:val="22"/>
        </w:rPr>
        <w:t xml:space="preserve">Dataset: raw_data.csv → clean_data.csv  |  300 records, 8 attributes</w:t>
      </w:r>
    </w:p>
    <w:p>
      <w:pPr>
        <w:spacing w:after="900"/>
        <w:jc w:val="center"/>
      </w:pPr>
      <w:r>
        <w:rPr>
          <w:color w:val="777777"/>
          <w:sz w:val="20"/>
          <w:szCs w:val="20"/>
        </w:rPr>
        <w:t xml:space="preserve">Prepared by: Rishabh  |  Pipeline: 1_data_cleaning.ipynb → 2_eda.ipynb → 3_analysis.ipynb</w:t>
      </w:r>
    </w:p>
    <w:p>
      <w:r>
        <w:br w:type="page"/>
      </w:r>
    </w:p>
    <w:p>
      <w:pPr>
        <w:pStyle w:val="Heading1"/>
        <w:spacing w:after="120" w:before="280"/>
      </w:pPr>
      <w:r>
        <w:t xml:space="preserve">Table of Contents</w:t>
      </w:r>
    </w:p>
    <w:p>
      <w:pPr>
        <w:tabs>
          <w:tab w:val="right" w:pos="9020" w:leader="dot"/>
        </w:tabs>
        <w:spacing w:after="120"/>
      </w:pPr>
      <w:r>
        <w:rPr>
          <w:sz w:val="22"/>
          <w:szCs w:val="22"/>
        </w:rPr>
        <w:t xml:space="preserve">1. Overview &amp; Objectives</w:t>
      </w:r>
      <w:r>
        <w:rPr>
          <w:sz w:val="22"/>
          <w:szCs w:val="22"/>
        </w:rPr>
        <w:t xml:space="preserve">	3</w:t>
      </w:r>
    </w:p>
    <w:p>
      <w:pPr>
        <w:tabs>
          <w:tab w:val="right" w:pos="9020" w:leader="dot"/>
        </w:tabs>
        <w:spacing w:after="120"/>
      </w:pPr>
      <w:r>
        <w:rPr>
          <w:sz w:val="22"/>
          <w:szCs w:val="22"/>
        </w:rPr>
        <w:t xml:space="preserve">2. Methodology</w:t>
      </w:r>
      <w:r>
        <w:rPr>
          <w:sz w:val="22"/>
          <w:szCs w:val="22"/>
        </w:rPr>
        <w:t xml:space="preserve">	3</w:t>
      </w:r>
    </w:p>
    <w:p>
      <w:pPr>
        <w:tabs>
          <w:tab w:val="right" w:pos="9020" w:leader="dot"/>
        </w:tabs>
        <w:spacing w:after="120"/>
      </w:pPr>
      <w:r>
        <w:rPr>
          <w:sz w:val="22"/>
          <w:szCs w:val="22"/>
        </w:rPr>
        <w:t xml:space="preserve">3. Data Collection &amp; Preparation</w:t>
      </w:r>
      <w:r>
        <w:rPr>
          <w:sz w:val="22"/>
          <w:szCs w:val="22"/>
        </w:rPr>
        <w:t xml:space="preserve">	4</w:t>
      </w:r>
    </w:p>
    <w:p>
      <w:pPr>
        <w:tabs>
          <w:tab w:val="right" w:pos="9020" w:leader="dot"/>
        </w:tabs>
        <w:spacing w:after="120"/>
      </w:pPr>
      <w:r>
        <w:rPr>
          <w:sz w:val="22"/>
          <w:szCs w:val="22"/>
        </w:rPr>
        <w:t xml:space="preserve">4. Exploratory Data Analysis — Univariate</w:t>
      </w:r>
      <w:r>
        <w:rPr>
          <w:sz w:val="22"/>
          <w:szCs w:val="22"/>
        </w:rPr>
        <w:t xml:space="preserve">	5</w:t>
      </w:r>
    </w:p>
    <w:p>
      <w:pPr>
        <w:tabs>
          <w:tab w:val="right" w:pos="9020" w:leader="dot"/>
        </w:tabs>
        <w:spacing w:after="120"/>
      </w:pPr>
      <w:r>
        <w:rPr>
          <w:sz w:val="22"/>
          <w:szCs w:val="22"/>
        </w:rPr>
        <w:t xml:space="preserve">5. Exploratory Data Analysis — Bivariate</w:t>
      </w:r>
      <w:r>
        <w:rPr>
          <w:sz w:val="22"/>
          <w:szCs w:val="22"/>
        </w:rPr>
        <w:t xml:space="preserve">	6</w:t>
      </w:r>
    </w:p>
    <w:p>
      <w:pPr>
        <w:tabs>
          <w:tab w:val="right" w:pos="9020" w:leader="dot"/>
        </w:tabs>
        <w:spacing w:after="120"/>
      </w:pPr>
      <w:r>
        <w:rPr>
          <w:sz w:val="22"/>
          <w:szCs w:val="22"/>
        </w:rPr>
        <w:t xml:space="preserve">6. Feature Engineering</w:t>
      </w:r>
      <w:r>
        <w:rPr>
          <w:sz w:val="22"/>
          <w:szCs w:val="22"/>
        </w:rPr>
        <w:t xml:space="preserve">	7</w:t>
      </w:r>
    </w:p>
    <w:p>
      <w:pPr>
        <w:tabs>
          <w:tab w:val="right" w:pos="9020" w:leader="dot"/>
        </w:tabs>
        <w:spacing w:after="120"/>
      </w:pPr>
      <w:r>
        <w:rPr>
          <w:sz w:val="22"/>
          <w:szCs w:val="22"/>
        </w:rPr>
        <w:t xml:space="preserve">7. Statistical Analysis — Hypothesis Testing</w:t>
      </w:r>
      <w:r>
        <w:rPr>
          <w:sz w:val="22"/>
          <w:szCs w:val="22"/>
        </w:rPr>
        <w:t xml:space="preserve">	8</w:t>
      </w:r>
    </w:p>
    <w:p>
      <w:pPr>
        <w:tabs>
          <w:tab w:val="right" w:pos="9020" w:leader="dot"/>
        </w:tabs>
        <w:spacing w:after="120"/>
      </w:pPr>
      <w:r>
        <w:rPr>
          <w:sz w:val="22"/>
          <w:szCs w:val="22"/>
        </w:rPr>
        <w:t xml:space="preserve">8. Key Findings</w:t>
      </w:r>
      <w:r>
        <w:rPr>
          <w:sz w:val="22"/>
          <w:szCs w:val="22"/>
        </w:rPr>
        <w:t xml:space="preserve">	9</w:t>
      </w:r>
    </w:p>
    <w:p>
      <w:pPr>
        <w:tabs>
          <w:tab w:val="right" w:pos="9020" w:leader="dot"/>
        </w:tabs>
        <w:spacing w:after="120"/>
      </w:pPr>
      <w:r>
        <w:rPr>
          <w:sz w:val="22"/>
          <w:szCs w:val="22"/>
        </w:rPr>
        <w:t xml:space="preserve">9. Limitations</w:t>
      </w:r>
      <w:r>
        <w:rPr>
          <w:sz w:val="22"/>
          <w:szCs w:val="22"/>
        </w:rPr>
        <w:t xml:space="preserve">	9</w:t>
      </w:r>
    </w:p>
    <w:p>
      <w:pPr>
        <w:tabs>
          <w:tab w:val="right" w:pos="9020" w:leader="dot"/>
        </w:tabs>
        <w:spacing w:after="120"/>
      </w:pPr>
      <w:r>
        <w:rPr>
          <w:sz w:val="22"/>
          <w:szCs w:val="22"/>
        </w:rPr>
        <w:t xml:space="preserve">10. Recommendations &amp; Next Steps</w:t>
      </w:r>
      <w:r>
        <w:rPr>
          <w:sz w:val="22"/>
          <w:szCs w:val="22"/>
        </w:rPr>
        <w:t xml:space="preserve">	9</w:t>
      </w:r>
    </w:p>
    <w:p>
      <w:pPr>
        <w:tabs>
          <w:tab w:val="right" w:pos="9020" w:leader="dot"/>
        </w:tabs>
        <w:spacing w:after="120"/>
      </w:pPr>
      <w:r>
        <w:rPr>
          <w:sz w:val="22"/>
          <w:szCs w:val="22"/>
        </w:rPr>
        <w:t xml:space="preserve">11. Conclusion</w:t>
      </w:r>
      <w:r>
        <w:rPr>
          <w:sz w:val="22"/>
          <w:szCs w:val="22"/>
        </w:rPr>
        <w:t xml:space="preserve">	10</w:t>
      </w:r>
    </w:p>
    <w:p>
      <w:pPr>
        <w:tabs>
          <w:tab w:val="right" w:pos="9020" w:leader="dot"/>
        </w:tabs>
        <w:spacing w:after="120"/>
      </w:pPr>
      <w:r>
        <w:rPr>
          <w:sz w:val="22"/>
          <w:szCs w:val="22"/>
        </w:rPr>
        <w:t xml:space="preserve">Appendix A — Glossary of Statistical Terms</w:t>
      </w:r>
      <w:r>
        <w:rPr>
          <w:sz w:val="22"/>
          <w:szCs w:val="22"/>
        </w:rPr>
        <w:t xml:space="preserve">	10</w:t>
      </w:r>
    </w:p>
    <w:p>
      <w:pPr>
        <w:tabs>
          <w:tab w:val="right" w:pos="9020" w:leader="dot"/>
        </w:tabs>
        <w:spacing w:after="120"/>
      </w:pPr>
      <w:r>
        <w:rPr>
          <w:sz w:val="22"/>
          <w:szCs w:val="22"/>
        </w:rPr>
        <w:t xml:space="preserve">Appendix B — Source Files</w:t>
      </w:r>
      <w:r>
        <w:rPr>
          <w:sz w:val="22"/>
          <w:szCs w:val="22"/>
        </w:rPr>
        <w:t xml:space="preserve">	10</w:t>
      </w:r>
    </w:p>
    <w:p>
      <w:r>
        <w:br w:type="page"/>
      </w:r>
    </w:p>
    <w:p>
      <w:pPr>
        <w:pStyle w:val="Heading1"/>
        <w:spacing w:after="120" w:before="280"/>
      </w:pPr>
      <w:r>
        <w:t xml:space="preserve">1. Overview &amp; Objectives</w:t>
      </w:r>
    </w:p>
    <w:p>
      <w:pPr>
        <w:spacing w:after="160"/>
      </w:pPr>
      <w:r>
        <w:rPr>
          <w:sz w:val="22"/>
          <w:szCs w:val="22"/>
        </w:rPr>
        <w:t xml:space="preserve">This report documents the end-to-end analysis of a property listings dataset containing 300 records across 8 attributes: Property_ID, Area, Bedrooms, Bathrooms, Age, Location, Property_Type, and Price. The work spans four stages: data cleaning and preparation, exploratory data analysis (univariate and bivariate), feature engineering, and formal statistical hypothesis testing.</w:t>
      </w:r>
    </w:p>
    <w:p>
      <w:pPr>
        <w:spacing w:after="160"/>
      </w:pPr>
      <w:r>
        <w:rPr>
          <w:sz w:val="22"/>
          <w:szCs w:val="22"/>
        </w:rPr>
        <w:t xml:space="preserve">Primary objective: identify which property attributes are meaningfully associated with sale Price, quantify the strength of those relationships, and validate them statistically rather than relying on visual inspection alone.</w:t>
      </w:r>
    </w:p>
    <w:p>
      <w:pPr>
        <w:spacing w:after="160"/>
      </w:pPr>
      <w:r>
        <w:rPr>
          <w:sz w:val="22"/>
          <w:szCs w:val="22"/>
        </w:rPr>
        <w:t xml:space="preserve">Secondary objective: produce a clean, documented, reproducible dataset (clean_data.csv) and analysis pipeline suitable as a foundation for future predictive modeling.</w:t>
      </w:r>
    </w:p>
    <w:p>
      <w:pPr>
        <w:pStyle w:val="Heading1"/>
        <w:spacing w:after="120" w:before="280"/>
      </w:pPr>
      <w:r>
        <w:t xml:space="preserve">2. Methodology</w:t>
      </w:r>
    </w:p>
    <w:p>
      <w:pPr>
        <w:spacing w:after="160"/>
      </w:pPr>
      <w:r>
        <w:rPr>
          <w:sz w:val="22"/>
          <w:szCs w:val="22"/>
        </w:rPr>
        <w:t xml:space="preserve">Analysis was conducted in Python using pandas for data manipulation, matplotlib/seaborn for visualization, and scipy.stats for hypothesis testing. Work was organized as three sequential Jupyter notebooks, each handling one stage of the pipeline:</w:t>
      </w:r>
    </w:p>
    <w:p>
      <w:pPr>
        <w:pStyle w:val="ListParagraph"/>
        <w:numPr>
          <w:ilvl w:val="0"/>
          <w:numId w:val="1"/>
        </w:numPr>
        <w:spacing w:after="80"/>
      </w:pPr>
      <w:r>
        <w:rPr>
          <w:sz w:val="22"/>
          <w:szCs w:val="22"/>
        </w:rPr>
        <w:t xml:space="preserve">1_data_cleaning.ipynb — loads raw_data.csv, runs a six-point data quality checklist, exports clean_data.csv</w:t>
      </w:r>
    </w:p>
    <w:p>
      <w:pPr>
        <w:pStyle w:val="ListParagraph"/>
        <w:numPr>
          <w:ilvl w:val="0"/>
          <w:numId w:val="1"/>
        </w:numPr>
        <w:spacing w:after="80"/>
      </w:pPr>
      <w:r>
        <w:rPr>
          <w:sz w:val="22"/>
          <w:szCs w:val="22"/>
        </w:rPr>
        <w:t xml:space="preserve">2_eda.ipynb — univariate analysis (distribution shape per column) followed by bivariate analysis (relationships between column pairs)</w:t>
      </w:r>
    </w:p>
    <w:p>
      <w:pPr>
        <w:pStyle w:val="ListParagraph"/>
        <w:numPr>
          <w:ilvl w:val="0"/>
          <w:numId w:val="1"/>
        </w:numPr>
        <w:spacing w:after="80"/>
      </w:pPr>
      <w:r>
        <w:rPr>
          <w:sz w:val="22"/>
          <w:szCs w:val="22"/>
        </w:rPr>
        <w:t xml:space="preserve">3_analysis.ipynb — formal hypothesis tests validating the relationships EDA suggested</w:t>
      </w:r>
    </w:p>
    <w:p>
      <w:pPr>
        <w:spacing w:after="160"/>
      </w:pPr>
      <w:r>
        <w:rPr>
          <w:sz w:val="22"/>
          <w:szCs w:val="22"/>
        </w:rPr>
        <w:t xml:space="preserve">This staged approach separates concerns deliberately: cleaning answers "is the data trustworthy?", EDA answers "what patterns exist?", and hypothesis testing answers "are those patterns statistically real, or could they be due to chance?" Each stage's output feeds the next, and each notebook is independently re-runnable against the source CSV.</w:t>
      </w:r>
    </w:p>
    <w:p>
      <w:r>
        <w:br w:type="page"/>
      </w:r>
    </w:p>
    <w:p>
      <w:pPr>
        <w:pStyle w:val="Heading1"/>
        <w:spacing w:after="120" w:before="280"/>
      </w:pPr>
      <w:r>
        <w:t xml:space="preserve">3. Data Collection &amp; Preparation</w:t>
      </w:r>
    </w:p>
    <w:p>
      <w:pPr>
        <w:spacing w:after="160"/>
      </w:pPr>
      <w:r>
        <w:rPr>
          <w:sz w:val="22"/>
          <w:szCs w:val="22"/>
        </w:rPr>
        <w:t xml:space="preserve">The raw dataset was profiled and checked against a standard six-point data quality checklist before use.</w:t>
      </w:r>
    </w:p>
    <w:p>
      <w:pPr>
        <w:pStyle w:val="Heading2"/>
        <w:spacing w:after="100" w:before="200"/>
      </w:pPr>
      <w:r>
        <w:t xml:space="preserve">3.1 Column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00"/>
      </w:tblGrid>
      <w:tr>
        <w:tc>
          <w:tcPr>
            <w:tcW w:type="dxa" w:w="2200"/>
            <w:shd w:fill="2F5496" w:val="clear"/>
          </w:tcPr>
          <w:p>
            <w:r>
              <w:rPr>
                <w:b/>
                <w:bCs/>
                <w:color w:val="FFFFFF"/>
                <w:sz w:val="20"/>
                <w:szCs w:val="20"/>
              </w:rPr>
              <w:t xml:space="preserve">Column</w:t>
            </w:r>
          </w:p>
        </w:tc>
        <w:tc>
          <w:tcPr>
            <w:tcW w:type="dxa" w:w="1600"/>
            <w:shd w:fill="2F5496" w:val="clear"/>
          </w:tcPr>
          <w:p>
            <w:r>
              <w:rPr>
                <w:b/>
                <w:bCs/>
                <w:color w:val="FFFFFF"/>
                <w:sz w:val="20"/>
                <w:szCs w:val="20"/>
              </w:rPr>
              <w:t xml:space="preserve">Type</w:t>
            </w:r>
          </w:p>
        </w:tc>
        <w:tc>
          <w:tcPr>
            <w:tcW w:type="dxa" w:w="5600"/>
            <w:shd w:fill="2F5496" w:val="clear"/>
          </w:tcPr>
          <w:p>
            <w:r>
              <w:rPr>
                <w:b/>
                <w:bCs/>
                <w:color w:val="FFFFFF"/>
                <w:sz w:val="20"/>
                <w:szCs w:val="20"/>
              </w:rPr>
              <w:t xml:space="preserve">Description</w:t>
            </w:r>
          </w:p>
        </w:tc>
      </w:tr>
      <w:tr>
        <w:tc>
          <w:tcPr>
            <w:tcW w:type="dxa" w:w="2200"/>
          </w:tcPr>
          <w:p>
            <w:r>
              <w:rPr>
                <w:b w:val="false"/>
                <w:bCs w:val="false"/>
                <w:sz w:val="20"/>
                <w:szCs w:val="20"/>
              </w:rPr>
              <w:t xml:space="preserve">Property_ID</w:t>
            </w:r>
          </w:p>
        </w:tc>
        <w:tc>
          <w:tcPr>
            <w:tcW w:type="dxa" w:w="1600"/>
          </w:tcPr>
          <w:p>
            <w:r>
              <w:rPr>
                <w:b w:val="false"/>
                <w:bCs w:val="false"/>
                <w:sz w:val="20"/>
                <w:szCs w:val="20"/>
              </w:rPr>
              <w:t xml:space="preserve">Text</w:t>
            </w:r>
          </w:p>
        </w:tc>
        <w:tc>
          <w:tcPr>
            <w:tcW w:type="dxa" w:w="5600"/>
          </w:tcPr>
          <w:p>
            <w:r>
              <w:rPr>
                <w:b w:val="false"/>
                <w:bCs w:val="false"/>
                <w:sz w:val="20"/>
                <w:szCs w:val="20"/>
              </w:rPr>
              <w:t xml:space="preserve">Unique identifier per listing</w:t>
            </w:r>
          </w:p>
        </w:tc>
      </w:tr>
      <w:tr>
        <w:tc>
          <w:tcPr>
            <w:tcW w:type="dxa" w:w="2200"/>
          </w:tcPr>
          <w:p>
            <w:r>
              <w:rPr>
                <w:b w:val="false"/>
                <w:bCs w:val="false"/>
                <w:sz w:val="20"/>
                <w:szCs w:val="20"/>
              </w:rPr>
              <w:t xml:space="preserve">Area</w:t>
            </w:r>
          </w:p>
        </w:tc>
        <w:tc>
          <w:tcPr>
            <w:tcW w:type="dxa" w:w="1600"/>
          </w:tcPr>
          <w:p>
            <w:r>
              <w:rPr>
                <w:b w:val="false"/>
                <w:bCs w:val="false"/>
                <w:sz w:val="20"/>
                <w:szCs w:val="20"/>
              </w:rPr>
              <w:t xml:space="preserve">Integer</w:t>
            </w:r>
          </w:p>
        </w:tc>
        <w:tc>
          <w:tcPr>
            <w:tcW w:type="dxa" w:w="5600"/>
          </w:tcPr>
          <w:p>
            <w:r>
              <w:rPr>
                <w:b w:val="false"/>
                <w:bCs w:val="false"/>
                <w:sz w:val="20"/>
                <w:szCs w:val="20"/>
              </w:rPr>
              <w:t xml:space="preserve">Property size in square feet</w:t>
            </w:r>
          </w:p>
        </w:tc>
      </w:tr>
      <w:tr>
        <w:tc>
          <w:tcPr>
            <w:tcW w:type="dxa" w:w="2200"/>
          </w:tcPr>
          <w:p>
            <w:r>
              <w:rPr>
                <w:b w:val="false"/>
                <w:bCs w:val="false"/>
                <w:sz w:val="20"/>
                <w:szCs w:val="20"/>
              </w:rPr>
              <w:t xml:space="preserve">Bedrooms</w:t>
            </w:r>
          </w:p>
        </w:tc>
        <w:tc>
          <w:tcPr>
            <w:tcW w:type="dxa" w:w="1600"/>
          </w:tcPr>
          <w:p>
            <w:r>
              <w:rPr>
                <w:b w:val="false"/>
                <w:bCs w:val="false"/>
                <w:sz w:val="20"/>
                <w:szCs w:val="20"/>
              </w:rPr>
              <w:t xml:space="preserve">Integer</w:t>
            </w:r>
          </w:p>
        </w:tc>
        <w:tc>
          <w:tcPr>
            <w:tcW w:type="dxa" w:w="5600"/>
          </w:tcPr>
          <w:p>
            <w:r>
              <w:rPr>
                <w:b w:val="false"/>
                <w:bCs w:val="false"/>
                <w:sz w:val="20"/>
                <w:szCs w:val="20"/>
              </w:rPr>
              <w:t xml:space="preserve">Number of bedrooms (1–5)</w:t>
            </w:r>
          </w:p>
        </w:tc>
      </w:tr>
      <w:tr>
        <w:tc>
          <w:tcPr>
            <w:tcW w:type="dxa" w:w="2200"/>
          </w:tcPr>
          <w:p>
            <w:r>
              <w:rPr>
                <w:b w:val="false"/>
                <w:bCs w:val="false"/>
                <w:sz w:val="20"/>
                <w:szCs w:val="20"/>
              </w:rPr>
              <w:t xml:space="preserve">Bathrooms</w:t>
            </w:r>
          </w:p>
        </w:tc>
        <w:tc>
          <w:tcPr>
            <w:tcW w:type="dxa" w:w="1600"/>
          </w:tcPr>
          <w:p>
            <w:r>
              <w:rPr>
                <w:b w:val="false"/>
                <w:bCs w:val="false"/>
                <w:sz w:val="20"/>
                <w:szCs w:val="20"/>
              </w:rPr>
              <w:t xml:space="preserve">Integer</w:t>
            </w:r>
          </w:p>
        </w:tc>
        <w:tc>
          <w:tcPr>
            <w:tcW w:type="dxa" w:w="5600"/>
          </w:tcPr>
          <w:p>
            <w:r>
              <w:rPr>
                <w:b w:val="false"/>
                <w:bCs w:val="false"/>
                <w:sz w:val="20"/>
                <w:szCs w:val="20"/>
              </w:rPr>
              <w:t xml:space="preserve">Number of bathrooms (1–3)</w:t>
            </w:r>
          </w:p>
        </w:tc>
      </w:tr>
      <w:tr>
        <w:tc>
          <w:tcPr>
            <w:tcW w:type="dxa" w:w="2200"/>
          </w:tcPr>
          <w:p>
            <w:r>
              <w:rPr>
                <w:b w:val="false"/>
                <w:bCs w:val="false"/>
                <w:sz w:val="20"/>
                <w:szCs w:val="20"/>
              </w:rPr>
              <w:t xml:space="preserve">Age</w:t>
            </w:r>
          </w:p>
        </w:tc>
        <w:tc>
          <w:tcPr>
            <w:tcW w:type="dxa" w:w="1600"/>
          </w:tcPr>
          <w:p>
            <w:r>
              <w:rPr>
                <w:b w:val="false"/>
                <w:bCs w:val="false"/>
                <w:sz w:val="20"/>
                <w:szCs w:val="20"/>
              </w:rPr>
              <w:t xml:space="preserve">Integer</w:t>
            </w:r>
          </w:p>
        </w:tc>
        <w:tc>
          <w:tcPr>
            <w:tcW w:type="dxa" w:w="5600"/>
          </w:tcPr>
          <w:p>
            <w:r>
              <w:rPr>
                <w:b w:val="false"/>
                <w:bCs w:val="false"/>
                <w:sz w:val="20"/>
                <w:szCs w:val="20"/>
              </w:rPr>
              <w:t xml:space="preserve">Property age in years (0–49)</w:t>
            </w:r>
          </w:p>
        </w:tc>
      </w:tr>
      <w:tr>
        <w:tc>
          <w:tcPr>
            <w:tcW w:type="dxa" w:w="2200"/>
          </w:tcPr>
          <w:p>
            <w:r>
              <w:rPr>
                <w:b w:val="false"/>
                <w:bCs w:val="false"/>
                <w:sz w:val="20"/>
                <w:szCs w:val="20"/>
              </w:rPr>
              <w:t xml:space="preserve">Location</w:t>
            </w:r>
          </w:p>
        </w:tc>
        <w:tc>
          <w:tcPr>
            <w:tcW w:type="dxa" w:w="1600"/>
          </w:tcPr>
          <w:p>
            <w:r>
              <w:rPr>
                <w:b w:val="false"/>
                <w:bCs w:val="false"/>
                <w:sz w:val="20"/>
                <w:szCs w:val="20"/>
              </w:rPr>
              <w:t xml:space="preserve">Category</w:t>
            </w:r>
          </w:p>
        </w:tc>
        <w:tc>
          <w:tcPr>
            <w:tcW w:type="dxa" w:w="5600"/>
          </w:tcPr>
          <w:p>
            <w:r>
              <w:rPr>
                <w:b w:val="false"/>
                <w:bCs w:val="false"/>
                <w:sz w:val="20"/>
                <w:szCs w:val="20"/>
              </w:rPr>
              <w:t xml:space="preserve">City Center / Suburb / Rural</w:t>
            </w:r>
          </w:p>
        </w:tc>
      </w:tr>
      <w:tr>
        <w:tc>
          <w:tcPr>
            <w:tcW w:type="dxa" w:w="2200"/>
          </w:tcPr>
          <w:p>
            <w:r>
              <w:rPr>
                <w:b w:val="false"/>
                <w:bCs w:val="false"/>
                <w:sz w:val="20"/>
                <w:szCs w:val="20"/>
              </w:rPr>
              <w:t xml:space="preserve">Property_Type</w:t>
            </w:r>
          </w:p>
        </w:tc>
        <w:tc>
          <w:tcPr>
            <w:tcW w:type="dxa" w:w="1600"/>
          </w:tcPr>
          <w:p>
            <w:r>
              <w:rPr>
                <w:b w:val="false"/>
                <w:bCs w:val="false"/>
                <w:sz w:val="20"/>
                <w:szCs w:val="20"/>
              </w:rPr>
              <w:t xml:space="preserve">Category</w:t>
            </w:r>
          </w:p>
        </w:tc>
        <w:tc>
          <w:tcPr>
            <w:tcW w:type="dxa" w:w="5600"/>
          </w:tcPr>
          <w:p>
            <w:r>
              <w:rPr>
                <w:b w:val="false"/>
                <w:bCs w:val="false"/>
                <w:sz w:val="20"/>
                <w:szCs w:val="20"/>
              </w:rPr>
              <w:t xml:space="preserve">House / Villa / Apartment</w:t>
            </w:r>
          </w:p>
        </w:tc>
      </w:tr>
      <w:tr>
        <w:tc>
          <w:tcPr>
            <w:tcW w:type="dxa" w:w="2200"/>
          </w:tcPr>
          <w:p>
            <w:r>
              <w:rPr>
                <w:b w:val="false"/>
                <w:bCs w:val="false"/>
                <w:sz w:val="20"/>
                <w:szCs w:val="20"/>
              </w:rPr>
              <w:t xml:space="preserve">Price</w:t>
            </w:r>
          </w:p>
        </w:tc>
        <w:tc>
          <w:tcPr>
            <w:tcW w:type="dxa" w:w="1600"/>
          </w:tcPr>
          <w:p>
            <w:r>
              <w:rPr>
                <w:b w:val="false"/>
                <w:bCs w:val="false"/>
                <w:sz w:val="20"/>
                <w:szCs w:val="20"/>
              </w:rPr>
              <w:t xml:space="preserve">Integer</w:t>
            </w:r>
          </w:p>
        </w:tc>
        <w:tc>
          <w:tcPr>
            <w:tcW w:type="dxa" w:w="5600"/>
          </w:tcPr>
          <w:p>
            <w:r>
              <w:rPr>
                <w:b w:val="false"/>
                <w:bCs w:val="false"/>
                <w:sz w:val="20"/>
                <w:szCs w:val="20"/>
              </w:rPr>
              <w:t xml:space="preserve">Sale price (INR)</w:t>
            </w:r>
          </w:p>
        </w:tc>
      </w:tr>
    </w:tbl>
    <w:p>
      <w:pPr>
        <w:spacing w:after="200"/>
      </w:pPr>
    </w:p>
    <w:p>
      <w:pPr>
        <w:pStyle w:val="Heading2"/>
        <w:spacing w:after="100" w:before="200"/>
      </w:pPr>
      <w:r>
        <w:t xml:space="preserve">3.2 Data Quality Checklist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2F5496" w:val="clear"/>
          </w:tcPr>
          <w:p>
            <w:r>
              <w:rPr>
                <w:b/>
                <w:bCs/>
                <w:color w:val="FFFFFF"/>
                <w:sz w:val="20"/>
                <w:szCs w:val="20"/>
              </w:rPr>
              <w:t xml:space="preserve">Check</w:t>
            </w:r>
          </w:p>
        </w:tc>
        <w:tc>
          <w:tcPr>
            <w:tcW w:type="dxa" w:w="3600"/>
            <w:shd w:fill="2F5496" w:val="clear"/>
          </w:tcPr>
          <w:p>
            <w:r>
              <w:rPr>
                <w:b/>
                <w:bCs/>
                <w:color w:val="FFFFFF"/>
                <w:sz w:val="20"/>
                <w:szCs w:val="20"/>
              </w:rPr>
              <w:t xml:space="preserve">Method</w:t>
            </w:r>
          </w:p>
        </w:tc>
        <w:tc>
          <w:tcPr>
            <w:tcW w:type="dxa" w:w="3200"/>
            <w:shd w:fill="2F5496" w:val="clear"/>
          </w:tcPr>
          <w:p>
            <w:r>
              <w:rPr>
                <w:b/>
                <w:bCs/>
                <w:color w:val="FFFFFF"/>
                <w:sz w:val="20"/>
                <w:szCs w:val="20"/>
              </w:rPr>
              <w:t xml:space="preserve">Result</w:t>
            </w:r>
          </w:p>
        </w:tc>
      </w:tr>
      <w:tr>
        <w:tc>
          <w:tcPr>
            <w:tcW w:type="dxa" w:w="2600"/>
          </w:tcPr>
          <w:p>
            <w:r>
              <w:rPr>
                <w:b w:val="false"/>
                <w:bCs w:val="false"/>
                <w:sz w:val="20"/>
                <w:szCs w:val="20"/>
              </w:rPr>
              <w:t xml:space="preserve">Missing values</w:t>
            </w:r>
          </w:p>
        </w:tc>
        <w:tc>
          <w:tcPr>
            <w:tcW w:type="dxa" w:w="3600"/>
          </w:tcPr>
          <w:p>
            <w:r>
              <w:rPr>
                <w:b w:val="false"/>
                <w:bCs w:val="false"/>
                <w:sz w:val="20"/>
                <w:szCs w:val="20"/>
              </w:rPr>
              <w:t xml:space="preserve">df.isnull().sum()</w:t>
            </w:r>
          </w:p>
        </w:tc>
        <w:tc>
          <w:tcPr>
            <w:tcW w:type="dxa" w:w="3200"/>
          </w:tcPr>
          <w:p>
            <w:r>
              <w:rPr>
                <w:b w:val="false"/>
                <w:bCs w:val="false"/>
                <w:sz w:val="20"/>
                <w:szCs w:val="20"/>
              </w:rPr>
              <w:t xml:space="preserve">None found</w:t>
            </w:r>
          </w:p>
        </w:tc>
      </w:tr>
      <w:tr>
        <w:tc>
          <w:tcPr>
            <w:tcW w:type="dxa" w:w="2600"/>
          </w:tcPr>
          <w:p>
            <w:r>
              <w:rPr>
                <w:b w:val="false"/>
                <w:bCs w:val="false"/>
                <w:sz w:val="20"/>
                <w:szCs w:val="20"/>
              </w:rPr>
              <w:t xml:space="preserve">Duplicate rows</w:t>
            </w:r>
          </w:p>
        </w:tc>
        <w:tc>
          <w:tcPr>
            <w:tcW w:type="dxa" w:w="3600"/>
          </w:tcPr>
          <w:p>
            <w:r>
              <w:rPr>
                <w:b w:val="false"/>
                <w:bCs w:val="false"/>
                <w:sz w:val="20"/>
                <w:szCs w:val="20"/>
              </w:rPr>
              <w:t xml:space="preserve">df.duplicated().sum()</w:t>
            </w:r>
          </w:p>
        </w:tc>
        <w:tc>
          <w:tcPr>
            <w:tcW w:type="dxa" w:w="3200"/>
          </w:tcPr>
          <w:p>
            <w:r>
              <w:rPr>
                <w:b w:val="false"/>
                <w:bCs w:val="false"/>
                <w:sz w:val="20"/>
                <w:szCs w:val="20"/>
              </w:rPr>
              <w:t xml:space="preserve">0</w:t>
            </w:r>
          </w:p>
        </w:tc>
      </w:tr>
      <w:tr>
        <w:tc>
          <w:tcPr>
            <w:tcW w:type="dxa" w:w="2600"/>
          </w:tcPr>
          <w:p>
            <w:r>
              <w:rPr>
                <w:b w:val="false"/>
                <w:bCs w:val="false"/>
                <w:sz w:val="20"/>
                <w:szCs w:val="20"/>
              </w:rPr>
              <w:t xml:space="preserve">Duplicate Property_ID</w:t>
            </w:r>
          </w:p>
        </w:tc>
        <w:tc>
          <w:tcPr>
            <w:tcW w:type="dxa" w:w="3600"/>
          </w:tcPr>
          <w:p>
            <w:r>
              <w:rPr>
                <w:b w:val="false"/>
                <w:bCs w:val="false"/>
                <w:sz w:val="20"/>
                <w:szCs w:val="20"/>
              </w:rPr>
              <w:t xml:space="preserve">df['Property_ID'].duplicated().sum()</w:t>
            </w:r>
          </w:p>
        </w:tc>
        <w:tc>
          <w:tcPr>
            <w:tcW w:type="dxa" w:w="3200"/>
          </w:tcPr>
          <w:p>
            <w:r>
              <w:rPr>
                <w:b w:val="false"/>
                <w:bCs w:val="false"/>
                <w:sz w:val="20"/>
                <w:szCs w:val="20"/>
              </w:rPr>
              <w:t xml:space="preserve">0</w:t>
            </w:r>
          </w:p>
        </w:tc>
      </w:tr>
      <w:tr>
        <w:tc>
          <w:tcPr>
            <w:tcW w:type="dxa" w:w="2600"/>
          </w:tcPr>
          <w:p>
            <w:r>
              <w:rPr>
                <w:b w:val="false"/>
                <w:bCs w:val="false"/>
                <w:sz w:val="20"/>
                <w:szCs w:val="20"/>
              </w:rPr>
              <w:t xml:space="preserve">Data types</w:t>
            </w:r>
          </w:p>
        </w:tc>
        <w:tc>
          <w:tcPr>
            <w:tcW w:type="dxa" w:w="3600"/>
          </w:tcPr>
          <w:p>
            <w:r>
              <w:rPr>
                <w:b w:val="false"/>
                <w:bCs w:val="false"/>
                <w:sz w:val="20"/>
                <w:szCs w:val="20"/>
              </w:rPr>
              <w:t xml:space="preserve">df.dtypes</w:t>
            </w:r>
          </w:p>
        </w:tc>
        <w:tc>
          <w:tcPr>
            <w:tcW w:type="dxa" w:w="3200"/>
          </w:tcPr>
          <w:p>
            <w:r>
              <w:rPr>
                <w:b w:val="false"/>
                <w:bCs w:val="false"/>
                <w:sz w:val="20"/>
                <w:szCs w:val="20"/>
              </w:rPr>
              <w:t xml:space="preserve">All correct (no numbers stored as text)</w:t>
            </w:r>
          </w:p>
        </w:tc>
      </w:tr>
      <w:tr>
        <w:tc>
          <w:tcPr>
            <w:tcW w:type="dxa" w:w="2600"/>
          </w:tcPr>
          <w:p>
            <w:r>
              <w:rPr>
                <w:b w:val="false"/>
                <w:bCs w:val="false"/>
                <w:sz w:val="20"/>
                <w:szCs w:val="20"/>
              </w:rPr>
              <w:t xml:space="preserve">Negative / invalid values</w:t>
            </w:r>
          </w:p>
        </w:tc>
        <w:tc>
          <w:tcPr>
            <w:tcW w:type="dxa" w:w="3600"/>
          </w:tcPr>
          <w:p>
            <w:r>
              <w:rPr>
                <w:b w:val="false"/>
                <w:bCs w:val="false"/>
                <w:sz w:val="20"/>
                <w:szCs w:val="20"/>
              </w:rPr>
              <w:t xml:space="preserve">Range checks (Area, Price, Age)</w:t>
            </w:r>
          </w:p>
        </w:tc>
        <w:tc>
          <w:tcPr>
            <w:tcW w:type="dxa" w:w="3200"/>
          </w:tcPr>
          <w:p>
            <w:r>
              <w:rPr>
                <w:b w:val="false"/>
                <w:bCs w:val="false"/>
                <w:sz w:val="20"/>
                <w:szCs w:val="20"/>
              </w:rPr>
              <w:t xml:space="preserve">None found</w:t>
            </w:r>
          </w:p>
        </w:tc>
      </w:tr>
      <w:tr>
        <w:tc>
          <w:tcPr>
            <w:tcW w:type="dxa" w:w="2600"/>
          </w:tcPr>
          <w:p>
            <w:r>
              <w:rPr>
                <w:b w:val="false"/>
                <w:bCs w:val="false"/>
                <w:sz w:val="20"/>
                <w:szCs w:val="20"/>
              </w:rPr>
              <w:t xml:space="preserve">Categorical consistency</w:t>
            </w:r>
          </w:p>
        </w:tc>
        <w:tc>
          <w:tcPr>
            <w:tcW w:type="dxa" w:w="3600"/>
          </w:tcPr>
          <w:p>
            <w:r>
              <w:rPr>
                <w:b w:val="false"/>
                <w:bCs w:val="false"/>
                <w:sz w:val="20"/>
                <w:szCs w:val="20"/>
              </w:rPr>
              <w:t xml:space="preserve">df[col].unique()</w:t>
            </w:r>
          </w:p>
        </w:tc>
        <w:tc>
          <w:tcPr>
            <w:tcW w:type="dxa" w:w="3200"/>
          </w:tcPr>
          <w:p>
            <w:r>
              <w:rPr>
                <w:b w:val="false"/>
                <w:bCs w:val="false"/>
                <w:sz w:val="20"/>
                <w:szCs w:val="20"/>
              </w:rPr>
              <w:t xml:space="preserve">3 consistent values each</w:t>
            </w:r>
          </w:p>
        </w:tc>
      </w:tr>
      <w:tr>
        <w:tc>
          <w:tcPr>
            <w:tcW w:type="dxa" w:w="2600"/>
          </w:tcPr>
          <w:p>
            <w:r>
              <w:rPr>
                <w:b w:val="false"/>
                <w:bCs w:val="false"/>
                <w:sz w:val="20"/>
                <w:szCs w:val="20"/>
              </w:rPr>
              <w:t xml:space="preserve">Statistical outliers</w:t>
            </w:r>
          </w:p>
        </w:tc>
        <w:tc>
          <w:tcPr>
            <w:tcW w:type="dxa" w:w="3600"/>
          </w:tcPr>
          <w:p>
            <w:r>
              <w:rPr>
                <w:b w:val="false"/>
                <w:bCs w:val="false"/>
                <w:sz w:val="20"/>
                <w:szCs w:val="20"/>
              </w:rPr>
              <w:t xml:space="preserve">IQR method, 1.5×IQR bounds</w:t>
            </w:r>
          </w:p>
        </w:tc>
        <w:tc>
          <w:tcPr>
            <w:tcW w:type="dxa" w:w="3200"/>
          </w:tcPr>
          <w:p>
            <w:r>
              <w:rPr>
                <w:b w:val="false"/>
                <w:bCs w:val="false"/>
                <w:sz w:val="20"/>
                <w:szCs w:val="20"/>
              </w:rPr>
              <w:t xml:space="preserve">0 outliers (Area, Age, Price)</w:t>
            </w:r>
          </w:p>
        </w:tc>
      </w:tr>
    </w:tbl>
    <w:p>
      <w:pPr>
        <w:spacing w:after="160"/>
      </w:pPr>
      <w:r>
        <w:rPr>
          <w:sz w:val="22"/>
          <w:szCs w:val="22"/>
        </w:rPr>
        <w:t xml:space="preserve"/>
      </w:r>
    </w:p>
    <w:p>
      <w:pPr>
        <w:spacing w:after="160"/>
      </w:pPr>
      <w:r>
        <w:rPr>
          <w:i/>
          <w:iCs/>
          <w:sz w:val="22"/>
          <w:szCs w:val="22"/>
        </w:rPr>
        <w:t xml:space="preserve">Conclusion: the dataset passed all checks as received. As a preparation step, Location and Property_Type were cast to categorical dtype for memory efficiency and to guard against inconsistent entries being introduced later. No corrective cleaning was required — clean_data.csv is content-identical to the raw file with this dtype adjustment applied.</w:t>
      </w:r>
    </w:p>
    <w:p>
      <w:r>
        <w:br w:type="page"/>
      </w:r>
    </w:p>
    <w:p>
      <w:pPr>
        <w:pStyle w:val="Heading1"/>
        <w:spacing w:after="120" w:before="280"/>
      </w:pPr>
      <w:r>
        <w:t xml:space="preserve">4. Exploratory Data Analysis — Univariate</w:t>
      </w:r>
    </w:p>
    <w:p>
      <w:pPr>
        <w:spacing w:after="160"/>
      </w:pPr>
      <w:r>
        <w:rPr>
          <w:sz w:val="22"/>
          <w:szCs w:val="22"/>
        </w:rPr>
        <w:t xml:space="preserve">Each numeric column was examined individually using descriptive statistics, histograms (distribution shape), boxplots (spread and outliers), and skewness (asymmetry).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900"/>
        <w:gridCol w:w="1000"/>
      </w:tblGrid>
      <w:tr>
        <w:tc>
          <w:tcPr>
            <w:tcW w:type="dxa" w:w="2400"/>
            <w:shd w:fill="2F5496" w:val="clear"/>
          </w:tcPr>
          <w:p>
            <w:r>
              <w:rPr>
                <w:b/>
                <w:bCs/>
                <w:color w:val="FFFFFF"/>
                <w:sz w:val="20"/>
                <w:szCs w:val="20"/>
              </w:rPr>
              <w:t xml:space="preserve">Column</w:t>
            </w:r>
          </w:p>
        </w:tc>
        <w:tc>
          <w:tcPr>
            <w:tcW w:type="dxa" w:w="1700"/>
            <w:shd w:fill="2F5496" w:val="clear"/>
          </w:tcPr>
          <w:p>
            <w:r>
              <w:rPr>
                <w:b/>
                <w:bCs/>
                <w:color w:val="FFFFFF"/>
                <w:sz w:val="20"/>
                <w:szCs w:val="20"/>
              </w:rPr>
              <w:t xml:space="preserve">Mean</w:t>
            </w:r>
          </w:p>
        </w:tc>
        <w:tc>
          <w:tcPr>
            <w:tcW w:type="dxa" w:w="1700"/>
            <w:shd w:fill="2F5496" w:val="clear"/>
          </w:tcPr>
          <w:p>
            <w:r>
              <w:rPr>
                <w:b/>
                <w:bCs/>
                <w:color w:val="FFFFFF"/>
                <w:sz w:val="20"/>
                <w:szCs w:val="20"/>
              </w:rPr>
              <w:t xml:space="preserve">Std Dev</w:t>
            </w:r>
          </w:p>
        </w:tc>
        <w:tc>
          <w:tcPr>
            <w:tcW w:type="dxa" w:w="1700"/>
            <w:shd w:fill="2F5496" w:val="clear"/>
          </w:tcPr>
          <w:p>
            <w:r>
              <w:rPr>
                <w:b/>
                <w:bCs/>
                <w:color w:val="FFFFFF"/>
                <w:sz w:val="20"/>
                <w:szCs w:val="20"/>
              </w:rPr>
              <w:t xml:space="preserve">Min</w:t>
            </w:r>
          </w:p>
        </w:tc>
        <w:tc>
          <w:tcPr>
            <w:tcW w:type="dxa" w:w="1900"/>
            <w:shd w:fill="2F5496" w:val="clear"/>
          </w:tcPr>
          <w:p>
            <w:r>
              <w:rPr>
                <w:b/>
                <w:bCs/>
                <w:color w:val="FFFFFF"/>
                <w:sz w:val="20"/>
                <w:szCs w:val="20"/>
              </w:rPr>
              <w:t xml:space="preserve">Max</w:t>
            </w:r>
          </w:p>
        </w:tc>
        <w:tc>
          <w:tcPr>
            <w:tcW w:type="dxa" w:w="1000"/>
            <w:shd w:fill="2F5496" w:val="clear"/>
          </w:tcPr>
          <w:p>
            <w:r>
              <w:rPr>
                <w:b/>
                <w:bCs/>
                <w:color w:val="FFFFFF"/>
                <w:sz w:val="20"/>
                <w:szCs w:val="20"/>
              </w:rPr>
              <w:t xml:space="preserve">Skew</w:t>
            </w:r>
          </w:p>
        </w:tc>
      </w:tr>
      <w:tr>
        <w:tc>
          <w:tcPr>
            <w:tcW w:type="dxa" w:w="2400"/>
          </w:tcPr>
          <w:p>
            <w:r>
              <w:rPr>
                <w:b w:val="false"/>
                <w:bCs w:val="false"/>
                <w:sz w:val="20"/>
                <w:szCs w:val="20"/>
              </w:rPr>
              <w:t xml:space="preserve">Area (sqft)</w:t>
            </w:r>
          </w:p>
        </w:tc>
        <w:tc>
          <w:tcPr>
            <w:tcW w:type="dxa" w:w="1700"/>
          </w:tcPr>
          <w:p>
            <w:r>
              <w:rPr>
                <w:b w:val="false"/>
                <w:bCs w:val="false"/>
                <w:sz w:val="20"/>
                <w:szCs w:val="20"/>
              </w:rPr>
              <w:t xml:space="preserve">2,759.70</w:t>
            </w:r>
          </w:p>
        </w:tc>
        <w:tc>
          <w:tcPr>
            <w:tcW w:type="dxa" w:w="1700"/>
          </w:tcPr>
          <w:p>
            <w:r>
              <w:rPr>
                <w:b w:val="false"/>
                <w:bCs w:val="false"/>
                <w:sz w:val="20"/>
                <w:szCs w:val="20"/>
              </w:rPr>
              <w:t xml:space="preserve">1,297.68</w:t>
            </w:r>
          </w:p>
        </w:tc>
        <w:tc>
          <w:tcPr>
            <w:tcW w:type="dxa" w:w="1700"/>
          </w:tcPr>
          <w:p>
            <w:r>
              <w:rPr>
                <w:b w:val="false"/>
                <w:bCs w:val="false"/>
                <w:sz w:val="20"/>
                <w:szCs w:val="20"/>
              </w:rPr>
              <w:t xml:space="preserve">520</w:t>
            </w:r>
          </w:p>
        </w:tc>
        <w:tc>
          <w:tcPr>
            <w:tcW w:type="dxa" w:w="1900"/>
          </w:tcPr>
          <w:p>
            <w:r>
              <w:rPr>
                <w:b w:val="false"/>
                <w:bCs w:val="false"/>
                <w:sz w:val="20"/>
                <w:szCs w:val="20"/>
              </w:rPr>
              <w:t xml:space="preserve">4,999</w:t>
            </w:r>
          </w:p>
        </w:tc>
        <w:tc>
          <w:tcPr>
            <w:tcW w:type="dxa" w:w="1000"/>
          </w:tcPr>
          <w:p>
            <w:r>
              <w:rPr>
                <w:b w:val="false"/>
                <w:bCs w:val="false"/>
                <w:sz w:val="20"/>
                <w:szCs w:val="20"/>
              </w:rPr>
              <w:t xml:space="preserve">0.01</w:t>
            </w:r>
          </w:p>
        </w:tc>
      </w:tr>
      <w:tr>
        <w:tc>
          <w:tcPr>
            <w:tcW w:type="dxa" w:w="2400"/>
          </w:tcPr>
          <w:p>
            <w:r>
              <w:rPr>
                <w:b w:val="false"/>
                <w:bCs w:val="false"/>
                <w:sz w:val="20"/>
                <w:szCs w:val="20"/>
              </w:rPr>
              <w:t xml:space="preserve">Bedrooms</w:t>
            </w:r>
          </w:p>
        </w:tc>
        <w:tc>
          <w:tcPr>
            <w:tcW w:type="dxa" w:w="1700"/>
          </w:tcPr>
          <w:p>
            <w:r>
              <w:rPr>
                <w:b w:val="false"/>
                <w:bCs w:val="false"/>
                <w:sz w:val="20"/>
                <w:szCs w:val="20"/>
              </w:rPr>
              <w:t xml:space="preserve">3.03</w:t>
            </w:r>
          </w:p>
        </w:tc>
        <w:tc>
          <w:tcPr>
            <w:tcW w:type="dxa" w:w="1700"/>
          </w:tcPr>
          <w:p>
            <w:r>
              <w:rPr>
                <w:b w:val="false"/>
                <w:bCs w:val="false"/>
                <w:sz w:val="20"/>
                <w:szCs w:val="20"/>
              </w:rPr>
              <w:t xml:space="preserve">1.47</w:t>
            </w:r>
          </w:p>
        </w:tc>
        <w:tc>
          <w:tcPr>
            <w:tcW w:type="dxa" w:w="1700"/>
          </w:tcPr>
          <w:p>
            <w:r>
              <w:rPr>
                <w:b w:val="false"/>
                <w:bCs w:val="false"/>
                <w:sz w:val="20"/>
                <w:szCs w:val="20"/>
              </w:rPr>
              <w:t xml:space="preserve">1</w:t>
            </w:r>
          </w:p>
        </w:tc>
        <w:tc>
          <w:tcPr>
            <w:tcW w:type="dxa" w:w="1900"/>
          </w:tcPr>
          <w:p>
            <w:r>
              <w:rPr>
                <w:b w:val="false"/>
                <w:bCs w:val="false"/>
                <w:sz w:val="20"/>
                <w:szCs w:val="20"/>
              </w:rPr>
              <w:t xml:space="preserve">5</w:t>
            </w:r>
          </w:p>
        </w:tc>
        <w:tc>
          <w:tcPr>
            <w:tcW w:type="dxa" w:w="1000"/>
          </w:tcPr>
          <w:p>
            <w:r>
              <w:rPr>
                <w:b w:val="false"/>
                <w:bCs w:val="false"/>
                <w:sz w:val="20"/>
                <w:szCs w:val="20"/>
              </w:rPr>
              <w:t xml:space="preserve">-0.12</w:t>
            </w:r>
          </w:p>
        </w:tc>
      </w:tr>
      <w:tr>
        <w:tc>
          <w:tcPr>
            <w:tcW w:type="dxa" w:w="2400"/>
          </w:tcPr>
          <w:p>
            <w:r>
              <w:rPr>
                <w:b w:val="false"/>
                <w:bCs w:val="false"/>
                <w:sz w:val="20"/>
                <w:szCs w:val="20"/>
              </w:rPr>
              <w:t xml:space="preserve">Bathrooms</w:t>
            </w:r>
          </w:p>
        </w:tc>
        <w:tc>
          <w:tcPr>
            <w:tcW w:type="dxa" w:w="1700"/>
          </w:tcPr>
          <w:p>
            <w:r>
              <w:rPr>
                <w:b w:val="false"/>
                <w:bCs w:val="false"/>
                <w:sz w:val="20"/>
                <w:szCs w:val="20"/>
              </w:rPr>
              <w:t xml:space="preserve">2.03</w:t>
            </w:r>
          </w:p>
        </w:tc>
        <w:tc>
          <w:tcPr>
            <w:tcW w:type="dxa" w:w="1700"/>
          </w:tcPr>
          <w:p>
            <w:r>
              <w:rPr>
                <w:b w:val="false"/>
                <w:bCs w:val="false"/>
                <w:sz w:val="20"/>
                <w:szCs w:val="20"/>
              </w:rPr>
              <w:t xml:space="preserve">0.79</w:t>
            </w:r>
          </w:p>
        </w:tc>
        <w:tc>
          <w:tcPr>
            <w:tcW w:type="dxa" w:w="1700"/>
          </w:tcPr>
          <w:p>
            <w:r>
              <w:rPr>
                <w:b w:val="false"/>
                <w:bCs w:val="false"/>
                <w:sz w:val="20"/>
                <w:szCs w:val="20"/>
              </w:rPr>
              <w:t xml:space="preserve">1</w:t>
            </w:r>
          </w:p>
        </w:tc>
        <w:tc>
          <w:tcPr>
            <w:tcW w:type="dxa" w:w="1900"/>
          </w:tcPr>
          <w:p>
            <w:r>
              <w:rPr>
                <w:b w:val="false"/>
                <w:bCs w:val="false"/>
                <w:sz w:val="20"/>
                <w:szCs w:val="20"/>
              </w:rPr>
              <w:t xml:space="preserve">3</w:t>
            </w:r>
          </w:p>
        </w:tc>
        <w:tc>
          <w:tcPr>
            <w:tcW w:type="dxa" w:w="1000"/>
          </w:tcPr>
          <w:p>
            <w:r>
              <w:rPr>
                <w:b w:val="false"/>
                <w:bCs w:val="false"/>
                <w:sz w:val="20"/>
                <w:szCs w:val="20"/>
              </w:rPr>
              <w:t xml:space="preserve">-0.05</w:t>
            </w:r>
          </w:p>
        </w:tc>
      </w:tr>
      <w:tr>
        <w:tc>
          <w:tcPr>
            <w:tcW w:type="dxa" w:w="2400"/>
          </w:tcPr>
          <w:p>
            <w:r>
              <w:rPr>
                <w:b w:val="false"/>
                <w:bCs w:val="false"/>
                <w:sz w:val="20"/>
                <w:szCs w:val="20"/>
              </w:rPr>
              <w:t xml:space="preserve">Age (years)</w:t>
            </w:r>
          </w:p>
        </w:tc>
        <w:tc>
          <w:tcPr>
            <w:tcW w:type="dxa" w:w="1700"/>
          </w:tcPr>
          <w:p>
            <w:r>
              <w:rPr>
                <w:b w:val="false"/>
                <w:bCs w:val="false"/>
                <w:sz w:val="20"/>
                <w:szCs w:val="20"/>
              </w:rPr>
              <w:t xml:space="preserve">25.00</w:t>
            </w:r>
          </w:p>
        </w:tc>
        <w:tc>
          <w:tcPr>
            <w:tcW w:type="dxa" w:w="1700"/>
          </w:tcPr>
          <w:p>
            <w:r>
              <w:rPr>
                <w:b w:val="false"/>
                <w:bCs w:val="false"/>
                <w:sz w:val="20"/>
                <w:szCs w:val="20"/>
              </w:rPr>
              <w:t xml:space="preserve">14.33</w:t>
            </w:r>
          </w:p>
        </w:tc>
        <w:tc>
          <w:tcPr>
            <w:tcW w:type="dxa" w:w="1700"/>
          </w:tcPr>
          <w:p>
            <w:r>
              <w:rPr>
                <w:b w:val="false"/>
                <w:bCs w:val="false"/>
                <w:sz w:val="20"/>
                <w:szCs w:val="20"/>
              </w:rPr>
              <w:t xml:space="preserve">0</w:t>
            </w:r>
          </w:p>
        </w:tc>
        <w:tc>
          <w:tcPr>
            <w:tcW w:type="dxa" w:w="1900"/>
          </w:tcPr>
          <w:p>
            <w:r>
              <w:rPr>
                <w:b w:val="false"/>
                <w:bCs w:val="false"/>
                <w:sz w:val="20"/>
                <w:szCs w:val="20"/>
              </w:rPr>
              <w:t xml:space="preserve">49</w:t>
            </w:r>
          </w:p>
        </w:tc>
        <w:tc>
          <w:tcPr>
            <w:tcW w:type="dxa" w:w="1000"/>
          </w:tcPr>
          <w:p>
            <w:r>
              <w:rPr>
                <w:b w:val="false"/>
                <w:bCs w:val="false"/>
                <w:sz w:val="20"/>
                <w:szCs w:val="20"/>
              </w:rPr>
              <w:t xml:space="preserve">-0.03</w:t>
            </w:r>
          </w:p>
        </w:tc>
      </w:tr>
      <w:tr>
        <w:tc>
          <w:tcPr>
            <w:tcW w:type="dxa" w:w="2400"/>
          </w:tcPr>
          <w:p>
            <w:r>
              <w:rPr>
                <w:b w:val="false"/>
                <w:bCs w:val="false"/>
                <w:sz w:val="20"/>
                <w:szCs w:val="20"/>
              </w:rPr>
              <w:t xml:space="preserve">Price (INR)</w:t>
            </w:r>
          </w:p>
        </w:tc>
        <w:tc>
          <w:tcPr>
            <w:tcW w:type="dxa" w:w="1700"/>
          </w:tcPr>
          <w:p>
            <w:r>
              <w:rPr>
                <w:b w:val="false"/>
                <w:bCs w:val="false"/>
                <w:sz w:val="20"/>
                <w:szCs w:val="20"/>
              </w:rPr>
              <w:t xml:space="preserve">2,48,83,658</w:t>
            </w:r>
          </w:p>
        </w:tc>
        <w:tc>
          <w:tcPr>
            <w:tcW w:type="dxa" w:w="1700"/>
          </w:tcPr>
          <w:p>
            <w:r>
              <w:rPr>
                <w:b w:val="false"/>
                <w:bCs w:val="false"/>
                <w:sz w:val="20"/>
                <w:szCs w:val="20"/>
              </w:rPr>
              <w:t xml:space="preserve">1,26,65,255</w:t>
            </w:r>
          </w:p>
        </w:tc>
        <w:tc>
          <w:tcPr>
            <w:tcW w:type="dxa" w:w="1700"/>
          </w:tcPr>
          <w:p>
            <w:r>
              <w:rPr>
                <w:b w:val="false"/>
                <w:bCs w:val="false"/>
                <w:sz w:val="20"/>
                <w:szCs w:val="20"/>
              </w:rPr>
              <w:t xml:space="preserve">36,95,000</w:t>
            </w:r>
          </w:p>
        </w:tc>
        <w:tc>
          <w:tcPr>
            <w:tcW w:type="dxa" w:w="1900"/>
          </w:tcPr>
          <w:p>
            <w:r>
              <w:rPr>
                <w:b w:val="false"/>
                <w:bCs w:val="false"/>
                <w:sz w:val="20"/>
                <w:szCs w:val="20"/>
              </w:rPr>
              <w:t xml:space="preserve">5,87,00,000</w:t>
            </w:r>
          </w:p>
        </w:tc>
        <w:tc>
          <w:tcPr>
            <w:tcW w:type="dxa" w:w="1000"/>
          </w:tcPr>
          <w:p>
            <w:r>
              <w:rPr>
                <w:b w:val="false"/>
                <w:bCs w:val="false"/>
                <w:sz w:val="20"/>
                <w:szCs w:val="20"/>
              </w:rPr>
              <w:t xml:space="preserve">0.66</w:t>
            </w:r>
          </w:p>
        </w:tc>
      </w:tr>
    </w:tbl>
    <w:p>
      <w:pPr>
        <w:spacing w:after="160"/>
      </w:pPr>
      <w:r>
        <w:rPr>
          <w:sz w:val="22"/>
          <w:szCs w:val="22"/>
        </w:rPr>
        <w:t xml:space="preserve"/>
      </w:r>
    </w:p>
    <w:p>
      <w:pPr>
        <w:spacing w:after="200" w:before="120"/>
        <w:jc w:val="center"/>
      </w:pPr>
      <w:r>
        <w:drawing>
          <wp:inline distT="0" distB="0" distL="0" distR="0">
            <wp:extent cx="4000500" cy="600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6000750"/>
                    </a:xfrm>
                    <a:prstGeom prst="rect">
                      <a:avLst/>
                    </a:prstGeom>
                  </pic:spPr>
                </pic:pic>
              </a:graphicData>
            </a:graphic>
          </wp:inline>
        </w:drawing>
      </w:r>
    </w:p>
    <w:p>
      <w:pPr>
        <w:spacing w:after="280"/>
        <w:jc w:val="center"/>
      </w:pPr>
      <w:r>
        <w:rPr>
          <w:i/>
          <w:iCs/>
          <w:color w:val="555555"/>
          <w:sz w:val="18"/>
          <w:szCs w:val="18"/>
        </w:rPr>
        <w:t xml:space="preserve">Figure 1. Histogram and boxplot for all five numeric columns.</w:t>
      </w:r>
    </w:p>
    <w:p>
      <w:pPr>
        <w:spacing w:after="160"/>
      </w:pPr>
      <w:r>
        <w:rPr>
          <w:sz w:val="22"/>
          <w:szCs w:val="22"/>
        </w:rPr>
        <w:t xml:space="preserve">Area, Bedrooms, Bathrooms, and Age are all approximately symmetric (|skew| &lt; 0.15) with no flagged outliers. Price shows mild right skew (0.66) — a small number of high-value properties pull the distribution's tail rightward, typical of real-estate price data.</w:t>
      </w:r>
    </w:p>
    <w:p>
      <w:pPr>
        <w:spacing w:after="160"/>
      </w:pPr>
      <w:r>
        <w:rPr>
          <w:sz w:val="22"/>
          <w:szCs w:val="22"/>
        </w:rPr>
        <w:t xml:space="preserve">Bedrooms and Bathrooms are discrete count variables rather than continuous measurements, which is visible in their histograms as separated spikes rather than a smooth curve. This is expected given their limited value range and does not indicate a data quality issue.</w:t>
      </w:r>
    </w:p>
    <w:p>
      <w:pPr>
        <w:pStyle w:val="Heading2"/>
        <w:spacing w:after="100" w:before="200"/>
      </w:pPr>
      <w:r>
        <w:t xml:space="preserve">4.1 Categorical Column Distribution</w:t>
      </w:r>
    </w:p>
    <w:p>
      <w:pPr>
        <w:spacing w:after="200" w:before="120"/>
        <w:jc w:val="center"/>
      </w:pPr>
      <w:r>
        <w:drawing>
          <wp:inline distT="0" distB="0" distL="0" distR="0">
            <wp:extent cx="4572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666875"/>
                    </a:xfrm>
                    <a:prstGeom prst="rect">
                      <a:avLst/>
                    </a:prstGeom>
                  </pic:spPr>
                </pic:pic>
              </a:graphicData>
            </a:graphic>
          </wp:inline>
        </w:drawing>
      </w:r>
    </w:p>
    <w:p>
      <w:pPr>
        <w:spacing w:after="280"/>
        <w:jc w:val="center"/>
      </w:pPr>
      <w:r>
        <w:rPr>
          <w:i/>
          <w:iCs/>
          <w:color w:val="555555"/>
          <w:sz w:val="18"/>
          <w:szCs w:val="18"/>
        </w:rPr>
        <w:t xml:space="preserve">Figure 2. Listing counts by Location and Property_Type.</w:t>
      </w:r>
    </w:p>
    <w:p>
      <w:pPr>
        <w:spacing w:after="160"/>
      </w:pPr>
      <w:r>
        <w:rPr>
          <w:sz w:val="22"/>
          <w:szCs w:val="22"/>
        </w:rPr>
        <w:t xml:space="preserve">Both categorical columns are reasonably balanced across their categories, with no single category dominating the dataset — Location counts range from 96 to 105 listings per category, and Property_Type from 91 to 105.</w:t>
      </w:r>
    </w:p>
    <w:p>
      <w:r>
        <w:br w:type="page"/>
      </w:r>
    </w:p>
    <w:p>
      <w:pPr>
        <w:pStyle w:val="Heading1"/>
        <w:spacing w:after="120" w:before="280"/>
      </w:pPr>
      <w:r>
        <w:t xml:space="preserve">5. Exploratory Data Analysis — Bivariate</w:t>
      </w:r>
    </w:p>
    <w:p>
      <w:pPr>
        <w:pStyle w:val="Heading2"/>
        <w:spacing w:after="100" w:before="200"/>
      </w:pPr>
      <w:r>
        <w:t xml:space="preserve">5.1 Numeric vs Numeric</w:t>
      </w:r>
    </w:p>
    <w:p>
      <w:pPr>
        <w:spacing w:after="200" w:before="120"/>
        <w:jc w:val="center"/>
      </w:pPr>
      <w:r>
        <w:drawing>
          <wp:inline distT="0" distB="0" distL="0" distR="0">
            <wp:extent cx="3238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695575"/>
                    </a:xfrm>
                    <a:prstGeom prst="rect">
                      <a:avLst/>
                    </a:prstGeom>
                  </pic:spPr>
                </pic:pic>
              </a:graphicData>
            </a:graphic>
          </wp:inline>
        </w:drawing>
      </w:r>
    </w:p>
    <w:p>
      <w:pPr>
        <w:spacing w:after="280"/>
        <w:jc w:val="center"/>
      </w:pPr>
      <w:r>
        <w:rPr>
          <w:i/>
          <w:iCs/>
          <w:color w:val="555555"/>
          <w:sz w:val="18"/>
          <w:szCs w:val="18"/>
        </w:rPr>
        <w:t xml:space="preserve">Figure 3. Correlation heatmap across numeric columns.</w:t>
      </w:r>
    </w:p>
    <w:p>
      <w:pPr>
        <w:spacing w:after="160"/>
      </w:pPr>
      <w:r>
        <w:rPr>
          <w:sz w:val="22"/>
          <w:szCs w:val="22"/>
        </w:rPr>
        <w:t xml:space="preserve">Area correlates strongly with Price (r = 0.80) — the clearest relationship in the dataset. Bedrooms shows a weak positive correlation with Price (r = 0.20). Bathrooms and Age show negligible correlation with Price (r = -0.03 and -0.13 respectively).</w:t>
      </w:r>
    </w:p>
    <w:p>
      <w:pPr>
        <w:spacing w:after="200" w:before="120"/>
        <w:jc w:val="center"/>
      </w:pPr>
      <w:r>
        <w:drawing>
          <wp:inline distT="0" distB="0" distL="0" distR="0">
            <wp:extent cx="4572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66875"/>
                    </a:xfrm>
                    <a:prstGeom prst="rect">
                      <a:avLst/>
                    </a:prstGeom>
                  </pic:spPr>
                </pic:pic>
              </a:graphicData>
            </a:graphic>
          </wp:inline>
        </w:drawing>
      </w:r>
    </w:p>
    <w:p>
      <w:pPr>
        <w:spacing w:after="280"/>
        <w:jc w:val="center"/>
      </w:pPr>
      <w:r>
        <w:rPr>
          <w:i/>
          <w:iCs/>
          <w:color w:val="555555"/>
          <w:sz w:val="18"/>
          <w:szCs w:val="18"/>
        </w:rPr>
        <w:t xml:space="preserve">Figure 4. Area vs Price scatter plot showing a clear positive linear trend.</w:t>
      </w:r>
    </w:p>
    <w:p>
      <w:pPr>
        <w:pStyle w:val="Heading2"/>
        <w:spacing w:after="100" w:before="200"/>
      </w:pPr>
      <w:r>
        <w:t xml:space="preserve">5.2 Numeric vs Categorical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2F5496" w:val="clear"/>
          </w:tcPr>
          <w:p>
            <w:r>
              <w:rPr>
                <w:b/>
                <w:bCs/>
                <w:color w:val="FFFFFF"/>
                <w:sz w:val="20"/>
                <w:szCs w:val="20"/>
              </w:rPr>
              <w:t xml:space="preserve">Location</w:t>
            </w:r>
          </w:p>
        </w:tc>
        <w:tc>
          <w:tcPr>
            <w:tcW w:type="dxa" w:w="3200"/>
            <w:shd w:fill="2F5496" w:val="clear"/>
          </w:tcPr>
          <w:p>
            <w:r>
              <w:rPr>
                <w:b/>
                <w:bCs/>
                <w:color w:val="FFFFFF"/>
                <w:sz w:val="20"/>
                <w:szCs w:val="20"/>
              </w:rPr>
              <w:t xml:space="preserve">Mean Price (INR)</w:t>
            </w:r>
          </w:p>
        </w:tc>
      </w:tr>
      <w:tr>
        <w:tc>
          <w:tcPr>
            <w:tcW w:type="dxa" w:w="3200"/>
          </w:tcPr>
          <w:p>
            <w:r>
              <w:rPr>
                <w:b w:val="false"/>
                <w:bCs w:val="false"/>
                <w:sz w:val="20"/>
                <w:szCs w:val="20"/>
              </w:rPr>
              <w:t xml:space="preserve">City Center</w:t>
            </w:r>
          </w:p>
        </w:tc>
        <w:tc>
          <w:tcPr>
            <w:tcW w:type="dxa" w:w="3200"/>
          </w:tcPr>
          <w:p>
            <w:r>
              <w:rPr>
                <w:b w:val="false"/>
                <w:bCs w:val="false"/>
                <w:sz w:val="20"/>
                <w:szCs w:val="20"/>
              </w:rPr>
              <w:t xml:space="preserve">3,31,49,794</w:t>
            </w:r>
          </w:p>
        </w:tc>
      </w:tr>
      <w:tr>
        <w:tc>
          <w:tcPr>
            <w:tcW w:type="dxa" w:w="3200"/>
          </w:tcPr>
          <w:p>
            <w:r>
              <w:rPr>
                <w:b w:val="false"/>
                <w:bCs w:val="false"/>
                <w:sz w:val="20"/>
                <w:szCs w:val="20"/>
              </w:rPr>
              <w:t xml:space="preserve">Suburb</w:t>
            </w:r>
          </w:p>
        </w:tc>
        <w:tc>
          <w:tcPr>
            <w:tcW w:type="dxa" w:w="3200"/>
          </w:tcPr>
          <w:p>
            <w:r>
              <w:rPr>
                <w:b w:val="false"/>
                <w:bCs w:val="false"/>
                <w:sz w:val="20"/>
                <w:szCs w:val="20"/>
              </w:rPr>
              <w:t xml:space="preserve">2,51,08,071</w:t>
            </w:r>
          </w:p>
        </w:tc>
      </w:tr>
      <w:tr>
        <w:tc>
          <w:tcPr>
            <w:tcW w:type="dxa" w:w="3200"/>
          </w:tcPr>
          <w:p>
            <w:r>
              <w:rPr>
                <w:b w:val="false"/>
                <w:bCs w:val="false"/>
                <w:sz w:val="20"/>
                <w:szCs w:val="20"/>
              </w:rPr>
              <w:t xml:space="preserve">Rural</w:t>
            </w:r>
          </w:p>
        </w:tc>
        <w:tc>
          <w:tcPr>
            <w:tcW w:type="dxa" w:w="3200"/>
          </w:tcPr>
          <w:p>
            <w:r>
              <w:rPr>
                <w:b w:val="false"/>
                <w:bCs w:val="false"/>
                <w:sz w:val="20"/>
                <w:szCs w:val="20"/>
              </w:rPr>
              <w:t xml:space="preserve">1,64,61,429</w:t>
            </w:r>
          </w:p>
        </w:tc>
      </w:tr>
    </w:tbl>
    <w:p>
      <w:pPr>
        <w:spacing w:after="16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2F5496" w:val="clear"/>
          </w:tcPr>
          <w:p>
            <w:r>
              <w:rPr>
                <w:b/>
                <w:bCs/>
                <w:color w:val="FFFFFF"/>
                <w:sz w:val="20"/>
                <w:szCs w:val="20"/>
              </w:rPr>
              <w:t xml:space="preserve">Property_Type</w:t>
            </w:r>
          </w:p>
        </w:tc>
        <w:tc>
          <w:tcPr>
            <w:tcW w:type="dxa" w:w="3200"/>
            <w:shd w:fill="2F5496" w:val="clear"/>
          </w:tcPr>
          <w:p>
            <w:r>
              <w:rPr>
                <w:b/>
                <w:bCs/>
                <w:color w:val="FFFFFF"/>
                <w:sz w:val="20"/>
                <w:szCs w:val="20"/>
              </w:rPr>
              <w:t xml:space="preserve">Mean Price (INR)</w:t>
            </w:r>
          </w:p>
        </w:tc>
      </w:tr>
      <w:tr>
        <w:tc>
          <w:tcPr>
            <w:tcW w:type="dxa" w:w="3200"/>
          </w:tcPr>
          <w:p>
            <w:r>
              <w:rPr>
                <w:b w:val="false"/>
                <w:bCs w:val="false"/>
                <w:sz w:val="20"/>
                <w:szCs w:val="20"/>
              </w:rPr>
              <w:t xml:space="preserve">Apartment</w:t>
            </w:r>
          </w:p>
        </w:tc>
        <w:tc>
          <w:tcPr>
            <w:tcW w:type="dxa" w:w="3200"/>
          </w:tcPr>
          <w:p>
            <w:r>
              <w:rPr>
                <w:b w:val="false"/>
                <w:bCs w:val="false"/>
                <w:sz w:val="20"/>
                <w:szCs w:val="20"/>
              </w:rPr>
              <w:t xml:space="preserve">2,71,24,203</w:t>
            </w:r>
          </w:p>
        </w:tc>
      </w:tr>
      <w:tr>
        <w:tc>
          <w:tcPr>
            <w:tcW w:type="dxa" w:w="3200"/>
          </w:tcPr>
          <w:p>
            <w:r>
              <w:rPr>
                <w:b w:val="false"/>
                <w:bCs w:val="false"/>
                <w:sz w:val="20"/>
                <w:szCs w:val="20"/>
              </w:rPr>
              <w:t xml:space="preserve">Villa</w:t>
            </w:r>
          </w:p>
        </w:tc>
        <w:tc>
          <w:tcPr>
            <w:tcW w:type="dxa" w:w="3200"/>
          </w:tcPr>
          <w:p>
            <w:r>
              <w:rPr>
                <w:b w:val="false"/>
                <w:bCs w:val="false"/>
                <w:sz w:val="20"/>
                <w:szCs w:val="20"/>
              </w:rPr>
              <w:t xml:space="preserve">2,49,89,853</w:t>
            </w:r>
          </w:p>
        </w:tc>
      </w:tr>
      <w:tr>
        <w:tc>
          <w:tcPr>
            <w:tcW w:type="dxa" w:w="3200"/>
          </w:tcPr>
          <w:p>
            <w:r>
              <w:rPr>
                <w:b w:val="false"/>
                <w:bCs w:val="false"/>
                <w:sz w:val="20"/>
                <w:szCs w:val="20"/>
              </w:rPr>
              <w:t xml:space="preserve">House</w:t>
            </w:r>
          </w:p>
        </w:tc>
        <w:tc>
          <w:tcPr>
            <w:tcW w:type="dxa" w:w="3200"/>
          </w:tcPr>
          <w:p>
            <w:r>
              <w:rPr>
                <w:b w:val="false"/>
                <w:bCs w:val="false"/>
                <w:sz w:val="20"/>
                <w:szCs w:val="20"/>
              </w:rPr>
              <w:t xml:space="preserve">2,28,76,916</w:t>
            </w:r>
          </w:p>
        </w:tc>
      </w:tr>
    </w:tbl>
    <w:p>
      <w:pPr>
        <w:spacing w:after="200"/>
      </w:pPr>
    </w:p>
    <w:p>
      <w:pPr>
        <w:spacing w:after="200" w:before="120"/>
        <w:jc w:val="center"/>
      </w:pPr>
      <w:r>
        <w:drawing>
          <wp:inline distT="0" distB="0" distL="0" distR="0">
            <wp:extent cx="3238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162175"/>
                    </a:xfrm>
                    <a:prstGeom prst="rect">
                      <a:avLst/>
                    </a:prstGeom>
                  </pic:spPr>
                </pic:pic>
              </a:graphicData>
            </a:graphic>
          </wp:inline>
        </w:drawing>
      </w:r>
    </w:p>
    <w:p>
      <w:pPr>
        <w:spacing w:after="280"/>
        <w:jc w:val="center"/>
      </w:pPr>
      <w:r>
        <w:rPr>
          <w:i/>
          <w:iCs/>
          <w:color w:val="555555"/>
          <w:sz w:val="18"/>
          <w:szCs w:val="18"/>
        </w:rPr>
        <w:t xml:space="preserve">Figure 5. Price distribution by Property_Type — considerable overlap between categories.</w:t>
      </w:r>
    </w:p>
    <w:p>
      <w:pPr>
        <w:spacing w:after="160"/>
      </w:pPr>
      <w:r>
        <w:rPr>
          <w:sz w:val="22"/>
          <w:szCs w:val="22"/>
        </w:rPr>
        <w:t xml:space="preserve">Location shows a clear, ordered effect on mean Price (City Center &gt; Suburb &gt; Rural), while Property_Type differences are comparatively small and the boxplots overlap substantially — a pattern later confirmed (or refuted) formally in Section 7.</w:t>
      </w:r>
    </w:p>
    <w:p>
      <w:pPr>
        <w:pStyle w:val="Heading2"/>
        <w:spacing w:after="100" w:before="200"/>
      </w:pPr>
      <w:r>
        <w:t xml:space="preserve">5.3 Categorical vs Categorical</w:t>
      </w:r>
    </w:p>
    <w:p>
      <w:pPr>
        <w:spacing w:after="160"/>
      </w:pPr>
      <w:r>
        <w:rPr>
          <w:sz w:val="22"/>
          <w:szCs w:val="22"/>
        </w:rPr>
        <w:t xml:space="preserve">A crosstab of Location × Property_Type shows listings spread evenly across combinations (28–37 per cell out of 300 total), suggesting no structural association between the two categorical variables — i.e., no location specializes in a particular property type.</w:t>
      </w:r>
    </w:p>
    <w:p>
      <w:r>
        <w:br w:type="page"/>
      </w:r>
    </w:p>
    <w:p>
      <w:pPr>
        <w:pStyle w:val="Heading1"/>
        <w:spacing w:after="120" w:before="280"/>
      </w:pPr>
      <w:r>
        <w:t xml:space="preserve">6. Feature Engineering</w:t>
      </w:r>
    </w:p>
    <w:p>
      <w:pPr>
        <w:spacing w:after="160"/>
      </w:pPr>
      <w:r>
        <w:rPr>
          <w:sz w:val="22"/>
          <w:szCs w:val="22"/>
        </w:rPr>
        <w:t xml:space="preserve">A derived metric, Price_per_sqft (Price ÷ Area), was computed to normalize price by property size and enable fairer comparison across listings of different scale.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c>
          <w:tcPr>
            <w:tcW w:type="dxa" w:w="3200"/>
            <w:shd w:fill="2F5496" w:val="clear"/>
          </w:tcPr>
          <w:p>
            <w:r>
              <w:rPr>
                <w:b/>
                <w:bCs/>
                <w:color w:val="FFFFFF"/>
                <w:sz w:val="20"/>
                <w:szCs w:val="20"/>
              </w:rPr>
              <w:t xml:space="preserve">Metric</w:t>
            </w:r>
          </w:p>
        </w:tc>
        <w:tc>
          <w:tcPr>
            <w:tcW w:type="dxa" w:w="3200"/>
            <w:shd w:fill="2F5496" w:val="clear"/>
          </w:tcPr>
          <w:p>
            <w:r>
              <w:rPr>
                <w:b/>
                <w:bCs/>
                <w:color w:val="FFFFFF"/>
                <w:sz w:val="20"/>
                <w:szCs w:val="20"/>
              </w:rPr>
              <w:t xml:space="preserve">Value</w:t>
            </w:r>
          </w:p>
        </w:tc>
      </w:tr>
      <w:tr>
        <w:tc>
          <w:tcPr>
            <w:tcW w:type="dxa" w:w="3200"/>
          </w:tcPr>
          <w:p>
            <w:r>
              <w:rPr>
                <w:b w:val="false"/>
                <w:bCs w:val="false"/>
                <w:sz w:val="20"/>
                <w:szCs w:val="20"/>
              </w:rPr>
              <w:t xml:space="preserve">Mean Price/sqft</w:t>
            </w:r>
          </w:p>
        </w:tc>
        <w:tc>
          <w:tcPr>
            <w:tcW w:type="dxa" w:w="3200"/>
          </w:tcPr>
          <w:p>
            <w:r>
              <w:rPr>
                <w:b w:val="false"/>
                <w:bCs w:val="false"/>
                <w:sz w:val="20"/>
                <w:szCs w:val="20"/>
              </w:rPr>
              <w:t xml:space="preserve">₹9,543</w:t>
            </w:r>
          </w:p>
        </w:tc>
      </w:tr>
      <w:tr>
        <w:tc>
          <w:tcPr>
            <w:tcW w:type="dxa" w:w="3200"/>
          </w:tcPr>
          <w:p>
            <w:r>
              <w:rPr>
                <w:b w:val="false"/>
                <w:bCs w:val="false"/>
                <w:sz w:val="20"/>
                <w:szCs w:val="20"/>
              </w:rPr>
              <w:t xml:space="preserve">Std Dev</w:t>
            </w:r>
          </w:p>
        </w:tc>
        <w:tc>
          <w:tcPr>
            <w:tcW w:type="dxa" w:w="3200"/>
          </w:tcPr>
          <w:p>
            <w:r>
              <w:rPr>
                <w:b w:val="false"/>
                <w:bCs w:val="false"/>
                <w:sz w:val="20"/>
                <w:szCs w:val="20"/>
              </w:rPr>
              <w:t xml:space="preserve">₹3,186</w:t>
            </w:r>
          </w:p>
        </w:tc>
      </w:tr>
      <w:tr>
        <w:tc>
          <w:tcPr>
            <w:tcW w:type="dxa" w:w="3200"/>
          </w:tcPr>
          <w:p>
            <w:r>
              <w:rPr>
                <w:b w:val="false"/>
                <w:bCs w:val="false"/>
                <w:sz w:val="20"/>
                <w:szCs w:val="20"/>
              </w:rPr>
              <w:t xml:space="preserve">Min</w:t>
            </w:r>
          </w:p>
        </w:tc>
        <w:tc>
          <w:tcPr>
            <w:tcW w:type="dxa" w:w="3200"/>
          </w:tcPr>
          <w:p>
            <w:r>
              <w:rPr>
                <w:b w:val="false"/>
                <w:bCs w:val="false"/>
                <w:sz w:val="20"/>
                <w:szCs w:val="20"/>
              </w:rPr>
              <w:t xml:space="preserve">₹4,556</w:t>
            </w:r>
          </w:p>
        </w:tc>
      </w:tr>
      <w:tr>
        <w:tc>
          <w:tcPr>
            <w:tcW w:type="dxa" w:w="3200"/>
          </w:tcPr>
          <w:p>
            <w:r>
              <w:rPr>
                <w:b w:val="false"/>
                <w:bCs w:val="false"/>
                <w:sz w:val="20"/>
                <w:szCs w:val="20"/>
              </w:rPr>
              <w:t xml:space="preserve">Max</w:t>
            </w:r>
          </w:p>
        </w:tc>
        <w:tc>
          <w:tcPr>
            <w:tcW w:type="dxa" w:w="3200"/>
          </w:tcPr>
          <w:p>
            <w:r>
              <w:rPr>
                <w:b w:val="false"/>
                <w:bCs w:val="false"/>
                <w:sz w:val="20"/>
                <w:szCs w:val="20"/>
              </w:rPr>
              <w:t xml:space="preserve">₹21,740</w:t>
            </w:r>
          </w:p>
        </w:tc>
      </w:tr>
    </w:tbl>
    <w:p>
      <w:pPr>
        <w:spacing w:after="200"/>
      </w:pPr>
    </w:p>
    <w:p>
      <w:pPr>
        <w:spacing w:after="200" w:before="120"/>
        <w:jc w:val="center"/>
      </w:pPr>
      <w:r>
        <w:drawing>
          <wp:inline distT="0" distB="0" distL="0" distR="0">
            <wp:extent cx="4572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666875"/>
                    </a:xfrm>
                    <a:prstGeom prst="rect">
                      <a:avLst/>
                    </a:prstGeom>
                  </pic:spPr>
                </pic:pic>
              </a:graphicData>
            </a:graphic>
          </wp:inline>
        </w:drawing>
      </w:r>
    </w:p>
    <w:p>
      <w:pPr>
        <w:spacing w:after="280"/>
        <w:jc w:val="center"/>
      </w:pPr>
      <w:r>
        <w:rPr>
          <w:i/>
          <w:iCs/>
          <w:color w:val="555555"/>
          <w:sz w:val="18"/>
          <w:szCs w:val="18"/>
        </w:rPr>
        <w:t xml:space="preserve">Figure 6. Price-per-sqft distribution, and by Location.</w:t>
      </w:r>
    </w:p>
    <w:p>
      <w:pPr>
        <w:spacing w:after="160"/>
      </w:pPr>
      <w:r>
        <w:rPr>
          <w:sz w:val="22"/>
          <w:szCs w:val="22"/>
        </w:rPr>
        <w:t xml:space="preserve">Price per square foot shows the same Location ordering as raw Price (City Center ₹12,526 vs Rural ₹6,442 per sqft) — confirming that Location's effect on Price is not simply an artifact of City Center properties being larger; City Center properties genuinely command a higher rate per square foot, not just a higher price from added size.</w:t>
      </w:r>
    </w:p>
    <w:p>
      <w:pPr>
        <w:spacing w:after="160"/>
      </w:pPr>
      <w:r>
        <w:rPr>
          <w:sz w:val="22"/>
          <w:szCs w:val="22"/>
        </w:rPr>
        <w:t xml:space="preserve">This derived feature would be a strong candidate input if this analysis were extended into a predictive pricing model, alongside raw Area and Location.</w:t>
      </w:r>
    </w:p>
    <w:p>
      <w:r>
        <w:br w:type="page"/>
      </w:r>
    </w:p>
    <w:p>
      <w:pPr>
        <w:pStyle w:val="Heading1"/>
        <w:spacing w:after="120" w:before="280"/>
      </w:pPr>
      <w:r>
        <w:t xml:space="preserve">7. Statistical Analysis — Hypothesis Testing</w:t>
      </w:r>
    </w:p>
    <w:p>
      <w:pPr>
        <w:spacing w:after="160"/>
      </w:pPr>
      <w:r>
        <w:rPr>
          <w:sz w:val="22"/>
          <w:szCs w:val="22"/>
        </w:rPr>
        <w:t xml:space="preserve">The relationships suggested by EDA were formally tested at significance level α = 0.05 to confirm they reflect real effects rather than sampling noise. Four tests were run, each pairing an appropriate statistical method to the variable types involved.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1500"/>
        <w:gridCol w:w="1300"/>
        <w:gridCol w:w="1500"/>
      </w:tblGrid>
      <w:tr>
        <w:tc>
          <w:tcPr>
            <w:tcW w:type="dxa" w:w="1900"/>
            <w:shd w:fill="2F5496" w:val="clear"/>
          </w:tcPr>
          <w:p>
            <w:r>
              <w:rPr>
                <w:b/>
                <w:bCs/>
                <w:color w:val="FFFFFF"/>
                <w:sz w:val="20"/>
                <w:szCs w:val="20"/>
              </w:rPr>
              <w:t xml:space="preserve">Test</w:t>
            </w:r>
          </w:p>
        </w:tc>
        <w:tc>
          <w:tcPr>
            <w:tcW w:type="dxa" w:w="3300"/>
            <w:shd w:fill="2F5496" w:val="clear"/>
          </w:tcPr>
          <w:p>
            <w:r>
              <w:rPr>
                <w:b/>
                <w:bCs/>
                <w:color w:val="FFFFFF"/>
                <w:sz w:val="20"/>
                <w:szCs w:val="20"/>
              </w:rPr>
              <w:t xml:space="preserve">Question</w:t>
            </w:r>
          </w:p>
        </w:tc>
        <w:tc>
          <w:tcPr>
            <w:tcW w:type="dxa" w:w="1500"/>
            <w:shd w:fill="2F5496" w:val="clear"/>
          </w:tcPr>
          <w:p>
            <w:r>
              <w:rPr>
                <w:b/>
                <w:bCs/>
                <w:color w:val="FFFFFF"/>
                <w:sz w:val="20"/>
                <w:szCs w:val="20"/>
              </w:rPr>
              <w:t xml:space="preserve">Statistic</w:t>
            </w:r>
          </w:p>
        </w:tc>
        <w:tc>
          <w:tcPr>
            <w:tcW w:type="dxa" w:w="1300"/>
            <w:shd w:fill="2F5496" w:val="clear"/>
          </w:tcPr>
          <w:p>
            <w:r>
              <w:rPr>
                <w:b/>
                <w:bCs/>
                <w:color w:val="FFFFFF"/>
                <w:sz w:val="20"/>
                <w:szCs w:val="20"/>
              </w:rPr>
              <w:t xml:space="preserve">p-value</w:t>
            </w:r>
          </w:p>
        </w:tc>
        <w:tc>
          <w:tcPr>
            <w:tcW w:type="dxa" w:w="1500"/>
            <w:shd w:fill="2F5496" w:val="clear"/>
          </w:tcPr>
          <w:p>
            <w:r>
              <w:rPr>
                <w:b/>
                <w:bCs/>
                <w:color w:val="FFFFFF"/>
                <w:sz w:val="20"/>
                <w:szCs w:val="20"/>
              </w:rPr>
              <w:t xml:space="preserve">Conclusion</w:t>
            </w:r>
          </w:p>
        </w:tc>
      </w:tr>
      <w:tr>
        <w:tc>
          <w:tcPr>
            <w:tcW w:type="dxa" w:w="1900"/>
          </w:tcPr>
          <w:p>
            <w:r>
              <w:rPr>
                <w:b w:val="false"/>
                <w:bCs w:val="false"/>
                <w:sz w:val="20"/>
                <w:szCs w:val="20"/>
              </w:rPr>
              <w:t xml:space="preserve">One-way ANOVA</w:t>
            </w:r>
          </w:p>
        </w:tc>
        <w:tc>
          <w:tcPr>
            <w:tcW w:type="dxa" w:w="3300"/>
          </w:tcPr>
          <w:p>
            <w:r>
              <w:rPr>
                <w:b w:val="false"/>
                <w:bCs w:val="false"/>
                <w:sz w:val="20"/>
                <w:szCs w:val="20"/>
              </w:rPr>
              <w:t xml:space="preserve">Does Location affect Price?</w:t>
            </w:r>
          </w:p>
        </w:tc>
        <w:tc>
          <w:tcPr>
            <w:tcW w:type="dxa" w:w="1500"/>
          </w:tcPr>
          <w:p>
            <w:r>
              <w:rPr>
                <w:b w:val="false"/>
                <w:bCs w:val="false"/>
                <w:sz w:val="20"/>
                <w:szCs w:val="20"/>
              </w:rPr>
              <w:t xml:space="preserve">F = 58.68</w:t>
            </w:r>
          </w:p>
        </w:tc>
        <w:tc>
          <w:tcPr>
            <w:tcW w:type="dxa" w:w="1300"/>
          </w:tcPr>
          <w:p>
            <w:r>
              <w:rPr>
                <w:b w:val="false"/>
                <w:bCs w:val="false"/>
                <w:sz w:val="20"/>
                <w:szCs w:val="20"/>
              </w:rPr>
              <w:t xml:space="preserve">&lt; 0.001</w:t>
            </w:r>
          </w:p>
        </w:tc>
        <w:tc>
          <w:tcPr>
            <w:tcW w:type="dxa" w:w="1500"/>
          </w:tcPr>
          <w:p>
            <w:r>
              <w:rPr>
                <w:b w:val="false"/>
                <w:bCs w:val="false"/>
                <w:sz w:val="20"/>
                <w:szCs w:val="20"/>
              </w:rPr>
              <w:t xml:space="preserve">Significant</w:t>
            </w:r>
          </w:p>
        </w:tc>
      </w:tr>
      <w:tr>
        <w:tc>
          <w:tcPr>
            <w:tcW w:type="dxa" w:w="1900"/>
          </w:tcPr>
          <w:p>
            <w:r>
              <w:rPr>
                <w:b w:val="false"/>
                <w:bCs w:val="false"/>
                <w:sz w:val="20"/>
                <w:szCs w:val="20"/>
              </w:rPr>
              <w:t xml:space="preserve">One-way ANOVA</w:t>
            </w:r>
          </w:p>
        </w:tc>
        <w:tc>
          <w:tcPr>
            <w:tcW w:type="dxa" w:w="3300"/>
          </w:tcPr>
          <w:p>
            <w:r>
              <w:rPr>
                <w:b w:val="false"/>
                <w:bCs w:val="false"/>
                <w:sz w:val="20"/>
                <w:szCs w:val="20"/>
              </w:rPr>
              <w:t xml:space="preserve">Does Property_Type affect Price?</w:t>
            </w:r>
          </w:p>
        </w:tc>
        <w:tc>
          <w:tcPr>
            <w:tcW w:type="dxa" w:w="1500"/>
          </w:tcPr>
          <w:p>
            <w:r>
              <w:rPr>
                <w:b w:val="false"/>
                <w:bCs w:val="false"/>
                <w:sz w:val="20"/>
                <w:szCs w:val="20"/>
              </w:rPr>
              <w:t xml:space="preserve">F = 2.80</w:t>
            </w:r>
          </w:p>
        </w:tc>
        <w:tc>
          <w:tcPr>
            <w:tcW w:type="dxa" w:w="1300"/>
          </w:tcPr>
          <w:p>
            <w:r>
              <w:rPr>
                <w:b w:val="false"/>
                <w:bCs w:val="false"/>
                <w:sz w:val="20"/>
                <w:szCs w:val="20"/>
              </w:rPr>
              <w:t xml:space="preserve">0.062</w:t>
            </w:r>
          </w:p>
        </w:tc>
        <w:tc>
          <w:tcPr>
            <w:tcW w:type="dxa" w:w="1500"/>
          </w:tcPr>
          <w:p>
            <w:r>
              <w:rPr>
                <w:b w:val="false"/>
                <w:bCs w:val="false"/>
                <w:sz w:val="20"/>
                <w:szCs w:val="20"/>
              </w:rPr>
              <w:t xml:space="preserve">Not significant</w:t>
            </w:r>
          </w:p>
        </w:tc>
      </w:tr>
      <w:tr>
        <w:tc>
          <w:tcPr>
            <w:tcW w:type="dxa" w:w="1900"/>
          </w:tcPr>
          <w:p>
            <w:r>
              <w:rPr>
                <w:b w:val="false"/>
                <w:bCs w:val="false"/>
                <w:sz w:val="20"/>
                <w:szCs w:val="20"/>
              </w:rPr>
              <w:t xml:space="preserve">Pearson correlation</w:t>
            </w:r>
          </w:p>
        </w:tc>
        <w:tc>
          <w:tcPr>
            <w:tcW w:type="dxa" w:w="3300"/>
          </w:tcPr>
          <w:p>
            <w:r>
              <w:rPr>
                <w:b w:val="false"/>
                <w:bCs w:val="false"/>
                <w:sz w:val="20"/>
                <w:szCs w:val="20"/>
              </w:rPr>
              <w:t xml:space="preserve">Is Area–Price correlation real?</w:t>
            </w:r>
          </w:p>
        </w:tc>
        <w:tc>
          <w:tcPr>
            <w:tcW w:type="dxa" w:w="1500"/>
          </w:tcPr>
          <w:p>
            <w:r>
              <w:rPr>
                <w:b w:val="false"/>
                <w:bCs w:val="false"/>
                <w:sz w:val="20"/>
                <w:szCs w:val="20"/>
              </w:rPr>
              <w:t xml:space="preserve">r = 0.80</w:t>
            </w:r>
          </w:p>
        </w:tc>
        <w:tc>
          <w:tcPr>
            <w:tcW w:type="dxa" w:w="1300"/>
          </w:tcPr>
          <w:p>
            <w:r>
              <w:rPr>
                <w:b w:val="false"/>
                <w:bCs w:val="false"/>
                <w:sz w:val="20"/>
                <w:szCs w:val="20"/>
              </w:rPr>
              <w:t xml:space="preserve">&lt; 0.001</w:t>
            </w:r>
          </w:p>
        </w:tc>
        <w:tc>
          <w:tcPr>
            <w:tcW w:type="dxa" w:w="1500"/>
          </w:tcPr>
          <w:p>
            <w:r>
              <w:rPr>
                <w:b w:val="false"/>
                <w:bCs w:val="false"/>
                <w:sz w:val="20"/>
                <w:szCs w:val="20"/>
              </w:rPr>
              <w:t xml:space="preserve">Significant</w:t>
            </w:r>
          </w:p>
        </w:tc>
      </w:tr>
      <w:tr>
        <w:tc>
          <w:tcPr>
            <w:tcW w:type="dxa" w:w="1900"/>
          </w:tcPr>
          <w:p>
            <w:r>
              <w:rPr>
                <w:b w:val="false"/>
                <w:bCs w:val="false"/>
                <w:sz w:val="20"/>
                <w:szCs w:val="20"/>
              </w:rPr>
              <w:t xml:space="preserve">Chi-square</w:t>
            </w:r>
          </w:p>
        </w:tc>
        <w:tc>
          <w:tcPr>
            <w:tcW w:type="dxa" w:w="3300"/>
          </w:tcPr>
          <w:p>
            <w:r>
              <w:rPr>
                <w:b w:val="false"/>
                <w:bCs w:val="false"/>
                <w:sz w:val="20"/>
                <w:szCs w:val="20"/>
              </w:rPr>
              <w:t xml:space="preserve">Are Location and Property_Type associated?</w:t>
            </w:r>
          </w:p>
        </w:tc>
        <w:tc>
          <w:tcPr>
            <w:tcW w:type="dxa" w:w="1500"/>
          </w:tcPr>
          <w:p>
            <w:r>
              <w:rPr>
                <w:b w:val="false"/>
                <w:bCs w:val="false"/>
                <w:sz w:val="20"/>
                <w:szCs w:val="20"/>
              </w:rPr>
              <w:t xml:space="preserve">χ² = 0.45</w:t>
            </w:r>
          </w:p>
        </w:tc>
        <w:tc>
          <w:tcPr>
            <w:tcW w:type="dxa" w:w="1300"/>
          </w:tcPr>
          <w:p>
            <w:r>
              <w:rPr>
                <w:b w:val="false"/>
                <w:bCs w:val="false"/>
                <w:sz w:val="20"/>
                <w:szCs w:val="20"/>
              </w:rPr>
              <w:t xml:space="preserve">0.978</w:t>
            </w:r>
          </w:p>
        </w:tc>
        <w:tc>
          <w:tcPr>
            <w:tcW w:type="dxa" w:w="1500"/>
          </w:tcPr>
          <w:p>
            <w:r>
              <w:rPr>
                <w:b w:val="false"/>
                <w:bCs w:val="false"/>
                <w:sz w:val="20"/>
                <w:szCs w:val="20"/>
              </w:rPr>
              <w:t xml:space="preserve">Not significant</w:t>
            </w:r>
          </w:p>
        </w:tc>
      </w:tr>
    </w:tbl>
    <w:p>
      <w:pPr>
        <w:spacing w:after="160"/>
      </w:pPr>
      <w:r>
        <w:rPr>
          <w:sz w:val="22"/>
          <w:szCs w:val="22"/>
        </w:rPr>
        <w:t xml:space="preserve"/>
      </w:r>
    </w:p>
    <w:p>
      <w:pPr>
        <w:spacing w:after="160"/>
      </w:pPr>
      <w:r>
        <w:rPr>
          <w:sz w:val="22"/>
          <w:szCs w:val="22"/>
        </w:rPr>
        <w:t xml:space="preserve">Interpretation: Location's effect on Price is highly significant (p &lt; 0.001) — the differences observed in Section 5.2 are extremely unlikely to be due to chance. The Area–Price correlation is similarly robust (p &lt; 0.001, effectively certain given the sample size).</w:t>
      </w:r>
    </w:p>
    <w:p>
      <w:pPr>
        <w:spacing w:after="160"/>
      </w:pPr>
      <w:r>
        <w:rPr>
          <w:sz w:val="22"/>
          <w:szCs w:val="22"/>
        </w:rPr>
        <w:t xml:space="preserve">Property_Type's apparent mild effect on Price, visible in the boxplot comparison in Figure 5, does not reach statistical significance (p = 0.062) — just above the 0.05 threshold. This is a useful reminder that visual patterns require formal testing before being treated as conclusive; a plot can suggest a relationship that, on rigorous testing, is more likely explained by sampling variation.</w:t>
      </w:r>
    </w:p>
    <w:p>
      <w:pPr>
        <w:spacing w:after="160"/>
      </w:pPr>
      <w:r>
        <w:rPr>
          <w:sz w:val="22"/>
          <w:szCs w:val="22"/>
        </w:rPr>
        <w:t xml:space="preserve">Location and Property_Type were confirmed statistically independent (p = 0.978), consistent with the even crosstab distribution observed in Section 5.3.</w:t>
      </w:r>
    </w:p>
    <w:p>
      <w:r>
        <w:br w:type="page"/>
      </w:r>
    </w:p>
    <w:p>
      <w:pPr>
        <w:pStyle w:val="Heading1"/>
        <w:spacing w:after="120" w:before="280"/>
      </w:pPr>
      <w:r>
        <w:t xml:space="preserve">8. Key Findings</w:t>
      </w:r>
    </w:p>
    <w:p>
      <w:pPr>
        <w:pStyle w:val="ListParagraph"/>
        <w:numPr>
          <w:ilvl w:val="0"/>
          <w:numId w:val="1"/>
        </w:numPr>
        <w:spacing w:after="80"/>
      </w:pPr>
      <w:r>
        <w:rPr>
          <w:sz w:val="22"/>
          <w:szCs w:val="22"/>
        </w:rPr>
        <w:t xml:space="preserve">Area is the strongest driver of Price, both by correlation strength (r = 0.80) and statistical significance (p &lt; 0.001).</w:t>
      </w:r>
    </w:p>
    <w:p>
      <w:pPr>
        <w:pStyle w:val="ListParagraph"/>
        <w:numPr>
          <w:ilvl w:val="0"/>
          <w:numId w:val="1"/>
        </w:numPr>
        <w:spacing w:after="80"/>
      </w:pPr>
      <w:r>
        <w:rPr>
          <w:sz w:val="22"/>
          <w:szCs w:val="22"/>
        </w:rPr>
        <w:t xml:space="preserve">Location has a significant, ordered effect on Price: City Center &gt; Suburb &gt; Rural (ANOVA p &lt; 0.001), confirmed at the per-square-foot level as well, not merely a size artifact.</w:t>
      </w:r>
    </w:p>
    <w:p>
      <w:pPr>
        <w:pStyle w:val="ListParagraph"/>
        <w:numPr>
          <w:ilvl w:val="0"/>
          <w:numId w:val="1"/>
        </w:numPr>
        <w:spacing w:after="80"/>
      </w:pPr>
      <w:r>
        <w:rPr>
          <w:sz w:val="22"/>
          <w:szCs w:val="22"/>
        </w:rPr>
        <w:t xml:space="preserve">Property_Type does not have a statistically significant effect on Price (p = 0.062).</w:t>
      </w:r>
    </w:p>
    <w:p>
      <w:pPr>
        <w:pStyle w:val="ListParagraph"/>
        <w:numPr>
          <w:ilvl w:val="0"/>
          <w:numId w:val="1"/>
        </w:numPr>
        <w:spacing w:after="80"/>
      </w:pPr>
      <w:r>
        <w:rPr>
          <w:sz w:val="22"/>
          <w:szCs w:val="22"/>
        </w:rPr>
        <w:t xml:space="preserve">Bedrooms, Bathrooms, and Age show weak or negligible individual relationships with Price.</w:t>
      </w:r>
    </w:p>
    <w:p>
      <w:pPr>
        <w:pStyle w:val="ListParagraph"/>
        <w:numPr>
          <w:ilvl w:val="0"/>
          <w:numId w:val="1"/>
        </w:numPr>
        <w:spacing w:after="80"/>
      </w:pPr>
      <w:r>
        <w:rPr>
          <w:sz w:val="22"/>
          <w:szCs w:val="22"/>
        </w:rPr>
        <w:t xml:space="preserve">Location and Property_Type are statistically independent of each other (p = 0.978).</w:t>
      </w:r>
    </w:p>
    <w:p>
      <w:pPr>
        <w:pStyle w:val="Heading1"/>
        <w:spacing w:after="120" w:before="280"/>
      </w:pPr>
      <w:r>
        <w:t xml:space="preserve">9. Limitations</w:t>
      </w:r>
    </w:p>
    <w:p>
      <w:pPr>
        <w:pStyle w:val="ListParagraph"/>
        <w:numPr>
          <w:ilvl w:val="0"/>
          <w:numId w:val="1"/>
        </w:numPr>
        <w:spacing w:after="80"/>
      </w:pPr>
      <w:r>
        <w:rPr>
          <w:sz w:val="22"/>
          <w:szCs w:val="22"/>
        </w:rPr>
        <w:t xml:space="preserve">Dataset size is moderate (n = 300); findings may not generalize beyond this sample's distribution.</w:t>
      </w:r>
    </w:p>
    <w:p>
      <w:pPr>
        <w:pStyle w:val="ListParagraph"/>
        <w:numPr>
          <w:ilvl w:val="0"/>
          <w:numId w:val="1"/>
        </w:numPr>
        <w:spacing w:after="80"/>
      </w:pPr>
      <w:r>
        <w:rPr>
          <w:sz w:val="22"/>
          <w:szCs w:val="22"/>
        </w:rPr>
        <w:t xml:space="preserve">The dataset displayed no missing values, duplicates, or outliers — cleaner than most real-world data — so the cleaning stage of this report demonstrates methodology more than it reflects a difficult cleaning problem.</w:t>
      </w:r>
    </w:p>
    <w:p>
      <w:pPr>
        <w:pStyle w:val="ListParagraph"/>
        <w:numPr>
          <w:ilvl w:val="0"/>
          <w:numId w:val="1"/>
        </w:numPr>
        <w:spacing w:after="80"/>
      </w:pPr>
      <w:r>
        <w:rPr>
          <w:sz w:val="22"/>
          <w:szCs w:val="22"/>
        </w:rPr>
        <w:t xml:space="preserve">Statistical significance indicates association, not causation — Location's effect on Price may be mediated by unmeasured factors such as local demand or infrastructure.</w:t>
      </w:r>
    </w:p>
    <w:p>
      <w:pPr>
        <w:pStyle w:val="ListParagraph"/>
        <w:numPr>
          <w:ilvl w:val="0"/>
          <w:numId w:val="1"/>
        </w:numPr>
        <w:spacing w:after="80"/>
      </w:pPr>
      <w:r>
        <w:rPr>
          <w:sz w:val="22"/>
          <w:szCs w:val="22"/>
        </w:rPr>
        <w:t xml:space="preserve">Only linear correlation (Pearson) was tested for numeric relationships; non-linear relationships between features and Price were not explored.</w:t>
      </w:r>
    </w:p>
    <w:p>
      <w:pPr>
        <w:pStyle w:val="ListParagraph"/>
        <w:numPr>
          <w:ilvl w:val="0"/>
          <w:numId w:val="1"/>
        </w:numPr>
        <w:spacing w:after="80"/>
      </w:pPr>
      <w:r>
        <w:rPr>
          <w:sz w:val="22"/>
          <w:szCs w:val="22"/>
        </w:rPr>
        <w:t xml:space="preserve">The Property_Type result (p = 0.062) is borderline; a larger sample could shift this conclusion in either direction and would be worth revisiting.</w:t>
      </w:r>
    </w:p>
    <w:p>
      <w:pPr>
        <w:pStyle w:val="Heading1"/>
        <w:spacing w:after="120" w:before="280"/>
      </w:pPr>
      <w:r>
        <w:t xml:space="preserve">10. Recommendations &amp; Next Steps</w:t>
      </w:r>
    </w:p>
    <w:p>
      <w:pPr>
        <w:pStyle w:val="ListParagraph"/>
        <w:numPr>
          <w:ilvl w:val="0"/>
          <w:numId w:val="1"/>
        </w:numPr>
        <w:spacing w:after="80"/>
      </w:pPr>
      <w:r>
        <w:rPr>
          <w:sz w:val="22"/>
          <w:szCs w:val="22"/>
        </w:rPr>
        <w:t xml:space="preserve">Build a regression model predicting Price from Area, Location, and Price_per_sqft to quantify how much combined variance these features explain (R²).</w:t>
      </w:r>
    </w:p>
    <w:p>
      <w:pPr>
        <w:pStyle w:val="ListParagraph"/>
        <w:numPr>
          <w:ilvl w:val="0"/>
          <w:numId w:val="1"/>
        </w:numPr>
        <w:spacing w:after="80"/>
      </w:pPr>
      <w:r>
        <w:rPr>
          <w:sz w:val="22"/>
          <w:szCs w:val="22"/>
        </w:rPr>
        <w:t xml:space="preserve">Deprioritize Property_Type, Bedrooms, Bathrooms, and Age as pricing factors given their weak/non-significant individual effects.</w:t>
      </w:r>
    </w:p>
    <w:p>
      <w:pPr>
        <w:pStyle w:val="ListParagraph"/>
        <w:numPr>
          <w:ilvl w:val="0"/>
          <w:numId w:val="1"/>
        </w:numPr>
        <w:spacing w:after="80"/>
      </w:pPr>
      <w:r>
        <w:rPr>
          <w:sz w:val="22"/>
          <w:szCs w:val="22"/>
        </w:rPr>
        <w:t xml:space="preserve">Collect a larger sample to re-test the borderline Property_Type result with greater statistical power.</w:t>
      </w:r>
    </w:p>
    <w:p>
      <w:pPr>
        <w:pStyle w:val="ListParagraph"/>
        <w:numPr>
          <w:ilvl w:val="0"/>
          <w:numId w:val="1"/>
        </w:numPr>
        <w:spacing w:after="80"/>
      </w:pPr>
      <w:r>
        <w:rPr>
          <w:sz w:val="22"/>
          <w:szCs w:val="22"/>
        </w:rPr>
        <w:t xml:space="preserve">Investigate potential interaction effects, e.g. whether the Area–Price relationship differs by Location.</w:t>
      </w:r>
    </w:p>
    <w:p>
      <w:r>
        <w:br w:type="page"/>
      </w:r>
    </w:p>
    <w:p>
      <w:pPr>
        <w:pStyle w:val="Heading1"/>
        <w:spacing w:after="120" w:before="280"/>
      </w:pPr>
      <w:r>
        <w:t xml:space="preserve">11. Conclusion</w:t>
      </w:r>
    </w:p>
    <w:p>
      <w:pPr>
        <w:spacing w:after="160"/>
      </w:pPr>
      <w:r>
        <w:rPr>
          <w:sz w:val="22"/>
          <w:szCs w:val="22"/>
        </w:rPr>
        <w:t xml:space="preserve">This analysis establishes Area and Location as the primary, statistically validated drivers of property Price in this dataset, while Property_Type, Bedrooms, Bathrooms, and Age contribute little independent signal. The derived Price_per_sqft metric confirmed that Location's price effect reflects genuine value differences rather than a size artifact. Together, the cleaned dataset, documented EDA, and validated hypothesis tests provide a solid, reproducible foundation for a next-stage predictive pricing model.</w:t>
      </w:r>
    </w:p>
    <w:p>
      <w:pPr>
        <w:pStyle w:val="Heading1"/>
        <w:spacing w:after="120" w:before="280"/>
      </w:pPr>
      <w:r>
        <w:t xml:space="preserve">Appendix A — Glossary of Statistical Terms</w:t>
      </w:r>
    </w:p>
    <w:p>
      <w:pPr>
        <w:pStyle w:val="ListParagraph"/>
        <w:numPr>
          <w:ilvl w:val="0"/>
          <w:numId w:val="1"/>
        </w:numPr>
        <w:spacing w:after="80"/>
      </w:pPr>
      <w:r>
        <w:rPr>
          <w:sz w:val="22"/>
          <w:szCs w:val="22"/>
        </w:rPr>
        <w:t xml:space="preserve">IQR (Interquartile Range): the spread of the middle 50% of a dataset (Q3 − Q1); used to flag statistical outliers beyond 1.5×IQR from the quartiles.</w:t>
      </w:r>
    </w:p>
    <w:p>
      <w:pPr>
        <w:pStyle w:val="ListParagraph"/>
        <w:numPr>
          <w:ilvl w:val="0"/>
          <w:numId w:val="1"/>
        </w:numPr>
        <w:spacing w:after="80"/>
      </w:pPr>
      <w:r>
        <w:rPr>
          <w:sz w:val="22"/>
          <w:szCs w:val="22"/>
        </w:rPr>
        <w:t xml:space="preserve">p-value: the probability of observing data this extreme if the null hypothesis were true. Smaller values indicate stronger evidence against the null hypothesis.</w:t>
      </w:r>
    </w:p>
    <w:p>
      <w:pPr>
        <w:pStyle w:val="ListParagraph"/>
        <w:numPr>
          <w:ilvl w:val="0"/>
          <w:numId w:val="1"/>
        </w:numPr>
        <w:spacing w:after="80"/>
      </w:pPr>
      <w:r>
        <w:rPr>
          <w:sz w:val="22"/>
          <w:szCs w:val="22"/>
        </w:rPr>
        <w:t xml:space="preserve">Null hypothesis (H0): the default assumption of "no effect" that a statistical test tries to rule out.</w:t>
      </w:r>
    </w:p>
    <w:p>
      <w:pPr>
        <w:pStyle w:val="ListParagraph"/>
        <w:numPr>
          <w:ilvl w:val="0"/>
          <w:numId w:val="1"/>
        </w:numPr>
        <w:spacing w:after="80"/>
      </w:pPr>
      <w:r>
        <w:rPr>
          <w:sz w:val="22"/>
          <w:szCs w:val="22"/>
        </w:rPr>
        <w:t xml:space="preserve">ANOVA (Analysis of Variance): a test comparing means across three or more groups to determine if at least one differs significantly.</w:t>
      </w:r>
    </w:p>
    <w:p>
      <w:pPr>
        <w:pStyle w:val="ListParagraph"/>
        <w:numPr>
          <w:ilvl w:val="0"/>
          <w:numId w:val="1"/>
        </w:numPr>
        <w:spacing w:after="80"/>
      </w:pPr>
      <w:r>
        <w:rPr>
          <w:sz w:val="22"/>
          <w:szCs w:val="22"/>
        </w:rPr>
        <w:t xml:space="preserve">Pearson correlation (r): a measure from -1 to +1 of the strength and direction of a linear relationship between two numeric variables.</w:t>
      </w:r>
    </w:p>
    <w:p>
      <w:pPr>
        <w:pStyle w:val="ListParagraph"/>
        <w:numPr>
          <w:ilvl w:val="0"/>
          <w:numId w:val="1"/>
        </w:numPr>
        <w:spacing w:after="80"/>
      </w:pPr>
      <w:r>
        <w:rPr>
          <w:sz w:val="22"/>
          <w:szCs w:val="22"/>
        </w:rPr>
        <w:t xml:space="preserve">Chi-square test: a test of association between two categorical variables, comparing observed vs expected frequencies.</w:t>
      </w:r>
    </w:p>
    <w:p>
      <w:pPr>
        <w:pStyle w:val="ListParagraph"/>
        <w:numPr>
          <w:ilvl w:val="0"/>
          <w:numId w:val="1"/>
        </w:numPr>
        <w:spacing w:after="80"/>
      </w:pPr>
      <w:r>
        <w:rPr>
          <w:sz w:val="22"/>
          <w:szCs w:val="22"/>
        </w:rPr>
        <w:t xml:space="preserve">Skewness: a measure of distribution asymmetry; values near 0 indicate a symmetric distribution, larger magnitudes indicate a longer tail on one side.</w:t>
      </w:r>
    </w:p>
    <w:p>
      <w:pPr>
        <w:pStyle w:val="Heading1"/>
        <w:spacing w:after="120" w:before="280"/>
      </w:pPr>
      <w:r>
        <w:t xml:space="preserve">Appendix B — Source Files</w:t>
      </w:r>
    </w:p>
    <w:p>
      <w:pPr>
        <w:pStyle w:val="ListParagraph"/>
        <w:numPr>
          <w:ilvl w:val="0"/>
          <w:numId w:val="1"/>
        </w:numPr>
        <w:spacing w:after="80"/>
      </w:pPr>
      <w:r>
        <w:rPr>
          <w:sz w:val="22"/>
          <w:szCs w:val="22"/>
        </w:rPr>
        <w:t xml:space="preserve">1_data_cleaning.ipynb — data profiling, quality checks, export to clean_data.csv</w:t>
      </w:r>
    </w:p>
    <w:p>
      <w:pPr>
        <w:pStyle w:val="ListParagraph"/>
        <w:numPr>
          <w:ilvl w:val="0"/>
          <w:numId w:val="1"/>
        </w:numPr>
        <w:spacing w:after="80"/>
      </w:pPr>
      <w:r>
        <w:rPr>
          <w:sz w:val="22"/>
          <w:szCs w:val="22"/>
        </w:rPr>
        <w:t xml:space="preserve">2_eda.ipynb — univariate and bivariate exploratory analysis</w:t>
      </w:r>
    </w:p>
    <w:p>
      <w:pPr>
        <w:pStyle w:val="ListParagraph"/>
        <w:numPr>
          <w:ilvl w:val="0"/>
          <w:numId w:val="1"/>
        </w:numPr>
        <w:spacing w:after="80"/>
      </w:pPr>
      <w:r>
        <w:rPr>
          <w:sz w:val="22"/>
          <w:szCs w:val="22"/>
        </w:rPr>
        <w:t xml:space="preserve">3_analysis.ipynb — hypothesis testing (ANOVA, Pearson correlation, Chi-square)</w:t>
      </w:r>
    </w:p>
    <w:p>
      <w:pPr>
        <w:pStyle w:val="ListParagraph"/>
        <w:numPr>
          <w:ilvl w:val="0"/>
          <w:numId w:val="1"/>
        </w:numPr>
        <w:spacing w:after="80"/>
      </w:pPr>
      <w:r>
        <w:rPr>
          <w:sz w:val="22"/>
          <w:szCs w:val="22"/>
        </w:rPr>
        <w:t xml:space="preserve">clean_data.csv — validated dataset used throughout this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3483c5c0a56499df663188469e3f462c958970.png"/><Relationship Id="rId8" Type="http://schemas.openxmlformats.org/officeDocument/2006/relationships/image" Target="media/0965b1dfa35ca9d335a2ec029678590aec4c0617.png"/><Relationship Id="rId9" Type="http://schemas.openxmlformats.org/officeDocument/2006/relationships/image" Target="media/60cf5b230f372bd296a349439e11ceffb8fa61ee.png"/><Relationship Id="rId10" Type="http://schemas.openxmlformats.org/officeDocument/2006/relationships/image" Target="media/b3dd865359eddaf262c29f3b2196470f8eb11ef2.png"/><Relationship Id="rId11" Type="http://schemas.openxmlformats.org/officeDocument/2006/relationships/image" Target="media/e8f6736b820a606ac2755862bb1fe001f827b4f8.png"/><Relationship Id="rId12" Type="http://schemas.openxmlformats.org/officeDocument/2006/relationships/image" Target="media/41ff59a7a430ee9d06b5122ba6260c991caaae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2026-08-13T08:29:25.797Z</dcterms:created>
  <dcterms:modified xsi:type="dcterms:W3CDTF">2026-08-13T08:29:25.809Z</dcterms:modified>
</cp:coreProperties>
</file>

<file path=docProps/custom.xml><?xml version="1.0" encoding="utf-8"?>
<Properties xmlns="http://schemas.openxmlformats.org/officeDocument/2006/custom-properties" xmlns:vt="http://schemas.openxmlformats.org/officeDocument/2006/docPropsVTypes"/>
</file>