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Supplementary Material</w:t>
      </w:r>
    </w:p>
    <w:p>
      <w:pPr/>
      <w:r>
        <w:rPr>
          <w:i/>
        </w:rPr>
        <w:t xml:space="preserve">When Supply Chain Recovery Data Disagree: Measurement Validity and Event Reconstruction in Pharmaceutical Shortages</w:t>
      </w:r>
    </w:p>
    <w:p>
      <w:pPr/>
      <w:r>
        <w:t xml:space="preserve">Oct 23, 2026</w:t>
      </w:r>
      <w:r>
        <w:t xml:space="preserve"> · </w:t>
      </w:r>
      <w:r>
        <w:t xml:space="preserve">@Rishabh</w:t>
      </w:r>
    </w:p>
    <w:p>
      <w:pPr/>
      <w:r>
        <w:t>Submitted separately to Operations and Supply Chain Management: An International Journal. All tables are generated by the scripts in the public repository (github.com/rishabhrana863/Shortage_Measurement_Validity, analysis baseline 0e57d57; supplementary commit 541e3b0); file names are given under each table.</w:t>
      </w:r>
    </w:p>
    <w:p>
      <w:pPr>
        <w:pStyle w:val="Heading2"/>
      </w:pPr>
      <w:r>
        <w:t xml:space="preserve">S1. Pharmaceutical identity and formulation harmonisation</w:t>
      </w:r>
    </w:p>
    <w:p>
      <w:pPr>
        <w:pStyle w:val="Heading3"/>
      </w:pPr>
      <w:r>
        <w:t xml:space="preserve">S1.1 Parsing</w:t>
      </w:r>
    </w:p>
    <w:p>
      <w:pPr/>
      <w:r>
        <w:t xml:space="preserve">Each product name is parsed into: ingredient base (salts and esters recorded separately, never merged); salt; administration family (oral, parenteral, ophthalmic, topical, inhalation, nasal, otic, rectal, vaginal, transdermal, buccal/sublingual, irrigation, dialysis); formulation (tablet, capsule, solution, powder for reconstitution, suspension, emulsion, ointment, cream, gel, spray, patch, drops, strips, kit, inhalation); release (immediate, extended, delayed); strength tokens; presentation markers (bag, vial, syringe, ampule); combination flag. Level-1 identity: HIGH when ingredient, family, formulation and release agree and no presentation conflicts; MEDIUM when ingredient and family agree but formulation is unknown on one side; LOW when only the ingredient agrees or a presentation conflicts. Script: </w:t>
      </w:r>
      <w:r>
        <w:rPr>
          <w:rStyle w:val="CodeChar"/>
        </w:rPr>
        <w:t xml:space="preserve">scripts/ashp_fda_crosswalk.py</w:t>
      </w:r>
      <w:r>
        <w:t xml:space="preserve">.</w:t>
      </w:r>
    </w:p>
    <w:p>
      <w:pPr>
        <w:pStyle w:val="Heading3"/>
      </w:pPr>
      <w:r>
        <w:t xml:space="preserve">S1.2 Orange Book dosage-form/route harmonisation</w:t>
      </w:r>
    </w:p>
    <w:p>
      <w:pPr/>
      <w:r>
        <w:t xml:space="preserve">The 304 distinct </w:t>
      </w:r>
      <w:r>
        <w:rPr>
          <w:rStyle w:val="CodeChar"/>
        </w:rPr>
        <w:t xml:space="preserve">DF;Route</w:t>
      </w:r>
      <w:r>
        <w:t xml:space="preserve"> strings in the September 2026 Orange Book were mapped to 179 equivalence groups of the form </w:t>
      </w:r>
      <w:r>
        <w:rPr>
          <w:i/>
        </w:rPr>
        <w:t xml:space="preserve">family | formulation</w:t>
      </w:r>
      <w:r>
        <w:t xml:space="preserve">, preserving release and reconstitution status. Reviewer decisions, recorded per label in </w:t>
      </w:r>
      <w:r>
        <w:rPr>
          <w:rStyle w:val="CodeChar"/>
        </w:rPr>
        <w:t xml:space="preserve">taxonomy/form_route_harmonization.csv</w:t>
      </w:r>
      <w:r>
        <w:t xml:space="preserve">:</w:t>
      </w:r>
    </w:p>
    <w:tbl>
      <w:tblPr>
        <w:tblStyle w:val="TableGrid"/>
        <w:tblW w:w="0" w:type="auto"/>
        <w:tblLayout w:type="fixed"/>
        <w:tblLook w:val="04A0" w:firstRow="1" w:lastRow="0" w:firstColumn="0" w:lastColumn="0" w:noHBand="0" w:noVBand="1"/>
      </w:tblPr>
      <w:tblGrid>
        <w:gridCol w:w="3076"/>
        <w:gridCol w:w="1015"/>
        <w:gridCol w:w="5268"/>
      </w:tblGrid>
      <w:tr>
        <w:trPr>
          <w:tblHeader/>
        </w:trPr>
        <w:tc>
          <w:tcPr>
            <w:tcW w:w="3076" w:type="dxa"/>
            <w:shd w:val="clear" w:color="auto" w:fill="F2F2F2"/>
          </w:tcPr>
          <w:p>
            <w:pPr/>
            <w:r>
              <w:t xml:space="preserve">Decision</w:t>
            </w:r>
          </w:p>
        </w:tc>
        <w:tc>
          <w:tcPr>
            <w:tcW w:w="1015" w:type="dxa"/>
            <w:shd w:val="clear" w:color="auto" w:fill="F2F2F2"/>
          </w:tcPr>
          <w:p>
            <w:pPr/>
            <w:r>
              <w:t xml:space="preserve">Labels</w:t>
            </w:r>
          </w:p>
        </w:tc>
        <w:tc>
          <w:tcPr>
            <w:tcW w:w="5268" w:type="dxa"/>
            <w:shd w:val="clear" w:color="auto" w:fill="F2F2F2"/>
          </w:tcPr>
          <w:p>
            <w:pPr/>
            <w:r>
              <w:t xml:space="preserve">Treatment</w:t>
            </w:r>
          </w:p>
        </w:tc>
      </w:tr>
      <w:tr>
        <w:tc>
          <w:tcPr>
            <w:tcW w:w="3076" w:type="dxa"/>
          </w:tcPr>
          <w:p>
            <w:pPr/>
            <w:r>
              <w:t xml:space="preserve">ACCEPT</w:t>
            </w:r>
          </w:p>
        </w:tc>
        <w:tc>
          <w:tcPr>
            <w:tcW w:w="1015" w:type="dxa"/>
          </w:tcPr>
          <w:p>
            <w:pPr/>
            <w:r>
              <w:t xml:space="preserve">202</w:t>
            </w:r>
          </w:p>
        </w:tc>
        <w:tc>
          <w:tcPr>
            <w:tcW w:w="5268" w:type="dxa"/>
          </w:tcPr>
          <w:p>
            <w:pPr/>
            <w:r>
              <w:t xml:space="preserve">wording standardisation only</w:t>
            </w:r>
          </w:p>
        </w:tc>
      </w:tr>
      <w:tr>
        <w:tc>
          <w:tcPr>
            <w:tcW w:w="3076" w:type="dxa"/>
          </w:tcPr>
          <w:p>
            <w:pPr/>
            <w:r>
              <w:t xml:space="preserve">ACCEPT_CONDITIONAL</w:t>
            </w:r>
          </w:p>
        </w:tc>
        <w:tc>
          <w:tcPr>
            <w:tcW w:w="1015" w:type="dxa"/>
          </w:tcPr>
          <w:p>
            <w:pPr/>
            <w:r>
              <w:t xml:space="preserve">11</w:t>
            </w:r>
          </w:p>
        </w:tc>
        <w:tc>
          <w:tcPr>
            <w:tcW w:w="5268" w:type="dxa"/>
          </w:tcPr>
          <w:p>
            <w:pPr/>
            <w:r>
              <w:t xml:space="preserve">legacy injectable labels, resolved per product row (S1.3)</w:t>
            </w:r>
          </w:p>
        </w:tc>
      </w:tr>
      <w:tr>
        <w:tc>
          <w:tcPr>
            <w:tcW w:w="3076" w:type="dxa"/>
          </w:tcPr>
          <w:p>
            <w:pPr/>
            <w:r>
              <w:t xml:space="preserve">REVISE then ACCEPT</w:t>
            </w:r>
          </w:p>
        </w:tc>
        <w:tc>
          <w:tcPr>
            <w:tcW w:w="1015" w:type="dxa"/>
          </w:tcPr>
          <w:p>
            <w:pPr/>
            <w:r>
              <w:t xml:space="preserve">11</w:t>
            </w:r>
          </w:p>
        </w:tc>
        <w:tc>
          <w:tcPr>
            <w:tcW w:w="5268" w:type="dxa"/>
          </w:tcPr>
          <w:p>
            <w:pPr/>
            <w:r>
              <w:t xml:space="preserve">oral liquids kept as distinct subtypes (solution, suspension, syrup, elixir, concentrate)</w:t>
            </w:r>
          </w:p>
        </w:tc>
      </w:tr>
      <w:tr>
        <w:tc>
          <w:tcPr>
            <w:tcW w:w="3076" w:type="dxa"/>
          </w:tcPr>
          <w:p>
            <w:pPr/>
            <w:r>
              <w:t xml:space="preserve">REVIEW (held)</w:t>
            </w:r>
          </w:p>
        </w:tc>
        <w:tc>
          <w:tcPr>
            <w:tcW w:w="1015" w:type="dxa"/>
          </w:tcPr>
          <w:p>
            <w:pPr/>
            <w:r>
              <w:t xml:space="preserve">80</w:t>
            </w:r>
          </w:p>
        </w:tc>
        <w:tc>
          <w:tcPr>
            <w:tcW w:w="5268" w:type="dxa"/>
          </w:tcPr>
          <w:p>
            <w:pPr/>
            <w:r>
              <w:t xml:space="preserve">multi-family routes, co-packaged forms, coated pellets, </w:t>
            </w:r>
            <w:r>
              <w:rPr>
                <w:rStyle w:val="CodeChar"/>
              </w:rPr>
              <w:t xml:space="preserve">LIQUID;N/A</w:t>
            </w:r>
            <w:r>
              <w:t xml:space="preserve">, inhalation and nasal device variants</w:t>
            </w:r>
          </w:p>
        </w:tc>
      </w:tr>
    </w:tbl>
    <w:p>
      <w:pPr>
        <w:pStyle w:val="Heading3"/>
      </w:pPr>
      <w:r>
        <w:t xml:space="preserve">S1.3 Legacy injectable resolution</w:t>
      </w:r>
    </w:p>
    <w:p>
      <w:pPr/>
      <w:r>
        <w:t xml:space="preserve">Legacy </w:t>
      </w:r>
      <w:r>
        <w:rPr>
          <w:rStyle w:val="CodeChar"/>
        </w:rPr>
        <w:t xml:space="preserve">INJECTABLE;…</w:t>
      </w:r>
      <w:r>
        <w:t xml:space="preserve"> labels (7,964 product rows, 4,978 applications) do not state solution versus powder. Each row was classified in a three-tier hierarchy: CONFIRMED from a specific NDC Directory dosage form for the same application, or from a premixed/dual-chamber trade-name marker; PROVISIONAL from strength pattern (per-container denominators to powder, concentration to solution, prefilled devices to solution) with verified overrides for liquids expressed per vial; UNRESOLVED otherwise. A strength-derived provisional class contradicting a confirmed class at the same ingredient and strength is held for review rather than overridden.</w:t>
      </w:r>
    </w:p>
    <w:p>
      <w:pPr/>
      <w:r>
        <w:rPr>
          <w:b/>
        </w:rPr>
        <w:t xml:space="preserve">Table S1. Validation of the strength rule against NDC Directory dosage forms</w:t>
      </w:r>
    </w:p>
    <w:tbl>
      <w:tblPr>
        <w:tblStyle w:val="TableGrid"/>
        <w:tblW w:w="0" w:type="auto"/>
        <w:tblLayout w:type="fixed"/>
        <w:tblLook w:val="04A0" w:firstRow="1" w:lastRow="0" w:firstColumn="0" w:lastColumn="0" w:noHBand="0" w:noVBand="1"/>
      </w:tblPr>
      <w:tblGrid>
        <w:gridCol w:w="2895"/>
        <w:gridCol w:w="2500"/>
        <w:gridCol w:w="3965"/>
      </w:tblGrid>
      <w:tr>
        <w:trPr>
          <w:tblHeader/>
        </w:trPr>
        <w:tc>
          <w:tcPr>
            <w:tcW w:w="2895" w:type="dxa"/>
            <w:shd w:val="clear" w:color="auto" w:fill="F2F2F2"/>
          </w:tcPr>
          <w:p>
            <w:pPr/>
            <w:r>
              <w:t xml:space="preserve">True class (NDC form)</w:t>
            </w:r>
          </w:p>
        </w:tc>
        <w:tc>
          <w:tcPr>
            <w:tcW w:w="2500" w:type="dxa"/>
            <w:shd w:val="clear" w:color="auto" w:fill="F2F2F2"/>
          </w:tcPr>
          <w:p>
            <w:pPr/>
            <w:r>
              <w:t xml:space="preserve">Strength rule agrees</w:t>
            </w:r>
          </w:p>
        </w:tc>
        <w:tc>
          <w:tcPr>
            <w:tcW w:w="3965" w:type="dxa"/>
            <w:shd w:val="clear" w:color="auto" w:fill="F2F2F2"/>
          </w:tcPr>
          <w:p>
            <w:pPr/>
            <w:r>
              <w:t xml:space="preserve">Note</w:t>
            </w:r>
          </w:p>
        </w:tc>
      </w:tr>
      <w:tr>
        <w:tc>
          <w:tcPr>
            <w:tcW w:w="2895" w:type="dxa"/>
          </w:tcPr>
          <w:p>
            <w:pPr/>
            <w:r>
              <w:t xml:space="preserve">Powder for reconstitution</w:t>
            </w:r>
          </w:p>
        </w:tc>
        <w:tc>
          <w:tcPr>
            <w:tcW w:w="2500" w:type="dxa"/>
          </w:tcPr>
          <w:p>
            <w:pPr/>
            <w:r>
              <w:t xml:space="preserve">636 / 636 (100%)</w:t>
            </w:r>
          </w:p>
        </w:tc>
        <w:tc>
          <w:tcPr>
            <w:tcW w:w="3965" w:type="dxa"/>
          </w:tcPr>
          <w:p>
            <w:pPr/>
          </w:p>
        </w:tc>
      </w:tr>
      <w:tr>
        <w:tc>
          <w:tcPr>
            <w:tcW w:w="2895" w:type="dxa"/>
          </w:tcPr>
          <w:p>
            <w:pPr/>
            <w:r>
              <w:t xml:space="preserve">Ready-to-use solution</w:t>
            </w:r>
          </w:p>
        </w:tc>
        <w:tc>
          <w:tcPr>
            <w:tcW w:w="2500" w:type="dxa"/>
          </w:tcPr>
          <w:p>
            <w:pPr/>
            <w:r>
              <w:t xml:space="preserve">1,988 / 2,034 (97.7%)</w:t>
            </w:r>
          </w:p>
        </w:tc>
        <w:tc>
          <w:tcPr>
            <w:tcW w:w="3965" w:type="dxa"/>
          </w:tcPr>
          <w:p>
            <w:pPr/>
            <w:r>
              <w:t xml:space="preserve">46 liquids expressed per vial, syringe or bag</w:t>
            </w:r>
          </w:p>
        </w:tc>
      </w:tr>
      <w:tr>
        <w:tc>
          <w:tcPr>
            <w:tcW w:w="2895" w:type="dxa"/>
          </w:tcPr>
          <w:p>
            <w:pPr/>
            <w:r>
              <w:t xml:space="preserve">Suspension</w:t>
            </w:r>
          </w:p>
        </w:tc>
        <w:tc>
          <w:tcPr>
            <w:tcW w:w="2500" w:type="dxa"/>
          </w:tcPr>
          <w:p>
            <w:pPr/>
            <w:r>
              <w:t xml:space="preserve">0 / 45</w:t>
            </w:r>
          </w:p>
        </w:tc>
        <w:tc>
          <w:tcPr>
            <w:tcW w:w="3965" w:type="dxa"/>
          </w:tcPr>
          <w:p>
            <w:pPr/>
            <w:r>
              <w:t xml:space="preserve">not distinguishable by strength; resolved by NDC form only</w:t>
            </w:r>
          </w:p>
        </w:tc>
      </w:tr>
      <w:tr>
        <w:tc>
          <w:tcPr>
            <w:tcW w:w="2895" w:type="dxa"/>
          </w:tcPr>
          <w:p>
            <w:pPr/>
            <w:r>
              <w:t xml:space="preserve">Emulsion</w:t>
            </w:r>
          </w:p>
        </w:tc>
        <w:tc>
          <w:tcPr>
            <w:tcW w:w="2500" w:type="dxa"/>
          </w:tcPr>
          <w:p>
            <w:pPr/>
            <w:r>
              <w:t xml:space="preserve">0 / 22</w:t>
            </w:r>
          </w:p>
        </w:tc>
        <w:tc>
          <w:tcPr>
            <w:tcW w:w="3965" w:type="dxa"/>
          </w:tcPr>
          <w:p>
            <w:pPr/>
            <w:r>
              <w:t xml:space="preserve">not distinguishable by strength; resolved by NDC form only</w:t>
            </w:r>
          </w:p>
        </w:tc>
      </w:tr>
    </w:tbl>
    <w:p>
      <w:pPr/>
      <w:r>
        <w:t xml:space="preserve">False-powder rate 46 / 682 (6.7%); false-solution rate 0 / 2,055. Final tiers after corrections: 3,124 CONFIRMED, 4,605 PROVISIONAL, 235 UNRESOLVED, with 379 provisional rows moved to review by the contradiction safeguard. Files: </w:t>
      </w:r>
      <w:r>
        <w:rPr>
          <w:rStyle w:val="CodeChar"/>
        </w:rPr>
        <w:t xml:space="preserve">taxonomy/legacy_injectable_audit.csv</w:t>
      </w:r>
      <w:r>
        <w:t xml:space="preserve">, </w:t>
      </w:r>
      <w:r>
        <w:rPr>
          <w:rStyle w:val="CodeChar"/>
        </w:rPr>
        <w:t xml:space="preserve">taxonomy/legacy_injectable_exceptions.csv</w:t>
      </w:r>
      <w:r>
        <w:t xml:space="preserve">.</w:t>
      </w:r>
    </w:p>
    <w:p>
      <w:pPr>
        <w:pStyle w:val="Heading2"/>
      </w:pPr>
      <w:r>
        <w:t xml:space="preserve">S2. Archived FDA capture provenance</w:t>
      </w:r>
    </w:p>
    <w:p>
      <w:pPr/>
      <w:r>
        <w:t xml:space="preserve">Thirty-nine captures of the FDA Drug Shortage Database were retrieved from the Internet Archive (39 files on 38 distinct dates; the two captures of 30 October 2020 are treated as one observation). Each row gives the capture's record counts and the first 16 hexadecimal characters of its SHA-256; full hashes and complete Wayback URLs (of the form https://web.archive.org/web/&lt;timestamp&gt;id_/https://www.accessdata.fda.gov/scripts/drugshortages/Drugshortages.cfm) are in </w:t>
      </w:r>
      <w:r>
        <w:rPr>
          <w:rStyle w:val="CodeChar"/>
        </w:rPr>
        <w:t xml:space="preserve">audits/stage4_reconstruction_comparison/S2_snapshot_provenance.csv</w:t>
      </w:r>
      <w:r>
        <w:t xml:space="preserve">. The captures themselves are not redistributed. The longest gaps between consecutive dates are 308 days (30 Nov 2021 to 4 Oct 2022) and 184 days (14 May to 14 Nov 2023). Note the fall in resolved and discontinuation counts at captures 19, 25 and 37, consistent with FDA's periodic removal of resolved listings.</w:t>
      </w:r>
    </w:p>
    <w:p>
      <w:pPr/>
      <w:r>
        <w:rPr>
          <w:b/>
        </w:rPr>
        <w:t xml:space="preserve">Table S2. Archived captures</w:t>
      </w:r>
    </w:p>
    <w:tbl>
      <w:tblPr>
        <w:tblStyle w:val="TableGrid"/>
        <w:tblW w:w="0" w:type="auto"/>
        <w:tblLayout w:type="fixed"/>
        <w:tblLook w:val="04A0" w:firstRow="1" w:lastRow="0" w:firstColumn="0" w:lastColumn="0" w:noHBand="0" w:noVBand="1"/>
      </w:tblPr>
      <w:tblGrid>
        <w:gridCol w:w="720"/>
        <w:gridCol w:w="1142"/>
        <w:gridCol w:w="836"/>
        <w:gridCol w:w="988"/>
        <w:gridCol w:w="1170"/>
        <w:gridCol w:w="1107"/>
        <w:gridCol w:w="1798"/>
        <w:gridCol w:w="1599"/>
      </w:tblGrid>
      <w:tr>
        <w:trPr>
          <w:tblHeader/>
        </w:trPr>
        <w:tc>
          <w:tcPr>
            <w:tcW w:w="720" w:type="dxa"/>
            <w:shd w:val="clear" w:color="auto" w:fill="F2F2F2"/>
          </w:tcPr>
          <w:p>
            <w:pPr/>
            <w:r>
              <w:t xml:space="preserve">#</w:t>
            </w:r>
          </w:p>
        </w:tc>
        <w:tc>
          <w:tcPr>
            <w:tcW w:w="1142" w:type="dxa"/>
            <w:shd w:val="clear" w:color="auto" w:fill="F2F2F2"/>
          </w:tcPr>
          <w:p>
            <w:pPr/>
            <w:r>
              <w:t xml:space="preserve">Capture date</w:t>
            </w:r>
          </w:p>
        </w:tc>
        <w:tc>
          <w:tcPr>
            <w:tcW w:w="836" w:type="dxa"/>
            <w:shd w:val="clear" w:color="auto" w:fill="F2F2F2"/>
          </w:tcPr>
          <w:p>
            <w:pPr/>
            <w:r>
              <w:t xml:space="preserve">Rows</w:t>
            </w:r>
          </w:p>
        </w:tc>
        <w:tc>
          <w:tcPr>
            <w:tcW w:w="988" w:type="dxa"/>
            <w:shd w:val="clear" w:color="auto" w:fill="F2F2F2"/>
          </w:tcPr>
          <w:p>
            <w:pPr/>
            <w:r>
              <w:t xml:space="preserve">Current</w:t>
            </w:r>
          </w:p>
        </w:tc>
        <w:tc>
          <w:tcPr>
            <w:tcW w:w="1170" w:type="dxa"/>
            <w:shd w:val="clear" w:color="auto" w:fill="F2F2F2"/>
          </w:tcPr>
          <w:p>
            <w:pPr/>
            <w:r>
              <w:t xml:space="preserve">Resolved</w:t>
            </w:r>
          </w:p>
        </w:tc>
        <w:tc>
          <w:tcPr>
            <w:tcW w:w="1107" w:type="dxa"/>
            <w:shd w:val="clear" w:color="auto" w:fill="F2F2F2"/>
          </w:tcPr>
          <w:p>
            <w:pPr/>
            <w:r>
              <w:t xml:space="preserve">Discont.</w:t>
            </w:r>
          </w:p>
        </w:tc>
        <w:tc>
          <w:tcPr>
            <w:tcW w:w="1798" w:type="dxa"/>
            <w:shd w:val="clear" w:color="auto" w:fill="F2F2F2"/>
          </w:tcPr>
          <w:p>
            <w:pPr/>
            <w:r>
              <w:t xml:space="preserve">SHA-256 (first 16)</w:t>
            </w:r>
          </w:p>
        </w:tc>
        <w:tc>
          <w:tcPr>
            <w:tcW w:w="1599" w:type="dxa"/>
            <w:shd w:val="clear" w:color="auto" w:fill="F2F2F2"/>
          </w:tcPr>
          <w:p>
            <w:pPr/>
            <w:r>
              <w:t xml:space="preserve">Wayback timestamp</w:t>
            </w:r>
          </w:p>
        </w:tc>
      </w:tr>
      <w:tr>
        <w:tc>
          <w:tcPr>
            <w:tcW w:w="720" w:type="dxa"/>
          </w:tcPr>
          <w:p>
            <w:pPr/>
            <w:r>
              <w:t xml:space="preserve">1</w:t>
            </w:r>
          </w:p>
        </w:tc>
        <w:tc>
          <w:tcPr>
            <w:tcW w:w="1142" w:type="dxa"/>
          </w:tcPr>
          <w:p>
            <w:pPr/>
            <w:r>
              <w:t xml:space="preserve">2019-12-29</w:t>
            </w:r>
          </w:p>
        </w:tc>
        <w:tc>
          <w:tcPr>
            <w:tcW w:w="836" w:type="dxa"/>
          </w:tcPr>
          <w:p>
            <w:pPr/>
            <w:r>
              <w:t xml:space="preserve">2232</w:t>
            </w:r>
          </w:p>
        </w:tc>
        <w:tc>
          <w:tcPr>
            <w:tcW w:w="988" w:type="dxa"/>
          </w:tcPr>
          <w:p>
            <w:pPr/>
            <w:r>
              <w:t xml:space="preserve">1219</w:t>
            </w:r>
          </w:p>
        </w:tc>
        <w:tc>
          <w:tcPr>
            <w:tcW w:w="1170" w:type="dxa"/>
          </w:tcPr>
          <w:p>
            <w:pPr/>
            <w:r>
              <w:t xml:space="preserve">352</w:t>
            </w:r>
          </w:p>
        </w:tc>
        <w:tc>
          <w:tcPr>
            <w:tcW w:w="1107" w:type="dxa"/>
          </w:tcPr>
          <w:p>
            <w:pPr/>
            <w:r>
              <w:t xml:space="preserve">661</w:t>
            </w:r>
          </w:p>
        </w:tc>
        <w:tc>
          <w:tcPr>
            <w:tcW w:w="1798" w:type="dxa"/>
          </w:tcPr>
          <w:p>
            <w:pPr/>
            <w:r>
              <w:rPr>
                <w:rStyle w:val="CodeChar"/>
              </w:rPr>
              <w:t xml:space="preserve">00d69feff264b10b</w:t>
            </w:r>
          </w:p>
        </w:tc>
        <w:tc>
          <w:tcPr>
            <w:tcW w:w="1599" w:type="dxa"/>
          </w:tcPr>
          <w:p>
            <w:pPr/>
            <w:r>
              <w:t xml:space="preserve">20191229133343</w:t>
            </w:r>
          </w:p>
        </w:tc>
      </w:tr>
      <w:tr>
        <w:tc>
          <w:tcPr>
            <w:tcW w:w="720" w:type="dxa"/>
          </w:tcPr>
          <w:p>
            <w:pPr/>
            <w:r>
              <w:t xml:space="preserve">2</w:t>
            </w:r>
          </w:p>
        </w:tc>
        <w:tc>
          <w:tcPr>
            <w:tcW w:w="1142" w:type="dxa"/>
          </w:tcPr>
          <w:p>
            <w:pPr/>
            <w:r>
              <w:t xml:space="preserve">2020-04-02</w:t>
            </w:r>
          </w:p>
        </w:tc>
        <w:tc>
          <w:tcPr>
            <w:tcW w:w="836" w:type="dxa"/>
          </w:tcPr>
          <w:p>
            <w:pPr/>
            <w:r>
              <w:t xml:space="preserve">2304</w:t>
            </w:r>
          </w:p>
        </w:tc>
        <w:tc>
          <w:tcPr>
            <w:tcW w:w="988" w:type="dxa"/>
          </w:tcPr>
          <w:p>
            <w:pPr/>
            <w:r>
              <w:t xml:space="preserve">1055</w:t>
            </w:r>
          </w:p>
        </w:tc>
        <w:tc>
          <w:tcPr>
            <w:tcW w:w="1170" w:type="dxa"/>
          </w:tcPr>
          <w:p>
            <w:pPr/>
            <w:r>
              <w:t xml:space="preserve">540</w:t>
            </w:r>
          </w:p>
        </w:tc>
        <w:tc>
          <w:tcPr>
            <w:tcW w:w="1107" w:type="dxa"/>
          </w:tcPr>
          <w:p>
            <w:pPr/>
            <w:r>
              <w:t xml:space="preserve">709</w:t>
            </w:r>
          </w:p>
        </w:tc>
        <w:tc>
          <w:tcPr>
            <w:tcW w:w="1798" w:type="dxa"/>
          </w:tcPr>
          <w:p>
            <w:pPr/>
            <w:r>
              <w:rPr>
                <w:rStyle w:val="CodeChar"/>
              </w:rPr>
              <w:t xml:space="preserve">bfce65ed504b0f91</w:t>
            </w:r>
          </w:p>
        </w:tc>
        <w:tc>
          <w:tcPr>
            <w:tcW w:w="1599" w:type="dxa"/>
          </w:tcPr>
          <w:p>
            <w:pPr/>
            <w:r>
              <w:t xml:space="preserve">20200402141259</w:t>
            </w:r>
          </w:p>
        </w:tc>
      </w:tr>
      <w:tr>
        <w:tc>
          <w:tcPr>
            <w:tcW w:w="720" w:type="dxa"/>
          </w:tcPr>
          <w:p>
            <w:pPr/>
            <w:r>
              <w:t xml:space="preserve">3</w:t>
            </w:r>
          </w:p>
        </w:tc>
        <w:tc>
          <w:tcPr>
            <w:tcW w:w="1142" w:type="dxa"/>
          </w:tcPr>
          <w:p>
            <w:pPr/>
            <w:r>
              <w:t xml:space="preserve">2020-06-12</w:t>
            </w:r>
          </w:p>
        </w:tc>
        <w:tc>
          <w:tcPr>
            <w:tcW w:w="836" w:type="dxa"/>
          </w:tcPr>
          <w:p>
            <w:pPr/>
            <w:r>
              <w:t xml:space="preserve">2716</w:t>
            </w:r>
          </w:p>
        </w:tc>
        <w:tc>
          <w:tcPr>
            <w:tcW w:w="988" w:type="dxa"/>
          </w:tcPr>
          <w:p>
            <w:pPr/>
            <w:r>
              <w:t xml:space="preserve">1312</w:t>
            </w:r>
          </w:p>
        </w:tc>
        <w:tc>
          <w:tcPr>
            <w:tcW w:w="1170" w:type="dxa"/>
          </w:tcPr>
          <w:p>
            <w:pPr/>
            <w:r>
              <w:t xml:space="preserve">579</w:t>
            </w:r>
          </w:p>
        </w:tc>
        <w:tc>
          <w:tcPr>
            <w:tcW w:w="1107" w:type="dxa"/>
          </w:tcPr>
          <w:p>
            <w:pPr/>
            <w:r>
              <w:t xml:space="preserve">825</w:t>
            </w:r>
          </w:p>
        </w:tc>
        <w:tc>
          <w:tcPr>
            <w:tcW w:w="1798" w:type="dxa"/>
          </w:tcPr>
          <w:p>
            <w:pPr/>
            <w:r>
              <w:rPr>
                <w:rStyle w:val="CodeChar"/>
              </w:rPr>
              <w:t xml:space="preserve">ab65c5973f6a438d</w:t>
            </w:r>
          </w:p>
        </w:tc>
        <w:tc>
          <w:tcPr>
            <w:tcW w:w="1599" w:type="dxa"/>
          </w:tcPr>
          <w:p>
            <w:pPr/>
            <w:r>
              <w:t xml:space="preserve">20200612221316</w:t>
            </w:r>
          </w:p>
        </w:tc>
      </w:tr>
      <w:tr>
        <w:tc>
          <w:tcPr>
            <w:tcW w:w="720" w:type="dxa"/>
          </w:tcPr>
          <w:p>
            <w:pPr/>
            <w:r>
              <w:t xml:space="preserve">4</w:t>
            </w:r>
          </w:p>
        </w:tc>
        <w:tc>
          <w:tcPr>
            <w:tcW w:w="1142" w:type="dxa"/>
          </w:tcPr>
          <w:p>
            <w:pPr/>
            <w:r>
              <w:t xml:space="preserve">2020-07-08</w:t>
            </w:r>
          </w:p>
        </w:tc>
        <w:tc>
          <w:tcPr>
            <w:tcW w:w="836" w:type="dxa"/>
          </w:tcPr>
          <w:p>
            <w:pPr/>
            <w:r>
              <w:t xml:space="preserve">2736</w:t>
            </w:r>
          </w:p>
        </w:tc>
        <w:tc>
          <w:tcPr>
            <w:tcW w:w="988" w:type="dxa"/>
          </w:tcPr>
          <w:p>
            <w:pPr/>
            <w:r>
              <w:t xml:space="preserve">1302</w:t>
            </w:r>
          </w:p>
        </w:tc>
        <w:tc>
          <w:tcPr>
            <w:tcW w:w="1170" w:type="dxa"/>
          </w:tcPr>
          <w:p>
            <w:pPr/>
            <w:r>
              <w:t xml:space="preserve">594</w:t>
            </w:r>
          </w:p>
        </w:tc>
        <w:tc>
          <w:tcPr>
            <w:tcW w:w="1107" w:type="dxa"/>
          </w:tcPr>
          <w:p>
            <w:pPr/>
            <w:r>
              <w:t xml:space="preserve">840</w:t>
            </w:r>
          </w:p>
        </w:tc>
        <w:tc>
          <w:tcPr>
            <w:tcW w:w="1798" w:type="dxa"/>
          </w:tcPr>
          <w:p>
            <w:pPr/>
            <w:r>
              <w:rPr>
                <w:rStyle w:val="CodeChar"/>
              </w:rPr>
              <w:t xml:space="preserve">176a970cba93191b</w:t>
            </w:r>
          </w:p>
        </w:tc>
        <w:tc>
          <w:tcPr>
            <w:tcW w:w="1599" w:type="dxa"/>
          </w:tcPr>
          <w:p>
            <w:pPr/>
            <w:r>
              <w:t xml:space="preserve">20200708223130</w:t>
            </w:r>
          </w:p>
        </w:tc>
      </w:tr>
      <w:tr>
        <w:tc>
          <w:tcPr>
            <w:tcW w:w="720" w:type="dxa"/>
          </w:tcPr>
          <w:p>
            <w:pPr/>
            <w:r>
              <w:t xml:space="preserve">5</w:t>
            </w:r>
          </w:p>
        </w:tc>
        <w:tc>
          <w:tcPr>
            <w:tcW w:w="1142" w:type="dxa"/>
          </w:tcPr>
          <w:p>
            <w:pPr/>
            <w:r>
              <w:t xml:space="preserve">2020-07-15</w:t>
            </w:r>
          </w:p>
        </w:tc>
        <w:tc>
          <w:tcPr>
            <w:tcW w:w="836" w:type="dxa"/>
          </w:tcPr>
          <w:p>
            <w:pPr/>
            <w:r>
              <w:t xml:space="preserve">2742</w:t>
            </w:r>
          </w:p>
        </w:tc>
        <w:tc>
          <w:tcPr>
            <w:tcW w:w="988" w:type="dxa"/>
          </w:tcPr>
          <w:p>
            <w:pPr/>
            <w:r>
              <w:t xml:space="preserve">1307</w:t>
            </w:r>
          </w:p>
        </w:tc>
        <w:tc>
          <w:tcPr>
            <w:tcW w:w="1170" w:type="dxa"/>
          </w:tcPr>
          <w:p>
            <w:pPr/>
            <w:r>
              <w:t xml:space="preserve">594</w:t>
            </w:r>
          </w:p>
        </w:tc>
        <w:tc>
          <w:tcPr>
            <w:tcW w:w="1107" w:type="dxa"/>
          </w:tcPr>
          <w:p>
            <w:pPr/>
            <w:r>
              <w:t xml:space="preserve">841</w:t>
            </w:r>
          </w:p>
        </w:tc>
        <w:tc>
          <w:tcPr>
            <w:tcW w:w="1798" w:type="dxa"/>
          </w:tcPr>
          <w:p>
            <w:pPr/>
            <w:r>
              <w:rPr>
                <w:rStyle w:val="CodeChar"/>
              </w:rPr>
              <w:t xml:space="preserve">9edf1510e03751cc</w:t>
            </w:r>
          </w:p>
        </w:tc>
        <w:tc>
          <w:tcPr>
            <w:tcW w:w="1599" w:type="dxa"/>
          </w:tcPr>
          <w:p>
            <w:pPr/>
            <w:r>
              <w:t xml:space="preserve">20200715070433</w:t>
            </w:r>
          </w:p>
        </w:tc>
      </w:tr>
      <w:tr>
        <w:tc>
          <w:tcPr>
            <w:tcW w:w="720" w:type="dxa"/>
          </w:tcPr>
          <w:p>
            <w:pPr/>
            <w:r>
              <w:t xml:space="preserve">6</w:t>
            </w:r>
          </w:p>
        </w:tc>
        <w:tc>
          <w:tcPr>
            <w:tcW w:w="1142" w:type="dxa"/>
          </w:tcPr>
          <w:p>
            <w:pPr/>
            <w:r>
              <w:t xml:space="preserve">2020-08-15</w:t>
            </w:r>
          </w:p>
        </w:tc>
        <w:tc>
          <w:tcPr>
            <w:tcW w:w="836" w:type="dxa"/>
          </w:tcPr>
          <w:p>
            <w:pPr/>
            <w:r>
              <w:t xml:space="preserve">2790</w:t>
            </w:r>
          </w:p>
        </w:tc>
        <w:tc>
          <w:tcPr>
            <w:tcW w:w="988" w:type="dxa"/>
          </w:tcPr>
          <w:p>
            <w:pPr/>
            <w:r>
              <w:t xml:space="preserve">1331</w:t>
            </w:r>
          </w:p>
        </w:tc>
        <w:tc>
          <w:tcPr>
            <w:tcW w:w="1170" w:type="dxa"/>
          </w:tcPr>
          <w:p>
            <w:pPr/>
            <w:r>
              <w:t xml:space="preserve">587</w:t>
            </w:r>
          </w:p>
        </w:tc>
        <w:tc>
          <w:tcPr>
            <w:tcW w:w="1107" w:type="dxa"/>
          </w:tcPr>
          <w:p>
            <w:pPr/>
            <w:r>
              <w:t xml:space="preserve">872</w:t>
            </w:r>
          </w:p>
        </w:tc>
        <w:tc>
          <w:tcPr>
            <w:tcW w:w="1798" w:type="dxa"/>
          </w:tcPr>
          <w:p>
            <w:pPr/>
            <w:r>
              <w:rPr>
                <w:rStyle w:val="CodeChar"/>
              </w:rPr>
              <w:t xml:space="preserve">7d08266d0420c0ee</w:t>
            </w:r>
          </w:p>
        </w:tc>
        <w:tc>
          <w:tcPr>
            <w:tcW w:w="1599" w:type="dxa"/>
          </w:tcPr>
          <w:p>
            <w:pPr/>
            <w:r>
              <w:t xml:space="preserve">20200815030018</w:t>
            </w:r>
          </w:p>
        </w:tc>
      </w:tr>
      <w:tr>
        <w:tc>
          <w:tcPr>
            <w:tcW w:w="720" w:type="dxa"/>
          </w:tcPr>
          <w:p>
            <w:pPr/>
            <w:r>
              <w:t xml:space="preserve">7</w:t>
            </w:r>
          </w:p>
        </w:tc>
        <w:tc>
          <w:tcPr>
            <w:tcW w:w="1142" w:type="dxa"/>
          </w:tcPr>
          <w:p>
            <w:pPr/>
            <w:r>
              <w:t xml:space="preserve">2020-08-24</w:t>
            </w:r>
          </w:p>
        </w:tc>
        <w:tc>
          <w:tcPr>
            <w:tcW w:w="836" w:type="dxa"/>
          </w:tcPr>
          <w:p>
            <w:pPr/>
            <w:r>
              <w:t xml:space="preserve">2794</w:t>
            </w:r>
          </w:p>
        </w:tc>
        <w:tc>
          <w:tcPr>
            <w:tcW w:w="988" w:type="dxa"/>
          </w:tcPr>
          <w:p>
            <w:pPr/>
            <w:r>
              <w:t xml:space="preserve">1334</w:t>
            </w:r>
          </w:p>
        </w:tc>
        <w:tc>
          <w:tcPr>
            <w:tcW w:w="1170" w:type="dxa"/>
          </w:tcPr>
          <w:p>
            <w:pPr/>
            <w:r>
              <w:t xml:space="preserve">587</w:t>
            </w:r>
          </w:p>
        </w:tc>
        <w:tc>
          <w:tcPr>
            <w:tcW w:w="1107" w:type="dxa"/>
          </w:tcPr>
          <w:p>
            <w:pPr/>
            <w:r>
              <w:t xml:space="preserve">873</w:t>
            </w:r>
          </w:p>
        </w:tc>
        <w:tc>
          <w:tcPr>
            <w:tcW w:w="1798" w:type="dxa"/>
          </w:tcPr>
          <w:p>
            <w:pPr/>
            <w:r>
              <w:rPr>
                <w:rStyle w:val="CodeChar"/>
              </w:rPr>
              <w:t xml:space="preserve">fdf953de62141f61</w:t>
            </w:r>
          </w:p>
        </w:tc>
        <w:tc>
          <w:tcPr>
            <w:tcW w:w="1599" w:type="dxa"/>
          </w:tcPr>
          <w:p>
            <w:pPr/>
            <w:r>
              <w:t xml:space="preserve">20200824135454</w:t>
            </w:r>
          </w:p>
        </w:tc>
      </w:tr>
      <w:tr>
        <w:tc>
          <w:tcPr>
            <w:tcW w:w="720" w:type="dxa"/>
          </w:tcPr>
          <w:p>
            <w:pPr/>
            <w:r>
              <w:t xml:space="preserve">8</w:t>
            </w:r>
          </w:p>
        </w:tc>
        <w:tc>
          <w:tcPr>
            <w:tcW w:w="1142" w:type="dxa"/>
          </w:tcPr>
          <w:p>
            <w:pPr/>
            <w:r>
              <w:t xml:space="preserve">2020-09-15</w:t>
            </w:r>
          </w:p>
        </w:tc>
        <w:tc>
          <w:tcPr>
            <w:tcW w:w="836" w:type="dxa"/>
          </w:tcPr>
          <w:p>
            <w:pPr/>
            <w:r>
              <w:t xml:space="preserve">2814</w:t>
            </w:r>
          </w:p>
        </w:tc>
        <w:tc>
          <w:tcPr>
            <w:tcW w:w="988" w:type="dxa"/>
          </w:tcPr>
          <w:p>
            <w:pPr/>
            <w:r>
              <w:t xml:space="preserve">1338</w:t>
            </w:r>
          </w:p>
        </w:tc>
        <w:tc>
          <w:tcPr>
            <w:tcW w:w="1170" w:type="dxa"/>
          </w:tcPr>
          <w:p>
            <w:pPr/>
            <w:r>
              <w:t xml:space="preserve">590</w:t>
            </w:r>
          </w:p>
        </w:tc>
        <w:tc>
          <w:tcPr>
            <w:tcW w:w="1107" w:type="dxa"/>
          </w:tcPr>
          <w:p>
            <w:pPr/>
            <w:r>
              <w:t xml:space="preserve">886</w:t>
            </w:r>
          </w:p>
        </w:tc>
        <w:tc>
          <w:tcPr>
            <w:tcW w:w="1798" w:type="dxa"/>
          </w:tcPr>
          <w:p>
            <w:pPr/>
            <w:r>
              <w:rPr>
                <w:rStyle w:val="CodeChar"/>
              </w:rPr>
              <w:t xml:space="preserve">ccab5d4e9d6f09d1</w:t>
            </w:r>
          </w:p>
        </w:tc>
        <w:tc>
          <w:tcPr>
            <w:tcW w:w="1599" w:type="dxa"/>
          </w:tcPr>
          <w:p>
            <w:pPr/>
            <w:r>
              <w:t xml:space="preserve">20200915015918</w:t>
            </w:r>
          </w:p>
        </w:tc>
      </w:tr>
      <w:tr>
        <w:tc>
          <w:tcPr>
            <w:tcW w:w="720" w:type="dxa"/>
          </w:tcPr>
          <w:p>
            <w:pPr/>
            <w:r>
              <w:t xml:space="preserve">9</w:t>
            </w:r>
          </w:p>
        </w:tc>
        <w:tc>
          <w:tcPr>
            <w:tcW w:w="1142" w:type="dxa"/>
          </w:tcPr>
          <w:p>
            <w:pPr/>
            <w:r>
              <w:t xml:space="preserve">2020-09-27</w:t>
            </w:r>
          </w:p>
        </w:tc>
        <w:tc>
          <w:tcPr>
            <w:tcW w:w="836" w:type="dxa"/>
          </w:tcPr>
          <w:p>
            <w:pPr/>
            <w:r>
              <w:t xml:space="preserve">2822</w:t>
            </w:r>
          </w:p>
        </w:tc>
        <w:tc>
          <w:tcPr>
            <w:tcW w:w="988" w:type="dxa"/>
          </w:tcPr>
          <w:p>
            <w:pPr/>
            <w:r>
              <w:t xml:space="preserve">1343</w:t>
            </w:r>
          </w:p>
        </w:tc>
        <w:tc>
          <w:tcPr>
            <w:tcW w:w="1170" w:type="dxa"/>
          </w:tcPr>
          <w:p>
            <w:pPr/>
            <w:r>
              <w:t xml:space="preserve">590</w:t>
            </w:r>
          </w:p>
        </w:tc>
        <w:tc>
          <w:tcPr>
            <w:tcW w:w="1107" w:type="dxa"/>
          </w:tcPr>
          <w:p>
            <w:pPr/>
            <w:r>
              <w:t xml:space="preserve">889</w:t>
            </w:r>
          </w:p>
        </w:tc>
        <w:tc>
          <w:tcPr>
            <w:tcW w:w="1798" w:type="dxa"/>
          </w:tcPr>
          <w:p>
            <w:pPr/>
            <w:r>
              <w:rPr>
                <w:rStyle w:val="CodeChar"/>
              </w:rPr>
              <w:t xml:space="preserve">0266fb40f2077bbb</w:t>
            </w:r>
          </w:p>
        </w:tc>
        <w:tc>
          <w:tcPr>
            <w:tcW w:w="1599" w:type="dxa"/>
          </w:tcPr>
          <w:p>
            <w:pPr/>
            <w:r>
              <w:t xml:space="preserve">20200927124226</w:t>
            </w:r>
          </w:p>
        </w:tc>
      </w:tr>
      <w:tr>
        <w:tc>
          <w:tcPr>
            <w:tcW w:w="720" w:type="dxa"/>
          </w:tcPr>
          <w:p>
            <w:pPr/>
            <w:r>
              <w:t xml:space="preserve">10</w:t>
            </w:r>
          </w:p>
        </w:tc>
        <w:tc>
          <w:tcPr>
            <w:tcW w:w="1142" w:type="dxa"/>
          </w:tcPr>
          <w:p>
            <w:pPr/>
            <w:r>
              <w:t xml:space="preserve">2020-09-30</w:t>
            </w:r>
          </w:p>
        </w:tc>
        <w:tc>
          <w:tcPr>
            <w:tcW w:w="836" w:type="dxa"/>
          </w:tcPr>
          <w:p>
            <w:pPr/>
            <w:r>
              <w:t xml:space="preserve">2829</w:t>
            </w:r>
          </w:p>
        </w:tc>
        <w:tc>
          <w:tcPr>
            <w:tcW w:w="988" w:type="dxa"/>
          </w:tcPr>
          <w:p>
            <w:pPr/>
            <w:r>
              <w:t xml:space="preserve">1343</w:t>
            </w:r>
          </w:p>
        </w:tc>
        <w:tc>
          <w:tcPr>
            <w:tcW w:w="1170" w:type="dxa"/>
          </w:tcPr>
          <w:p>
            <w:pPr/>
            <w:r>
              <w:t xml:space="preserve">590</w:t>
            </w:r>
          </w:p>
        </w:tc>
        <w:tc>
          <w:tcPr>
            <w:tcW w:w="1107" w:type="dxa"/>
          </w:tcPr>
          <w:p>
            <w:pPr/>
            <w:r>
              <w:t xml:space="preserve">896</w:t>
            </w:r>
          </w:p>
        </w:tc>
        <w:tc>
          <w:tcPr>
            <w:tcW w:w="1798" w:type="dxa"/>
          </w:tcPr>
          <w:p>
            <w:pPr/>
            <w:r>
              <w:rPr>
                <w:rStyle w:val="CodeChar"/>
              </w:rPr>
              <w:t xml:space="preserve">74c429908dd69eea</w:t>
            </w:r>
          </w:p>
        </w:tc>
        <w:tc>
          <w:tcPr>
            <w:tcW w:w="1599" w:type="dxa"/>
          </w:tcPr>
          <w:p>
            <w:pPr/>
            <w:r>
              <w:t xml:space="preserve">20200930052515</w:t>
            </w:r>
          </w:p>
        </w:tc>
      </w:tr>
      <w:tr>
        <w:tc>
          <w:tcPr>
            <w:tcW w:w="720" w:type="dxa"/>
          </w:tcPr>
          <w:p>
            <w:pPr/>
            <w:r>
              <w:t xml:space="preserve">11</w:t>
            </w:r>
          </w:p>
        </w:tc>
        <w:tc>
          <w:tcPr>
            <w:tcW w:w="1142" w:type="dxa"/>
          </w:tcPr>
          <w:p>
            <w:pPr/>
            <w:r>
              <w:t xml:space="preserve">2020-10-11</w:t>
            </w:r>
          </w:p>
        </w:tc>
        <w:tc>
          <w:tcPr>
            <w:tcW w:w="836" w:type="dxa"/>
          </w:tcPr>
          <w:p>
            <w:pPr/>
            <w:r>
              <w:t xml:space="preserve">2835</w:t>
            </w:r>
          </w:p>
        </w:tc>
        <w:tc>
          <w:tcPr>
            <w:tcW w:w="988" w:type="dxa"/>
          </w:tcPr>
          <w:p>
            <w:pPr/>
            <w:r>
              <w:t xml:space="preserve">1337</w:t>
            </w:r>
          </w:p>
        </w:tc>
        <w:tc>
          <w:tcPr>
            <w:tcW w:w="1170" w:type="dxa"/>
          </w:tcPr>
          <w:p>
            <w:pPr/>
            <w:r>
              <w:t xml:space="preserve">597</w:t>
            </w:r>
          </w:p>
        </w:tc>
        <w:tc>
          <w:tcPr>
            <w:tcW w:w="1107" w:type="dxa"/>
          </w:tcPr>
          <w:p>
            <w:pPr/>
            <w:r>
              <w:t xml:space="preserve">901</w:t>
            </w:r>
          </w:p>
        </w:tc>
        <w:tc>
          <w:tcPr>
            <w:tcW w:w="1798" w:type="dxa"/>
          </w:tcPr>
          <w:p>
            <w:pPr/>
            <w:r>
              <w:rPr>
                <w:rStyle w:val="CodeChar"/>
              </w:rPr>
              <w:t xml:space="preserve">5055b8de536478fd</w:t>
            </w:r>
          </w:p>
        </w:tc>
        <w:tc>
          <w:tcPr>
            <w:tcW w:w="1599" w:type="dxa"/>
          </w:tcPr>
          <w:p>
            <w:pPr/>
            <w:r>
              <w:t xml:space="preserve">20201011200247</w:t>
            </w:r>
          </w:p>
        </w:tc>
      </w:tr>
      <w:tr>
        <w:tc>
          <w:tcPr>
            <w:tcW w:w="720" w:type="dxa"/>
          </w:tcPr>
          <w:p>
            <w:pPr/>
            <w:r>
              <w:t xml:space="preserve">12</w:t>
            </w:r>
          </w:p>
        </w:tc>
        <w:tc>
          <w:tcPr>
            <w:tcW w:w="1142" w:type="dxa"/>
          </w:tcPr>
          <w:p>
            <w:pPr/>
            <w:r>
              <w:t xml:space="preserve">2020-10-17</w:t>
            </w:r>
          </w:p>
        </w:tc>
        <w:tc>
          <w:tcPr>
            <w:tcW w:w="836" w:type="dxa"/>
          </w:tcPr>
          <w:p>
            <w:pPr/>
            <w:r>
              <w:t xml:space="preserve">2835</w:t>
            </w:r>
          </w:p>
        </w:tc>
        <w:tc>
          <w:tcPr>
            <w:tcW w:w="988" w:type="dxa"/>
          </w:tcPr>
          <w:p>
            <w:pPr/>
            <w:r>
              <w:t xml:space="preserve">1337</w:t>
            </w:r>
          </w:p>
        </w:tc>
        <w:tc>
          <w:tcPr>
            <w:tcW w:w="1170" w:type="dxa"/>
          </w:tcPr>
          <w:p>
            <w:pPr/>
            <w:r>
              <w:t xml:space="preserve">597</w:t>
            </w:r>
          </w:p>
        </w:tc>
        <w:tc>
          <w:tcPr>
            <w:tcW w:w="1107" w:type="dxa"/>
          </w:tcPr>
          <w:p>
            <w:pPr/>
            <w:r>
              <w:t xml:space="preserve">901</w:t>
            </w:r>
          </w:p>
        </w:tc>
        <w:tc>
          <w:tcPr>
            <w:tcW w:w="1798" w:type="dxa"/>
          </w:tcPr>
          <w:p>
            <w:pPr/>
            <w:r>
              <w:rPr>
                <w:rStyle w:val="CodeChar"/>
              </w:rPr>
              <w:t xml:space="preserve">6a3a6313c14ef3b9</w:t>
            </w:r>
          </w:p>
        </w:tc>
        <w:tc>
          <w:tcPr>
            <w:tcW w:w="1599" w:type="dxa"/>
          </w:tcPr>
          <w:p>
            <w:pPr/>
            <w:r>
              <w:t xml:space="preserve">20201017153840</w:t>
            </w:r>
          </w:p>
        </w:tc>
      </w:tr>
      <w:tr>
        <w:tc>
          <w:tcPr>
            <w:tcW w:w="720" w:type="dxa"/>
          </w:tcPr>
          <w:p>
            <w:pPr/>
            <w:r>
              <w:t xml:space="preserve">13</w:t>
            </w:r>
          </w:p>
        </w:tc>
        <w:tc>
          <w:tcPr>
            <w:tcW w:w="1142" w:type="dxa"/>
          </w:tcPr>
          <w:p>
            <w:pPr/>
            <w:r>
              <w:t xml:space="preserve">2020-10-26</w:t>
            </w:r>
          </w:p>
        </w:tc>
        <w:tc>
          <w:tcPr>
            <w:tcW w:w="836" w:type="dxa"/>
          </w:tcPr>
          <w:p>
            <w:pPr/>
            <w:r>
              <w:t xml:space="preserve">2845</w:t>
            </w:r>
          </w:p>
        </w:tc>
        <w:tc>
          <w:tcPr>
            <w:tcW w:w="988" w:type="dxa"/>
          </w:tcPr>
          <w:p>
            <w:pPr/>
            <w:r>
              <w:t xml:space="preserve">1337</w:t>
            </w:r>
          </w:p>
        </w:tc>
        <w:tc>
          <w:tcPr>
            <w:tcW w:w="1170" w:type="dxa"/>
          </w:tcPr>
          <w:p>
            <w:pPr/>
            <w:r>
              <w:t xml:space="preserve">597</w:t>
            </w:r>
          </w:p>
        </w:tc>
        <w:tc>
          <w:tcPr>
            <w:tcW w:w="1107" w:type="dxa"/>
          </w:tcPr>
          <w:p>
            <w:pPr/>
            <w:r>
              <w:t xml:space="preserve">911</w:t>
            </w:r>
          </w:p>
        </w:tc>
        <w:tc>
          <w:tcPr>
            <w:tcW w:w="1798" w:type="dxa"/>
          </w:tcPr>
          <w:p>
            <w:pPr/>
            <w:r>
              <w:rPr>
                <w:rStyle w:val="CodeChar"/>
              </w:rPr>
              <w:t xml:space="preserve">fd16ce46bdc262af</w:t>
            </w:r>
          </w:p>
        </w:tc>
        <w:tc>
          <w:tcPr>
            <w:tcW w:w="1599" w:type="dxa"/>
          </w:tcPr>
          <w:p>
            <w:pPr/>
            <w:r>
              <w:t xml:space="preserve">20201026031128</w:t>
            </w:r>
          </w:p>
        </w:tc>
      </w:tr>
      <w:tr>
        <w:tc>
          <w:tcPr>
            <w:tcW w:w="720" w:type="dxa"/>
          </w:tcPr>
          <w:p>
            <w:pPr/>
            <w:r>
              <w:t xml:space="preserve">14</w:t>
            </w:r>
          </w:p>
        </w:tc>
        <w:tc>
          <w:tcPr>
            <w:tcW w:w="1142" w:type="dxa"/>
          </w:tcPr>
          <w:p>
            <w:pPr/>
            <w:r>
              <w:t xml:space="preserve">2020-10-30</w:t>
            </w:r>
          </w:p>
        </w:tc>
        <w:tc>
          <w:tcPr>
            <w:tcW w:w="836" w:type="dxa"/>
          </w:tcPr>
          <w:p>
            <w:pPr/>
            <w:r>
              <w:t xml:space="preserve">2850</w:t>
            </w:r>
          </w:p>
        </w:tc>
        <w:tc>
          <w:tcPr>
            <w:tcW w:w="988" w:type="dxa"/>
          </w:tcPr>
          <w:p>
            <w:pPr/>
            <w:r>
              <w:t xml:space="preserve">1338</w:t>
            </w:r>
          </w:p>
        </w:tc>
        <w:tc>
          <w:tcPr>
            <w:tcW w:w="1170" w:type="dxa"/>
          </w:tcPr>
          <w:p>
            <w:pPr/>
            <w:r>
              <w:t xml:space="preserve">597</w:t>
            </w:r>
          </w:p>
        </w:tc>
        <w:tc>
          <w:tcPr>
            <w:tcW w:w="1107" w:type="dxa"/>
          </w:tcPr>
          <w:p>
            <w:pPr/>
            <w:r>
              <w:t xml:space="preserve">915</w:t>
            </w:r>
          </w:p>
        </w:tc>
        <w:tc>
          <w:tcPr>
            <w:tcW w:w="1798" w:type="dxa"/>
          </w:tcPr>
          <w:p>
            <w:pPr/>
            <w:r>
              <w:rPr>
                <w:rStyle w:val="CodeChar"/>
              </w:rPr>
              <w:t xml:space="preserve">62958320570c2b3e</w:t>
            </w:r>
          </w:p>
        </w:tc>
        <w:tc>
          <w:tcPr>
            <w:tcW w:w="1599" w:type="dxa"/>
          </w:tcPr>
          <w:p>
            <w:pPr/>
            <w:r>
              <w:t xml:space="preserve">20201030022459</w:t>
            </w:r>
          </w:p>
        </w:tc>
      </w:tr>
      <w:tr>
        <w:tc>
          <w:tcPr>
            <w:tcW w:w="720" w:type="dxa"/>
          </w:tcPr>
          <w:p>
            <w:pPr/>
            <w:r>
              <w:t xml:space="preserve">15</w:t>
            </w:r>
          </w:p>
        </w:tc>
        <w:tc>
          <w:tcPr>
            <w:tcW w:w="1142" w:type="dxa"/>
          </w:tcPr>
          <w:p>
            <w:pPr/>
            <w:r>
              <w:t xml:space="preserve">2020-10-30</w:t>
            </w:r>
          </w:p>
        </w:tc>
        <w:tc>
          <w:tcPr>
            <w:tcW w:w="836" w:type="dxa"/>
          </w:tcPr>
          <w:p>
            <w:pPr/>
            <w:r>
              <w:t xml:space="preserve">2850</w:t>
            </w:r>
          </w:p>
        </w:tc>
        <w:tc>
          <w:tcPr>
            <w:tcW w:w="988" w:type="dxa"/>
          </w:tcPr>
          <w:p>
            <w:pPr/>
            <w:r>
              <w:t xml:space="preserve">1338</w:t>
            </w:r>
          </w:p>
        </w:tc>
        <w:tc>
          <w:tcPr>
            <w:tcW w:w="1170" w:type="dxa"/>
          </w:tcPr>
          <w:p>
            <w:pPr/>
            <w:r>
              <w:t xml:space="preserve">597</w:t>
            </w:r>
          </w:p>
        </w:tc>
        <w:tc>
          <w:tcPr>
            <w:tcW w:w="1107" w:type="dxa"/>
          </w:tcPr>
          <w:p>
            <w:pPr/>
            <w:r>
              <w:t xml:space="preserve">915</w:t>
            </w:r>
          </w:p>
        </w:tc>
        <w:tc>
          <w:tcPr>
            <w:tcW w:w="1798" w:type="dxa"/>
          </w:tcPr>
          <w:p>
            <w:pPr/>
            <w:r>
              <w:rPr>
                <w:rStyle w:val="CodeChar"/>
              </w:rPr>
              <w:t xml:space="preserve">80849cac65654b3f</w:t>
            </w:r>
          </w:p>
        </w:tc>
        <w:tc>
          <w:tcPr>
            <w:tcW w:w="1599" w:type="dxa"/>
          </w:tcPr>
          <w:p>
            <w:pPr/>
            <w:r>
              <w:t xml:space="preserve">20201030172525</w:t>
            </w:r>
          </w:p>
        </w:tc>
      </w:tr>
      <w:tr>
        <w:tc>
          <w:tcPr>
            <w:tcW w:w="720" w:type="dxa"/>
          </w:tcPr>
          <w:p>
            <w:pPr/>
            <w:r>
              <w:t xml:space="preserve">16</w:t>
            </w:r>
          </w:p>
        </w:tc>
        <w:tc>
          <w:tcPr>
            <w:tcW w:w="1142" w:type="dxa"/>
          </w:tcPr>
          <w:p>
            <w:pPr/>
            <w:r>
              <w:t xml:space="preserve">2020-11-10</w:t>
            </w:r>
          </w:p>
        </w:tc>
        <w:tc>
          <w:tcPr>
            <w:tcW w:w="836" w:type="dxa"/>
          </w:tcPr>
          <w:p>
            <w:pPr/>
            <w:r>
              <w:t xml:space="preserve">2868</w:t>
            </w:r>
          </w:p>
        </w:tc>
        <w:tc>
          <w:tcPr>
            <w:tcW w:w="988" w:type="dxa"/>
          </w:tcPr>
          <w:p>
            <w:pPr/>
            <w:r>
              <w:t xml:space="preserve">1354</w:t>
            </w:r>
          </w:p>
        </w:tc>
        <w:tc>
          <w:tcPr>
            <w:tcW w:w="1170" w:type="dxa"/>
          </w:tcPr>
          <w:p>
            <w:pPr/>
            <w:r>
              <w:t xml:space="preserve">597</w:t>
            </w:r>
          </w:p>
        </w:tc>
        <w:tc>
          <w:tcPr>
            <w:tcW w:w="1107" w:type="dxa"/>
          </w:tcPr>
          <w:p>
            <w:pPr/>
            <w:r>
              <w:t xml:space="preserve">917</w:t>
            </w:r>
          </w:p>
        </w:tc>
        <w:tc>
          <w:tcPr>
            <w:tcW w:w="1798" w:type="dxa"/>
          </w:tcPr>
          <w:p>
            <w:pPr/>
            <w:r>
              <w:rPr>
                <w:rStyle w:val="CodeChar"/>
              </w:rPr>
              <w:t xml:space="preserve">f036d243a2557196</w:t>
            </w:r>
          </w:p>
        </w:tc>
        <w:tc>
          <w:tcPr>
            <w:tcW w:w="1599" w:type="dxa"/>
          </w:tcPr>
          <w:p>
            <w:pPr/>
            <w:r>
              <w:t xml:space="preserve">20201110180625</w:t>
            </w:r>
          </w:p>
        </w:tc>
      </w:tr>
      <w:tr>
        <w:tc>
          <w:tcPr>
            <w:tcW w:w="720" w:type="dxa"/>
          </w:tcPr>
          <w:p>
            <w:pPr/>
            <w:r>
              <w:t xml:space="preserve">17</w:t>
            </w:r>
          </w:p>
        </w:tc>
        <w:tc>
          <w:tcPr>
            <w:tcW w:w="1142" w:type="dxa"/>
          </w:tcPr>
          <w:p>
            <w:pPr/>
            <w:r>
              <w:t xml:space="preserve">2020-11-19</w:t>
            </w:r>
          </w:p>
        </w:tc>
        <w:tc>
          <w:tcPr>
            <w:tcW w:w="836" w:type="dxa"/>
          </w:tcPr>
          <w:p>
            <w:pPr/>
            <w:r>
              <w:t xml:space="preserve">2876</w:t>
            </w:r>
          </w:p>
        </w:tc>
        <w:tc>
          <w:tcPr>
            <w:tcW w:w="988" w:type="dxa"/>
          </w:tcPr>
          <w:p>
            <w:pPr/>
            <w:r>
              <w:t xml:space="preserve">1354</w:t>
            </w:r>
          </w:p>
        </w:tc>
        <w:tc>
          <w:tcPr>
            <w:tcW w:w="1170" w:type="dxa"/>
          </w:tcPr>
          <w:p>
            <w:pPr/>
            <w:r>
              <w:t xml:space="preserve">597</w:t>
            </w:r>
          </w:p>
        </w:tc>
        <w:tc>
          <w:tcPr>
            <w:tcW w:w="1107" w:type="dxa"/>
          </w:tcPr>
          <w:p>
            <w:pPr/>
            <w:r>
              <w:t xml:space="preserve">925</w:t>
            </w:r>
          </w:p>
        </w:tc>
        <w:tc>
          <w:tcPr>
            <w:tcW w:w="1798" w:type="dxa"/>
          </w:tcPr>
          <w:p>
            <w:pPr/>
            <w:r>
              <w:rPr>
                <w:rStyle w:val="CodeChar"/>
              </w:rPr>
              <w:t xml:space="preserve">08064fd8b5707e5a</w:t>
            </w:r>
          </w:p>
        </w:tc>
        <w:tc>
          <w:tcPr>
            <w:tcW w:w="1599" w:type="dxa"/>
          </w:tcPr>
          <w:p>
            <w:pPr/>
            <w:r>
              <w:t xml:space="preserve">20201119182835</w:t>
            </w:r>
          </w:p>
        </w:tc>
      </w:tr>
      <w:tr>
        <w:tc>
          <w:tcPr>
            <w:tcW w:w="720" w:type="dxa"/>
          </w:tcPr>
          <w:p>
            <w:pPr/>
            <w:r>
              <w:t xml:space="preserve">18</w:t>
            </w:r>
          </w:p>
        </w:tc>
        <w:tc>
          <w:tcPr>
            <w:tcW w:w="1142" w:type="dxa"/>
          </w:tcPr>
          <w:p>
            <w:pPr/>
            <w:r>
              <w:t xml:space="preserve">2020-11-21</w:t>
            </w:r>
          </w:p>
        </w:tc>
        <w:tc>
          <w:tcPr>
            <w:tcW w:w="836" w:type="dxa"/>
          </w:tcPr>
          <w:p>
            <w:pPr/>
            <w:r>
              <w:t xml:space="preserve">2877</w:t>
            </w:r>
          </w:p>
        </w:tc>
        <w:tc>
          <w:tcPr>
            <w:tcW w:w="988" w:type="dxa"/>
          </w:tcPr>
          <w:p>
            <w:pPr/>
            <w:r>
              <w:t xml:space="preserve">1355</w:t>
            </w:r>
          </w:p>
        </w:tc>
        <w:tc>
          <w:tcPr>
            <w:tcW w:w="1170" w:type="dxa"/>
          </w:tcPr>
          <w:p>
            <w:pPr/>
            <w:r>
              <w:t xml:space="preserve">595</w:t>
            </w:r>
          </w:p>
        </w:tc>
        <w:tc>
          <w:tcPr>
            <w:tcW w:w="1107" w:type="dxa"/>
          </w:tcPr>
          <w:p>
            <w:pPr/>
            <w:r>
              <w:t xml:space="preserve">927</w:t>
            </w:r>
          </w:p>
        </w:tc>
        <w:tc>
          <w:tcPr>
            <w:tcW w:w="1798" w:type="dxa"/>
          </w:tcPr>
          <w:p>
            <w:pPr/>
            <w:r>
              <w:rPr>
                <w:rStyle w:val="CodeChar"/>
              </w:rPr>
              <w:t xml:space="preserve">b958d8a9832d2f9b</w:t>
            </w:r>
          </w:p>
        </w:tc>
        <w:tc>
          <w:tcPr>
            <w:tcW w:w="1599" w:type="dxa"/>
          </w:tcPr>
          <w:p>
            <w:pPr/>
            <w:r>
              <w:t xml:space="preserve">20201121013542</w:t>
            </w:r>
          </w:p>
        </w:tc>
      </w:tr>
      <w:tr>
        <w:tc>
          <w:tcPr>
            <w:tcW w:w="720" w:type="dxa"/>
          </w:tcPr>
          <w:p>
            <w:pPr/>
            <w:r>
              <w:t xml:space="preserve">19</w:t>
            </w:r>
          </w:p>
        </w:tc>
        <w:tc>
          <w:tcPr>
            <w:tcW w:w="1142" w:type="dxa"/>
          </w:tcPr>
          <w:p>
            <w:pPr/>
            <w:r>
              <w:t xml:space="preserve">2021-01-17</w:t>
            </w:r>
          </w:p>
        </w:tc>
        <w:tc>
          <w:tcPr>
            <w:tcW w:w="836" w:type="dxa"/>
          </w:tcPr>
          <w:p>
            <w:pPr/>
            <w:r>
              <w:t xml:space="preserve">2096</w:t>
            </w:r>
          </w:p>
        </w:tc>
        <w:tc>
          <w:tcPr>
            <w:tcW w:w="988" w:type="dxa"/>
          </w:tcPr>
          <w:p>
            <w:pPr/>
            <w:r>
              <w:t xml:space="preserve">1322</w:t>
            </w:r>
          </w:p>
        </w:tc>
        <w:tc>
          <w:tcPr>
            <w:tcW w:w="1170" w:type="dxa"/>
          </w:tcPr>
          <w:p>
            <w:pPr/>
            <w:r>
              <w:t xml:space="preserve">203</w:t>
            </w:r>
          </w:p>
        </w:tc>
        <w:tc>
          <w:tcPr>
            <w:tcW w:w="1107" w:type="dxa"/>
          </w:tcPr>
          <w:p>
            <w:pPr/>
            <w:r>
              <w:t xml:space="preserve">571</w:t>
            </w:r>
          </w:p>
        </w:tc>
        <w:tc>
          <w:tcPr>
            <w:tcW w:w="1798" w:type="dxa"/>
          </w:tcPr>
          <w:p>
            <w:pPr/>
            <w:r>
              <w:rPr>
                <w:rStyle w:val="CodeChar"/>
              </w:rPr>
              <w:t xml:space="preserve">729f8bc25525b379</w:t>
            </w:r>
          </w:p>
        </w:tc>
        <w:tc>
          <w:tcPr>
            <w:tcW w:w="1599" w:type="dxa"/>
          </w:tcPr>
          <w:p>
            <w:pPr/>
            <w:r>
              <w:t xml:space="preserve">20210117172441</w:t>
            </w:r>
          </w:p>
        </w:tc>
      </w:tr>
      <w:tr>
        <w:tc>
          <w:tcPr>
            <w:tcW w:w="720" w:type="dxa"/>
          </w:tcPr>
          <w:p>
            <w:pPr/>
            <w:r>
              <w:t xml:space="preserve">20</w:t>
            </w:r>
          </w:p>
        </w:tc>
        <w:tc>
          <w:tcPr>
            <w:tcW w:w="1142" w:type="dxa"/>
          </w:tcPr>
          <w:p>
            <w:pPr/>
            <w:r>
              <w:t xml:space="preserve">2021-03-18</w:t>
            </w:r>
          </w:p>
        </w:tc>
        <w:tc>
          <w:tcPr>
            <w:tcW w:w="836" w:type="dxa"/>
          </w:tcPr>
          <w:p>
            <w:pPr/>
            <w:r>
              <w:t xml:space="preserve">2163</w:t>
            </w:r>
          </w:p>
        </w:tc>
        <w:tc>
          <w:tcPr>
            <w:tcW w:w="988" w:type="dxa"/>
          </w:tcPr>
          <w:p>
            <w:pPr/>
            <w:r>
              <w:t xml:space="preserve">1142</w:t>
            </w:r>
          </w:p>
        </w:tc>
        <w:tc>
          <w:tcPr>
            <w:tcW w:w="1170" w:type="dxa"/>
          </w:tcPr>
          <w:p>
            <w:pPr/>
            <w:r>
              <w:t xml:space="preserve">405</w:t>
            </w:r>
          </w:p>
        </w:tc>
        <w:tc>
          <w:tcPr>
            <w:tcW w:w="1107" w:type="dxa"/>
          </w:tcPr>
          <w:p>
            <w:pPr/>
            <w:r>
              <w:t xml:space="preserve">616</w:t>
            </w:r>
          </w:p>
        </w:tc>
        <w:tc>
          <w:tcPr>
            <w:tcW w:w="1798" w:type="dxa"/>
          </w:tcPr>
          <w:p>
            <w:pPr/>
            <w:r>
              <w:rPr>
                <w:rStyle w:val="CodeChar"/>
              </w:rPr>
              <w:t xml:space="preserve">7fbeb95b76404a1b</w:t>
            </w:r>
          </w:p>
        </w:tc>
        <w:tc>
          <w:tcPr>
            <w:tcW w:w="1599" w:type="dxa"/>
          </w:tcPr>
          <w:p>
            <w:pPr/>
            <w:r>
              <w:t xml:space="preserve">20210318220545</w:t>
            </w:r>
          </w:p>
        </w:tc>
      </w:tr>
      <w:tr>
        <w:tc>
          <w:tcPr>
            <w:tcW w:w="720" w:type="dxa"/>
          </w:tcPr>
          <w:p>
            <w:pPr/>
            <w:r>
              <w:t xml:space="preserve">21</w:t>
            </w:r>
          </w:p>
        </w:tc>
        <w:tc>
          <w:tcPr>
            <w:tcW w:w="1142" w:type="dxa"/>
          </w:tcPr>
          <w:p>
            <w:pPr/>
            <w:r>
              <w:t xml:space="preserve">2021-04-12</w:t>
            </w:r>
          </w:p>
        </w:tc>
        <w:tc>
          <w:tcPr>
            <w:tcW w:w="836" w:type="dxa"/>
          </w:tcPr>
          <w:p>
            <w:pPr/>
            <w:r>
              <w:t xml:space="preserve">2204</w:t>
            </w:r>
          </w:p>
        </w:tc>
        <w:tc>
          <w:tcPr>
            <w:tcW w:w="988" w:type="dxa"/>
          </w:tcPr>
          <w:p>
            <w:pPr/>
            <w:r>
              <w:t xml:space="preserve">1165</w:t>
            </w:r>
          </w:p>
        </w:tc>
        <w:tc>
          <w:tcPr>
            <w:tcW w:w="1170" w:type="dxa"/>
          </w:tcPr>
          <w:p>
            <w:pPr/>
            <w:r>
              <w:t xml:space="preserve">409</w:t>
            </w:r>
          </w:p>
        </w:tc>
        <w:tc>
          <w:tcPr>
            <w:tcW w:w="1107" w:type="dxa"/>
          </w:tcPr>
          <w:p>
            <w:pPr/>
            <w:r>
              <w:t xml:space="preserve">630</w:t>
            </w:r>
          </w:p>
        </w:tc>
        <w:tc>
          <w:tcPr>
            <w:tcW w:w="1798" w:type="dxa"/>
          </w:tcPr>
          <w:p>
            <w:pPr/>
            <w:r>
              <w:rPr>
                <w:rStyle w:val="CodeChar"/>
              </w:rPr>
              <w:t xml:space="preserve">2f38f33e12ea65c7</w:t>
            </w:r>
          </w:p>
        </w:tc>
        <w:tc>
          <w:tcPr>
            <w:tcW w:w="1599" w:type="dxa"/>
          </w:tcPr>
          <w:p>
            <w:pPr/>
            <w:r>
              <w:t xml:space="preserve">20210412231811</w:t>
            </w:r>
          </w:p>
        </w:tc>
      </w:tr>
      <w:tr>
        <w:tc>
          <w:tcPr>
            <w:tcW w:w="720" w:type="dxa"/>
          </w:tcPr>
          <w:p>
            <w:pPr/>
            <w:r>
              <w:t xml:space="preserve">22</w:t>
            </w:r>
          </w:p>
        </w:tc>
        <w:tc>
          <w:tcPr>
            <w:tcW w:w="1142" w:type="dxa"/>
          </w:tcPr>
          <w:p>
            <w:pPr/>
            <w:r>
              <w:t xml:space="preserve">2021-05-12</w:t>
            </w:r>
          </w:p>
        </w:tc>
        <w:tc>
          <w:tcPr>
            <w:tcW w:w="836" w:type="dxa"/>
          </w:tcPr>
          <w:p>
            <w:pPr/>
            <w:r>
              <w:t xml:space="preserve">2224</w:t>
            </w:r>
          </w:p>
        </w:tc>
        <w:tc>
          <w:tcPr>
            <w:tcW w:w="988" w:type="dxa"/>
          </w:tcPr>
          <w:p>
            <w:pPr/>
            <w:r>
              <w:t xml:space="preserve">1109</w:t>
            </w:r>
          </w:p>
        </w:tc>
        <w:tc>
          <w:tcPr>
            <w:tcW w:w="1170" w:type="dxa"/>
          </w:tcPr>
          <w:p>
            <w:pPr/>
            <w:r>
              <w:t xml:space="preserve">467</w:t>
            </w:r>
          </w:p>
        </w:tc>
        <w:tc>
          <w:tcPr>
            <w:tcW w:w="1107" w:type="dxa"/>
          </w:tcPr>
          <w:p>
            <w:pPr/>
            <w:r>
              <w:t xml:space="preserve">648</w:t>
            </w:r>
          </w:p>
        </w:tc>
        <w:tc>
          <w:tcPr>
            <w:tcW w:w="1798" w:type="dxa"/>
          </w:tcPr>
          <w:p>
            <w:pPr/>
            <w:r>
              <w:rPr>
                <w:rStyle w:val="CodeChar"/>
              </w:rPr>
              <w:t xml:space="preserve">b2ca7f208434aaa7</w:t>
            </w:r>
          </w:p>
        </w:tc>
        <w:tc>
          <w:tcPr>
            <w:tcW w:w="1599" w:type="dxa"/>
          </w:tcPr>
          <w:p>
            <w:pPr/>
            <w:r>
              <w:t xml:space="preserve">20210512154440</w:t>
            </w:r>
          </w:p>
        </w:tc>
      </w:tr>
      <w:tr>
        <w:tc>
          <w:tcPr>
            <w:tcW w:w="720" w:type="dxa"/>
          </w:tcPr>
          <w:p>
            <w:pPr/>
            <w:r>
              <w:t xml:space="preserve">23</w:t>
            </w:r>
          </w:p>
        </w:tc>
        <w:tc>
          <w:tcPr>
            <w:tcW w:w="1142" w:type="dxa"/>
          </w:tcPr>
          <w:p>
            <w:pPr/>
            <w:r>
              <w:t xml:space="preserve">2021-05-21</w:t>
            </w:r>
          </w:p>
        </w:tc>
        <w:tc>
          <w:tcPr>
            <w:tcW w:w="836" w:type="dxa"/>
          </w:tcPr>
          <w:p>
            <w:pPr/>
            <w:r>
              <w:t xml:space="preserve">2235</w:t>
            </w:r>
          </w:p>
        </w:tc>
        <w:tc>
          <w:tcPr>
            <w:tcW w:w="988" w:type="dxa"/>
          </w:tcPr>
          <w:p>
            <w:pPr/>
            <w:r>
              <w:t xml:space="preserve">1106</w:t>
            </w:r>
          </w:p>
        </w:tc>
        <w:tc>
          <w:tcPr>
            <w:tcW w:w="1170" w:type="dxa"/>
          </w:tcPr>
          <w:p>
            <w:pPr/>
            <w:r>
              <w:t xml:space="preserve">478</w:t>
            </w:r>
          </w:p>
        </w:tc>
        <w:tc>
          <w:tcPr>
            <w:tcW w:w="1107" w:type="dxa"/>
          </w:tcPr>
          <w:p>
            <w:pPr/>
            <w:r>
              <w:t xml:space="preserve">651</w:t>
            </w:r>
          </w:p>
        </w:tc>
        <w:tc>
          <w:tcPr>
            <w:tcW w:w="1798" w:type="dxa"/>
          </w:tcPr>
          <w:p>
            <w:pPr/>
            <w:r>
              <w:rPr>
                <w:rStyle w:val="CodeChar"/>
              </w:rPr>
              <w:t xml:space="preserve">438a0ac2c64eef1f</w:t>
            </w:r>
          </w:p>
        </w:tc>
        <w:tc>
          <w:tcPr>
            <w:tcW w:w="1599" w:type="dxa"/>
          </w:tcPr>
          <w:p>
            <w:pPr/>
            <w:r>
              <w:t xml:space="preserve">20210521181651</w:t>
            </w:r>
          </w:p>
        </w:tc>
      </w:tr>
      <w:tr>
        <w:tc>
          <w:tcPr>
            <w:tcW w:w="720" w:type="dxa"/>
          </w:tcPr>
          <w:p>
            <w:pPr/>
            <w:r>
              <w:t xml:space="preserve">24</w:t>
            </w:r>
          </w:p>
        </w:tc>
        <w:tc>
          <w:tcPr>
            <w:tcW w:w="1142" w:type="dxa"/>
          </w:tcPr>
          <w:p>
            <w:pPr/>
            <w:r>
              <w:t xml:space="preserve">2021-08-02</w:t>
            </w:r>
          </w:p>
        </w:tc>
        <w:tc>
          <w:tcPr>
            <w:tcW w:w="836" w:type="dxa"/>
          </w:tcPr>
          <w:p>
            <w:pPr/>
            <w:r>
              <w:t xml:space="preserve">2312</w:t>
            </w:r>
          </w:p>
        </w:tc>
        <w:tc>
          <w:tcPr>
            <w:tcW w:w="988" w:type="dxa"/>
          </w:tcPr>
          <w:p>
            <w:pPr/>
            <w:r>
              <w:t xml:space="preserve">1078</w:t>
            </w:r>
          </w:p>
        </w:tc>
        <w:tc>
          <w:tcPr>
            <w:tcW w:w="1170" w:type="dxa"/>
          </w:tcPr>
          <w:p>
            <w:pPr/>
            <w:r>
              <w:t xml:space="preserve">529</w:t>
            </w:r>
          </w:p>
        </w:tc>
        <w:tc>
          <w:tcPr>
            <w:tcW w:w="1107" w:type="dxa"/>
          </w:tcPr>
          <w:p>
            <w:pPr/>
            <w:r>
              <w:t xml:space="preserve">705</w:t>
            </w:r>
          </w:p>
        </w:tc>
        <w:tc>
          <w:tcPr>
            <w:tcW w:w="1798" w:type="dxa"/>
          </w:tcPr>
          <w:p>
            <w:pPr/>
            <w:r>
              <w:rPr>
                <w:rStyle w:val="CodeChar"/>
              </w:rPr>
              <w:t xml:space="preserve">6f8a082dfdac7185</w:t>
            </w:r>
          </w:p>
        </w:tc>
        <w:tc>
          <w:tcPr>
            <w:tcW w:w="1599" w:type="dxa"/>
          </w:tcPr>
          <w:p>
            <w:pPr/>
            <w:r>
              <w:t xml:space="preserve">20210802225733</w:t>
            </w:r>
          </w:p>
        </w:tc>
      </w:tr>
      <w:tr>
        <w:tc>
          <w:tcPr>
            <w:tcW w:w="720" w:type="dxa"/>
          </w:tcPr>
          <w:p>
            <w:pPr/>
            <w:r>
              <w:t xml:space="preserve">25</w:t>
            </w:r>
          </w:p>
        </w:tc>
        <w:tc>
          <w:tcPr>
            <w:tcW w:w="1142" w:type="dxa"/>
          </w:tcPr>
          <w:p>
            <w:pPr/>
            <w:r>
              <w:t xml:space="preserve">2021-08-27</w:t>
            </w:r>
          </w:p>
        </w:tc>
        <w:tc>
          <w:tcPr>
            <w:tcW w:w="836" w:type="dxa"/>
          </w:tcPr>
          <w:p>
            <w:pPr/>
            <w:r>
              <w:t xml:space="preserve">1935</w:t>
            </w:r>
          </w:p>
        </w:tc>
        <w:tc>
          <w:tcPr>
            <w:tcW w:w="988" w:type="dxa"/>
          </w:tcPr>
          <w:p>
            <w:pPr/>
            <w:r>
              <w:t xml:space="preserve">1084</w:t>
            </w:r>
          </w:p>
        </w:tc>
        <w:tc>
          <w:tcPr>
            <w:tcW w:w="1170" w:type="dxa"/>
          </w:tcPr>
          <w:p>
            <w:pPr/>
            <w:r>
              <w:t xml:space="preserve">380</w:t>
            </w:r>
          </w:p>
        </w:tc>
        <w:tc>
          <w:tcPr>
            <w:tcW w:w="1107" w:type="dxa"/>
          </w:tcPr>
          <w:p>
            <w:pPr/>
            <w:r>
              <w:t xml:space="preserve">471</w:t>
            </w:r>
          </w:p>
        </w:tc>
        <w:tc>
          <w:tcPr>
            <w:tcW w:w="1798" w:type="dxa"/>
          </w:tcPr>
          <w:p>
            <w:pPr/>
            <w:r>
              <w:rPr>
                <w:rStyle w:val="CodeChar"/>
              </w:rPr>
              <w:t xml:space="preserve">54201d6abd91850c</w:t>
            </w:r>
          </w:p>
        </w:tc>
        <w:tc>
          <w:tcPr>
            <w:tcW w:w="1599" w:type="dxa"/>
          </w:tcPr>
          <w:p>
            <w:pPr/>
            <w:r>
              <w:t xml:space="preserve">20210827175452</w:t>
            </w:r>
          </w:p>
        </w:tc>
      </w:tr>
      <w:tr>
        <w:tc>
          <w:tcPr>
            <w:tcW w:w="720" w:type="dxa"/>
          </w:tcPr>
          <w:p>
            <w:pPr/>
            <w:r>
              <w:t xml:space="preserve">26</w:t>
            </w:r>
          </w:p>
        </w:tc>
        <w:tc>
          <w:tcPr>
            <w:tcW w:w="1142" w:type="dxa"/>
          </w:tcPr>
          <w:p>
            <w:pPr/>
            <w:r>
              <w:t xml:space="preserve">2021-10-06</w:t>
            </w:r>
          </w:p>
        </w:tc>
        <w:tc>
          <w:tcPr>
            <w:tcW w:w="836" w:type="dxa"/>
          </w:tcPr>
          <w:p>
            <w:pPr/>
            <w:r>
              <w:t xml:space="preserve">1979</w:t>
            </w:r>
          </w:p>
        </w:tc>
        <w:tc>
          <w:tcPr>
            <w:tcW w:w="988" w:type="dxa"/>
          </w:tcPr>
          <w:p>
            <w:pPr/>
            <w:r>
              <w:t xml:space="preserve">1104</w:t>
            </w:r>
          </w:p>
        </w:tc>
        <w:tc>
          <w:tcPr>
            <w:tcW w:w="1170" w:type="dxa"/>
          </w:tcPr>
          <w:p>
            <w:pPr/>
            <w:r>
              <w:t xml:space="preserve">392</w:t>
            </w:r>
          </w:p>
        </w:tc>
        <w:tc>
          <w:tcPr>
            <w:tcW w:w="1107" w:type="dxa"/>
          </w:tcPr>
          <w:p>
            <w:pPr/>
            <w:r>
              <w:t xml:space="preserve">483</w:t>
            </w:r>
          </w:p>
        </w:tc>
        <w:tc>
          <w:tcPr>
            <w:tcW w:w="1798" w:type="dxa"/>
          </w:tcPr>
          <w:p>
            <w:pPr/>
            <w:r>
              <w:rPr>
                <w:rStyle w:val="CodeChar"/>
              </w:rPr>
              <w:t xml:space="preserve">ed4ed5b7b46fd9b1</w:t>
            </w:r>
          </w:p>
        </w:tc>
        <w:tc>
          <w:tcPr>
            <w:tcW w:w="1599" w:type="dxa"/>
          </w:tcPr>
          <w:p>
            <w:pPr/>
            <w:r>
              <w:t xml:space="preserve">20211006104425</w:t>
            </w:r>
          </w:p>
        </w:tc>
      </w:tr>
      <w:tr>
        <w:tc>
          <w:tcPr>
            <w:tcW w:w="720" w:type="dxa"/>
          </w:tcPr>
          <w:p>
            <w:pPr/>
            <w:r>
              <w:t xml:space="preserve">27</w:t>
            </w:r>
          </w:p>
        </w:tc>
        <w:tc>
          <w:tcPr>
            <w:tcW w:w="1142" w:type="dxa"/>
          </w:tcPr>
          <w:p>
            <w:pPr/>
            <w:r>
              <w:t xml:space="preserve">2021-10-20</w:t>
            </w:r>
          </w:p>
        </w:tc>
        <w:tc>
          <w:tcPr>
            <w:tcW w:w="836" w:type="dxa"/>
          </w:tcPr>
          <w:p>
            <w:pPr/>
            <w:r>
              <w:t xml:space="preserve">1989</w:t>
            </w:r>
          </w:p>
        </w:tc>
        <w:tc>
          <w:tcPr>
            <w:tcW w:w="988" w:type="dxa"/>
          </w:tcPr>
          <w:p>
            <w:pPr/>
            <w:r>
              <w:t xml:space="preserve">1103</w:t>
            </w:r>
          </w:p>
        </w:tc>
        <w:tc>
          <w:tcPr>
            <w:tcW w:w="1170" w:type="dxa"/>
          </w:tcPr>
          <w:p>
            <w:pPr/>
            <w:r>
              <w:t xml:space="preserve">393</w:t>
            </w:r>
          </w:p>
        </w:tc>
        <w:tc>
          <w:tcPr>
            <w:tcW w:w="1107" w:type="dxa"/>
          </w:tcPr>
          <w:p>
            <w:pPr/>
            <w:r>
              <w:t xml:space="preserve">493</w:t>
            </w:r>
          </w:p>
        </w:tc>
        <w:tc>
          <w:tcPr>
            <w:tcW w:w="1798" w:type="dxa"/>
          </w:tcPr>
          <w:p>
            <w:pPr/>
            <w:r>
              <w:rPr>
                <w:rStyle w:val="CodeChar"/>
              </w:rPr>
              <w:t xml:space="preserve">3741e9723699e240</w:t>
            </w:r>
          </w:p>
        </w:tc>
        <w:tc>
          <w:tcPr>
            <w:tcW w:w="1599" w:type="dxa"/>
          </w:tcPr>
          <w:p>
            <w:pPr/>
            <w:r>
              <w:t xml:space="preserve">20211020020022</w:t>
            </w:r>
          </w:p>
        </w:tc>
      </w:tr>
      <w:tr>
        <w:tc>
          <w:tcPr>
            <w:tcW w:w="720" w:type="dxa"/>
          </w:tcPr>
          <w:p>
            <w:pPr/>
            <w:r>
              <w:t xml:space="preserve">28</w:t>
            </w:r>
          </w:p>
        </w:tc>
        <w:tc>
          <w:tcPr>
            <w:tcW w:w="1142" w:type="dxa"/>
          </w:tcPr>
          <w:p>
            <w:pPr/>
            <w:r>
              <w:t xml:space="preserve">2021-11-30</w:t>
            </w:r>
          </w:p>
        </w:tc>
        <w:tc>
          <w:tcPr>
            <w:tcW w:w="836" w:type="dxa"/>
          </w:tcPr>
          <w:p>
            <w:pPr/>
            <w:r>
              <w:t xml:space="preserve">2051</w:t>
            </w:r>
          </w:p>
        </w:tc>
        <w:tc>
          <w:tcPr>
            <w:tcW w:w="988" w:type="dxa"/>
          </w:tcPr>
          <w:p>
            <w:pPr/>
            <w:r>
              <w:t xml:space="preserve">1101</w:t>
            </w:r>
          </w:p>
        </w:tc>
        <w:tc>
          <w:tcPr>
            <w:tcW w:w="1170" w:type="dxa"/>
          </w:tcPr>
          <w:p>
            <w:pPr/>
            <w:r>
              <w:t xml:space="preserve">437</w:t>
            </w:r>
          </w:p>
        </w:tc>
        <w:tc>
          <w:tcPr>
            <w:tcW w:w="1107" w:type="dxa"/>
          </w:tcPr>
          <w:p>
            <w:pPr/>
            <w:r>
              <w:t xml:space="preserve">513</w:t>
            </w:r>
          </w:p>
        </w:tc>
        <w:tc>
          <w:tcPr>
            <w:tcW w:w="1798" w:type="dxa"/>
          </w:tcPr>
          <w:p>
            <w:pPr/>
            <w:r>
              <w:rPr>
                <w:rStyle w:val="CodeChar"/>
              </w:rPr>
              <w:t xml:space="preserve">299b2fee506d3e84</w:t>
            </w:r>
          </w:p>
        </w:tc>
        <w:tc>
          <w:tcPr>
            <w:tcW w:w="1599" w:type="dxa"/>
          </w:tcPr>
          <w:p>
            <w:pPr/>
            <w:r>
              <w:t xml:space="preserve">20211130013632</w:t>
            </w:r>
          </w:p>
        </w:tc>
      </w:tr>
      <w:tr>
        <w:tc>
          <w:tcPr>
            <w:tcW w:w="720" w:type="dxa"/>
          </w:tcPr>
          <w:p>
            <w:pPr/>
            <w:r>
              <w:t xml:space="preserve">29</w:t>
            </w:r>
          </w:p>
        </w:tc>
        <w:tc>
          <w:tcPr>
            <w:tcW w:w="1142" w:type="dxa"/>
          </w:tcPr>
          <w:p>
            <w:pPr/>
            <w:r>
              <w:t xml:space="preserve">2022-10-04</w:t>
            </w:r>
          </w:p>
        </w:tc>
        <w:tc>
          <w:tcPr>
            <w:tcW w:w="836" w:type="dxa"/>
          </w:tcPr>
          <w:p>
            <w:pPr/>
            <w:r>
              <w:t xml:space="preserve">2387</w:t>
            </w:r>
          </w:p>
        </w:tc>
        <w:tc>
          <w:tcPr>
            <w:tcW w:w="988" w:type="dxa"/>
          </w:tcPr>
          <w:p>
            <w:pPr/>
            <w:r>
              <w:t xml:space="preserve">1301</w:t>
            </w:r>
          </w:p>
        </w:tc>
        <w:tc>
          <w:tcPr>
            <w:tcW w:w="1170" w:type="dxa"/>
          </w:tcPr>
          <w:p>
            <w:pPr/>
            <w:r>
              <w:t xml:space="preserve">480</w:t>
            </w:r>
          </w:p>
        </w:tc>
        <w:tc>
          <w:tcPr>
            <w:tcW w:w="1107" w:type="dxa"/>
          </w:tcPr>
          <w:p>
            <w:pPr/>
            <w:r>
              <w:t xml:space="preserve">606</w:t>
            </w:r>
          </w:p>
        </w:tc>
        <w:tc>
          <w:tcPr>
            <w:tcW w:w="1798" w:type="dxa"/>
          </w:tcPr>
          <w:p>
            <w:pPr/>
            <w:r>
              <w:rPr>
                <w:rStyle w:val="CodeChar"/>
              </w:rPr>
              <w:t xml:space="preserve">6cd785114bce8d1e</w:t>
            </w:r>
          </w:p>
        </w:tc>
        <w:tc>
          <w:tcPr>
            <w:tcW w:w="1599" w:type="dxa"/>
          </w:tcPr>
          <w:p>
            <w:pPr/>
            <w:r>
              <w:t xml:space="preserve">20221004081320</w:t>
            </w:r>
          </w:p>
        </w:tc>
      </w:tr>
      <w:tr>
        <w:tc>
          <w:tcPr>
            <w:tcW w:w="720" w:type="dxa"/>
          </w:tcPr>
          <w:p>
            <w:pPr/>
            <w:r>
              <w:t xml:space="preserve">30</w:t>
            </w:r>
          </w:p>
        </w:tc>
        <w:tc>
          <w:tcPr>
            <w:tcW w:w="1142" w:type="dxa"/>
          </w:tcPr>
          <w:p>
            <w:pPr/>
            <w:r>
              <w:t xml:space="preserve">2022-10-06</w:t>
            </w:r>
          </w:p>
        </w:tc>
        <w:tc>
          <w:tcPr>
            <w:tcW w:w="836" w:type="dxa"/>
          </w:tcPr>
          <w:p>
            <w:pPr/>
            <w:r>
              <w:t xml:space="preserve">2394</w:t>
            </w:r>
          </w:p>
        </w:tc>
        <w:tc>
          <w:tcPr>
            <w:tcW w:w="988" w:type="dxa"/>
          </w:tcPr>
          <w:p>
            <w:pPr/>
            <w:r>
              <w:t xml:space="preserve">1322</w:t>
            </w:r>
          </w:p>
        </w:tc>
        <w:tc>
          <w:tcPr>
            <w:tcW w:w="1170" w:type="dxa"/>
          </w:tcPr>
          <w:p>
            <w:pPr/>
            <w:r>
              <w:t xml:space="preserve">466</w:t>
            </w:r>
          </w:p>
        </w:tc>
        <w:tc>
          <w:tcPr>
            <w:tcW w:w="1107" w:type="dxa"/>
          </w:tcPr>
          <w:p>
            <w:pPr/>
            <w:r>
              <w:t xml:space="preserve">606</w:t>
            </w:r>
          </w:p>
        </w:tc>
        <w:tc>
          <w:tcPr>
            <w:tcW w:w="1798" w:type="dxa"/>
          </w:tcPr>
          <w:p>
            <w:pPr/>
            <w:r>
              <w:rPr>
                <w:rStyle w:val="CodeChar"/>
              </w:rPr>
              <w:t xml:space="preserve">64de99a4e30aae75</w:t>
            </w:r>
          </w:p>
        </w:tc>
        <w:tc>
          <w:tcPr>
            <w:tcW w:w="1599" w:type="dxa"/>
          </w:tcPr>
          <w:p>
            <w:pPr/>
            <w:r>
              <w:t xml:space="preserve">20221006172748</w:t>
            </w:r>
          </w:p>
        </w:tc>
      </w:tr>
      <w:tr>
        <w:tc>
          <w:tcPr>
            <w:tcW w:w="720" w:type="dxa"/>
          </w:tcPr>
          <w:p>
            <w:pPr/>
            <w:r>
              <w:t xml:space="preserve">31</w:t>
            </w:r>
          </w:p>
        </w:tc>
        <w:tc>
          <w:tcPr>
            <w:tcW w:w="1142" w:type="dxa"/>
          </w:tcPr>
          <w:p>
            <w:pPr/>
            <w:r>
              <w:t xml:space="preserve">2023-01-13</w:t>
            </w:r>
          </w:p>
        </w:tc>
        <w:tc>
          <w:tcPr>
            <w:tcW w:w="836" w:type="dxa"/>
          </w:tcPr>
          <w:p>
            <w:pPr/>
            <w:r>
              <w:t xml:space="preserve">2573</w:t>
            </w:r>
          </w:p>
        </w:tc>
        <w:tc>
          <w:tcPr>
            <w:tcW w:w="988" w:type="dxa"/>
          </w:tcPr>
          <w:p>
            <w:pPr/>
            <w:r>
              <w:t xml:space="preserve">1240</w:t>
            </w:r>
          </w:p>
        </w:tc>
        <w:tc>
          <w:tcPr>
            <w:tcW w:w="1170" w:type="dxa"/>
          </w:tcPr>
          <w:p>
            <w:pPr/>
            <w:r>
              <w:t xml:space="preserve">635</w:t>
            </w:r>
          </w:p>
        </w:tc>
        <w:tc>
          <w:tcPr>
            <w:tcW w:w="1107" w:type="dxa"/>
          </w:tcPr>
          <w:p>
            <w:pPr/>
            <w:r>
              <w:t xml:space="preserve">698</w:t>
            </w:r>
          </w:p>
        </w:tc>
        <w:tc>
          <w:tcPr>
            <w:tcW w:w="1798" w:type="dxa"/>
          </w:tcPr>
          <w:p>
            <w:pPr/>
            <w:r>
              <w:rPr>
                <w:rStyle w:val="CodeChar"/>
              </w:rPr>
              <w:t xml:space="preserve">3a610132607ab438</w:t>
            </w:r>
          </w:p>
        </w:tc>
        <w:tc>
          <w:tcPr>
            <w:tcW w:w="1599" w:type="dxa"/>
          </w:tcPr>
          <w:p>
            <w:pPr/>
            <w:r>
              <w:t xml:space="preserve">20230113175930</w:t>
            </w:r>
          </w:p>
        </w:tc>
      </w:tr>
      <w:tr>
        <w:tc>
          <w:tcPr>
            <w:tcW w:w="720" w:type="dxa"/>
          </w:tcPr>
          <w:p>
            <w:pPr/>
            <w:r>
              <w:t xml:space="preserve">32</w:t>
            </w:r>
          </w:p>
        </w:tc>
        <w:tc>
          <w:tcPr>
            <w:tcW w:w="1142" w:type="dxa"/>
          </w:tcPr>
          <w:p>
            <w:pPr/>
            <w:r>
              <w:t xml:space="preserve">2023-01-27</w:t>
            </w:r>
          </w:p>
        </w:tc>
        <w:tc>
          <w:tcPr>
            <w:tcW w:w="836" w:type="dxa"/>
          </w:tcPr>
          <w:p>
            <w:pPr/>
            <w:r>
              <w:t xml:space="preserve">2578</w:t>
            </w:r>
          </w:p>
        </w:tc>
        <w:tc>
          <w:tcPr>
            <w:tcW w:w="988" w:type="dxa"/>
          </w:tcPr>
          <w:p>
            <w:pPr/>
            <w:r>
              <w:t xml:space="preserve">1241</w:t>
            </w:r>
          </w:p>
        </w:tc>
        <w:tc>
          <w:tcPr>
            <w:tcW w:w="1170" w:type="dxa"/>
          </w:tcPr>
          <w:p>
            <w:pPr/>
            <w:r>
              <w:t xml:space="preserve">638</w:t>
            </w:r>
          </w:p>
        </w:tc>
        <w:tc>
          <w:tcPr>
            <w:tcW w:w="1107" w:type="dxa"/>
          </w:tcPr>
          <w:p>
            <w:pPr/>
            <w:r>
              <w:t xml:space="preserve">699</w:t>
            </w:r>
          </w:p>
        </w:tc>
        <w:tc>
          <w:tcPr>
            <w:tcW w:w="1798" w:type="dxa"/>
          </w:tcPr>
          <w:p>
            <w:pPr/>
            <w:r>
              <w:rPr>
                <w:rStyle w:val="CodeChar"/>
              </w:rPr>
              <w:t xml:space="preserve">ecdb5c52050df81b</w:t>
            </w:r>
          </w:p>
        </w:tc>
        <w:tc>
          <w:tcPr>
            <w:tcW w:w="1599" w:type="dxa"/>
          </w:tcPr>
          <w:p>
            <w:pPr/>
            <w:r>
              <w:t xml:space="preserve">20230127014503</w:t>
            </w:r>
          </w:p>
        </w:tc>
      </w:tr>
      <w:tr>
        <w:tc>
          <w:tcPr>
            <w:tcW w:w="720" w:type="dxa"/>
          </w:tcPr>
          <w:p>
            <w:pPr/>
            <w:r>
              <w:t xml:space="preserve">33</w:t>
            </w:r>
          </w:p>
        </w:tc>
        <w:tc>
          <w:tcPr>
            <w:tcW w:w="1142" w:type="dxa"/>
          </w:tcPr>
          <w:p>
            <w:pPr/>
            <w:r>
              <w:t xml:space="preserve">2023-03-02</w:t>
            </w:r>
          </w:p>
        </w:tc>
        <w:tc>
          <w:tcPr>
            <w:tcW w:w="836" w:type="dxa"/>
          </w:tcPr>
          <w:p>
            <w:pPr/>
            <w:r>
              <w:t xml:space="preserve">2684</w:t>
            </w:r>
          </w:p>
        </w:tc>
        <w:tc>
          <w:tcPr>
            <w:tcW w:w="988" w:type="dxa"/>
          </w:tcPr>
          <w:p>
            <w:pPr/>
            <w:r>
              <w:t xml:space="preserve">1298</w:t>
            </w:r>
          </w:p>
        </w:tc>
        <w:tc>
          <w:tcPr>
            <w:tcW w:w="1170" w:type="dxa"/>
          </w:tcPr>
          <w:p>
            <w:pPr/>
            <w:r>
              <w:t xml:space="preserve">642</w:t>
            </w:r>
          </w:p>
        </w:tc>
        <w:tc>
          <w:tcPr>
            <w:tcW w:w="1107" w:type="dxa"/>
          </w:tcPr>
          <w:p>
            <w:pPr/>
            <w:r>
              <w:t xml:space="preserve">744</w:t>
            </w:r>
          </w:p>
        </w:tc>
        <w:tc>
          <w:tcPr>
            <w:tcW w:w="1798" w:type="dxa"/>
          </w:tcPr>
          <w:p>
            <w:pPr/>
            <w:r>
              <w:rPr>
                <w:rStyle w:val="CodeChar"/>
              </w:rPr>
              <w:t xml:space="preserve">8b81a7be66b731c6</w:t>
            </w:r>
          </w:p>
        </w:tc>
        <w:tc>
          <w:tcPr>
            <w:tcW w:w="1599" w:type="dxa"/>
          </w:tcPr>
          <w:p>
            <w:pPr/>
            <w:r>
              <w:t xml:space="preserve">20230302122414</w:t>
            </w:r>
          </w:p>
        </w:tc>
      </w:tr>
      <w:tr>
        <w:tc>
          <w:tcPr>
            <w:tcW w:w="720" w:type="dxa"/>
          </w:tcPr>
          <w:p>
            <w:pPr/>
            <w:r>
              <w:t xml:space="preserve">34</w:t>
            </w:r>
          </w:p>
        </w:tc>
        <w:tc>
          <w:tcPr>
            <w:tcW w:w="1142" w:type="dxa"/>
          </w:tcPr>
          <w:p>
            <w:pPr/>
            <w:r>
              <w:t xml:space="preserve">2023-03-25</w:t>
            </w:r>
          </w:p>
        </w:tc>
        <w:tc>
          <w:tcPr>
            <w:tcW w:w="836" w:type="dxa"/>
          </w:tcPr>
          <w:p>
            <w:pPr/>
            <w:r>
              <w:t xml:space="preserve">2766</w:t>
            </w:r>
          </w:p>
        </w:tc>
        <w:tc>
          <w:tcPr>
            <w:tcW w:w="988" w:type="dxa"/>
          </w:tcPr>
          <w:p>
            <w:pPr/>
            <w:r>
              <w:t xml:space="preserve">1375</w:t>
            </w:r>
          </w:p>
        </w:tc>
        <w:tc>
          <w:tcPr>
            <w:tcW w:w="1170" w:type="dxa"/>
          </w:tcPr>
          <w:p>
            <w:pPr/>
            <w:r>
              <w:t xml:space="preserve">639</w:t>
            </w:r>
          </w:p>
        </w:tc>
        <w:tc>
          <w:tcPr>
            <w:tcW w:w="1107" w:type="dxa"/>
          </w:tcPr>
          <w:p>
            <w:pPr/>
            <w:r>
              <w:t xml:space="preserve">752</w:t>
            </w:r>
          </w:p>
        </w:tc>
        <w:tc>
          <w:tcPr>
            <w:tcW w:w="1798" w:type="dxa"/>
          </w:tcPr>
          <w:p>
            <w:pPr/>
            <w:r>
              <w:rPr>
                <w:rStyle w:val="CodeChar"/>
              </w:rPr>
              <w:t xml:space="preserve">158f85c894d5c33a</w:t>
            </w:r>
          </w:p>
        </w:tc>
        <w:tc>
          <w:tcPr>
            <w:tcW w:w="1599" w:type="dxa"/>
          </w:tcPr>
          <w:p>
            <w:pPr/>
            <w:r>
              <w:t xml:space="preserve">20230325083656</w:t>
            </w:r>
          </w:p>
        </w:tc>
      </w:tr>
      <w:tr>
        <w:tc>
          <w:tcPr>
            <w:tcW w:w="720" w:type="dxa"/>
          </w:tcPr>
          <w:p>
            <w:pPr/>
            <w:r>
              <w:t xml:space="preserve">35</w:t>
            </w:r>
          </w:p>
        </w:tc>
        <w:tc>
          <w:tcPr>
            <w:tcW w:w="1142" w:type="dxa"/>
          </w:tcPr>
          <w:p>
            <w:pPr/>
            <w:r>
              <w:t xml:space="preserve">2023-03-28</w:t>
            </w:r>
          </w:p>
        </w:tc>
        <w:tc>
          <w:tcPr>
            <w:tcW w:w="836" w:type="dxa"/>
          </w:tcPr>
          <w:p>
            <w:pPr/>
            <w:r>
              <w:t xml:space="preserve">2778</w:t>
            </w:r>
          </w:p>
        </w:tc>
        <w:tc>
          <w:tcPr>
            <w:tcW w:w="988" w:type="dxa"/>
          </w:tcPr>
          <w:p>
            <w:pPr/>
            <w:r>
              <w:t xml:space="preserve">1387</w:t>
            </w:r>
          </w:p>
        </w:tc>
        <w:tc>
          <w:tcPr>
            <w:tcW w:w="1170" w:type="dxa"/>
          </w:tcPr>
          <w:p>
            <w:pPr/>
            <w:r>
              <w:t xml:space="preserve">639</w:t>
            </w:r>
          </w:p>
        </w:tc>
        <w:tc>
          <w:tcPr>
            <w:tcW w:w="1107" w:type="dxa"/>
          </w:tcPr>
          <w:p>
            <w:pPr/>
            <w:r>
              <w:t xml:space="preserve">752</w:t>
            </w:r>
          </w:p>
        </w:tc>
        <w:tc>
          <w:tcPr>
            <w:tcW w:w="1798" w:type="dxa"/>
          </w:tcPr>
          <w:p>
            <w:pPr/>
            <w:r>
              <w:rPr>
                <w:rStyle w:val="CodeChar"/>
              </w:rPr>
              <w:t xml:space="preserve">489795fc5bf24913</w:t>
            </w:r>
          </w:p>
        </w:tc>
        <w:tc>
          <w:tcPr>
            <w:tcW w:w="1599" w:type="dxa"/>
          </w:tcPr>
          <w:p>
            <w:pPr/>
            <w:r>
              <w:t xml:space="preserve">20230328034327</w:t>
            </w:r>
          </w:p>
        </w:tc>
      </w:tr>
      <w:tr>
        <w:tc>
          <w:tcPr>
            <w:tcW w:w="720" w:type="dxa"/>
          </w:tcPr>
          <w:p>
            <w:pPr/>
            <w:r>
              <w:t xml:space="preserve">36</w:t>
            </w:r>
          </w:p>
        </w:tc>
        <w:tc>
          <w:tcPr>
            <w:tcW w:w="1142" w:type="dxa"/>
          </w:tcPr>
          <w:p>
            <w:pPr/>
            <w:r>
              <w:t xml:space="preserve">2023-05-14</w:t>
            </w:r>
          </w:p>
        </w:tc>
        <w:tc>
          <w:tcPr>
            <w:tcW w:w="836" w:type="dxa"/>
          </w:tcPr>
          <w:p>
            <w:pPr/>
            <w:r>
              <w:t xml:space="preserve">2865</w:t>
            </w:r>
          </w:p>
        </w:tc>
        <w:tc>
          <w:tcPr>
            <w:tcW w:w="988" w:type="dxa"/>
          </w:tcPr>
          <w:p>
            <w:pPr/>
            <w:r>
              <w:t xml:space="preserve">1447</w:t>
            </w:r>
          </w:p>
        </w:tc>
        <w:tc>
          <w:tcPr>
            <w:tcW w:w="1170" w:type="dxa"/>
          </w:tcPr>
          <w:p>
            <w:pPr/>
            <w:r>
              <w:t xml:space="preserve">637</w:t>
            </w:r>
          </w:p>
        </w:tc>
        <w:tc>
          <w:tcPr>
            <w:tcW w:w="1107" w:type="dxa"/>
          </w:tcPr>
          <w:p>
            <w:pPr/>
            <w:r>
              <w:t xml:space="preserve">781</w:t>
            </w:r>
          </w:p>
        </w:tc>
        <w:tc>
          <w:tcPr>
            <w:tcW w:w="1798" w:type="dxa"/>
          </w:tcPr>
          <w:p>
            <w:pPr/>
            <w:r>
              <w:rPr>
                <w:rStyle w:val="CodeChar"/>
              </w:rPr>
              <w:t xml:space="preserve">711a9551667ab08e</w:t>
            </w:r>
          </w:p>
        </w:tc>
        <w:tc>
          <w:tcPr>
            <w:tcW w:w="1599" w:type="dxa"/>
          </w:tcPr>
          <w:p>
            <w:pPr/>
            <w:r>
              <w:t xml:space="preserve">20230514144504</w:t>
            </w:r>
          </w:p>
        </w:tc>
      </w:tr>
      <w:tr>
        <w:tc>
          <w:tcPr>
            <w:tcW w:w="720" w:type="dxa"/>
          </w:tcPr>
          <w:p>
            <w:pPr/>
            <w:r>
              <w:t xml:space="preserve">37</w:t>
            </w:r>
          </w:p>
        </w:tc>
        <w:tc>
          <w:tcPr>
            <w:tcW w:w="1142" w:type="dxa"/>
          </w:tcPr>
          <w:p>
            <w:pPr/>
            <w:r>
              <w:t xml:space="preserve">2023-11-14</w:t>
            </w:r>
          </w:p>
        </w:tc>
        <w:tc>
          <w:tcPr>
            <w:tcW w:w="836" w:type="dxa"/>
          </w:tcPr>
          <w:p>
            <w:pPr/>
            <w:r>
              <w:t xml:space="preserve">1957</w:t>
            </w:r>
          </w:p>
        </w:tc>
        <w:tc>
          <w:tcPr>
            <w:tcW w:w="988" w:type="dxa"/>
          </w:tcPr>
          <w:p>
            <w:pPr/>
            <w:r>
              <w:t xml:space="preserve">1546</w:t>
            </w:r>
          </w:p>
        </w:tc>
        <w:tc>
          <w:tcPr>
            <w:tcW w:w="1170" w:type="dxa"/>
          </w:tcPr>
          <w:p>
            <w:pPr/>
            <w:r>
              <w:t xml:space="preserve">73</w:t>
            </w:r>
          </w:p>
        </w:tc>
        <w:tc>
          <w:tcPr>
            <w:tcW w:w="1107" w:type="dxa"/>
          </w:tcPr>
          <w:p>
            <w:pPr/>
            <w:r>
              <w:t xml:space="preserve">338</w:t>
            </w:r>
          </w:p>
        </w:tc>
        <w:tc>
          <w:tcPr>
            <w:tcW w:w="1798" w:type="dxa"/>
          </w:tcPr>
          <w:p>
            <w:pPr/>
            <w:r>
              <w:rPr>
                <w:rStyle w:val="CodeChar"/>
              </w:rPr>
              <w:t xml:space="preserve">6fb16028d4c8ec98</w:t>
            </w:r>
          </w:p>
        </w:tc>
        <w:tc>
          <w:tcPr>
            <w:tcW w:w="1599" w:type="dxa"/>
          </w:tcPr>
          <w:p>
            <w:pPr/>
            <w:r>
              <w:t xml:space="preserve">20231114132359</w:t>
            </w:r>
          </w:p>
        </w:tc>
      </w:tr>
      <w:tr>
        <w:tc>
          <w:tcPr>
            <w:tcW w:w="720" w:type="dxa"/>
          </w:tcPr>
          <w:p>
            <w:pPr/>
            <w:r>
              <w:t xml:space="preserve">38</w:t>
            </w:r>
          </w:p>
        </w:tc>
        <w:tc>
          <w:tcPr>
            <w:tcW w:w="1142" w:type="dxa"/>
          </w:tcPr>
          <w:p>
            <w:pPr/>
            <w:r>
              <w:t xml:space="preserve">2023-12-07</w:t>
            </w:r>
          </w:p>
        </w:tc>
        <w:tc>
          <w:tcPr>
            <w:tcW w:w="836" w:type="dxa"/>
          </w:tcPr>
          <w:p>
            <w:pPr/>
            <w:r>
              <w:t xml:space="preserve">1970</w:t>
            </w:r>
          </w:p>
        </w:tc>
        <w:tc>
          <w:tcPr>
            <w:tcW w:w="988" w:type="dxa"/>
          </w:tcPr>
          <w:p>
            <w:pPr/>
            <w:r>
              <w:t xml:space="preserve">1554</w:t>
            </w:r>
          </w:p>
        </w:tc>
        <w:tc>
          <w:tcPr>
            <w:tcW w:w="1170" w:type="dxa"/>
          </w:tcPr>
          <w:p>
            <w:pPr/>
            <w:r>
              <w:t xml:space="preserve">78</w:t>
            </w:r>
          </w:p>
        </w:tc>
        <w:tc>
          <w:tcPr>
            <w:tcW w:w="1107" w:type="dxa"/>
          </w:tcPr>
          <w:p>
            <w:pPr/>
            <w:r>
              <w:t xml:space="preserve">338</w:t>
            </w:r>
          </w:p>
        </w:tc>
        <w:tc>
          <w:tcPr>
            <w:tcW w:w="1798" w:type="dxa"/>
          </w:tcPr>
          <w:p>
            <w:pPr/>
            <w:r>
              <w:rPr>
                <w:rStyle w:val="CodeChar"/>
              </w:rPr>
              <w:t xml:space="preserve">8fc388e10d78eafc</w:t>
            </w:r>
          </w:p>
        </w:tc>
        <w:tc>
          <w:tcPr>
            <w:tcW w:w="1599" w:type="dxa"/>
          </w:tcPr>
          <w:p>
            <w:pPr/>
            <w:r>
              <w:t xml:space="preserve">20231207131346</w:t>
            </w:r>
          </w:p>
        </w:tc>
      </w:tr>
      <w:tr>
        <w:tc>
          <w:tcPr>
            <w:tcW w:w="720" w:type="dxa"/>
          </w:tcPr>
          <w:p>
            <w:pPr/>
            <w:r>
              <w:t xml:space="preserve">39</w:t>
            </w:r>
          </w:p>
        </w:tc>
        <w:tc>
          <w:tcPr>
            <w:tcW w:w="1142" w:type="dxa"/>
          </w:tcPr>
          <w:p>
            <w:pPr/>
            <w:r>
              <w:t xml:space="preserve">2023-12-21</w:t>
            </w:r>
          </w:p>
        </w:tc>
        <w:tc>
          <w:tcPr>
            <w:tcW w:w="836" w:type="dxa"/>
          </w:tcPr>
          <w:p>
            <w:pPr/>
            <w:r>
              <w:t xml:space="preserve">1960</w:t>
            </w:r>
          </w:p>
        </w:tc>
        <w:tc>
          <w:tcPr>
            <w:tcW w:w="988" w:type="dxa"/>
          </w:tcPr>
          <w:p>
            <w:pPr/>
            <w:r>
              <w:t xml:space="preserve">1550</w:t>
            </w:r>
          </w:p>
        </w:tc>
        <w:tc>
          <w:tcPr>
            <w:tcW w:w="1170" w:type="dxa"/>
          </w:tcPr>
          <w:p>
            <w:pPr/>
            <w:r>
              <w:t xml:space="preserve">78</w:t>
            </w:r>
          </w:p>
        </w:tc>
        <w:tc>
          <w:tcPr>
            <w:tcW w:w="1107" w:type="dxa"/>
          </w:tcPr>
          <w:p>
            <w:pPr/>
            <w:r>
              <w:t xml:space="preserve">332</w:t>
            </w:r>
          </w:p>
        </w:tc>
        <w:tc>
          <w:tcPr>
            <w:tcW w:w="1798" w:type="dxa"/>
          </w:tcPr>
          <w:p>
            <w:pPr/>
            <w:r>
              <w:rPr>
                <w:rStyle w:val="CodeChar"/>
              </w:rPr>
              <w:t xml:space="preserve">54e9f707e7619569</w:t>
            </w:r>
          </w:p>
        </w:tc>
        <w:tc>
          <w:tcPr>
            <w:tcW w:w="1599" w:type="dxa"/>
          </w:tcPr>
          <w:p>
            <w:pPr/>
            <w:r>
              <w:t xml:space="preserve">20231221203447</w:t>
            </w:r>
          </w:p>
        </w:tc>
      </w:tr>
    </w:tbl>
    <w:p>
      <w:pPr>
        <w:pStyle w:val="Heading2"/>
      </w:pPr>
      <w:r>
        <w:t xml:space="preserve">S3. Duplicate-heading crosswalk and merged-heading sensitivity</w:t>
      </w:r>
    </w:p>
    <w:p>
      <w:pPr>
        <w:pStyle w:val="Heading3"/>
      </w:pPr>
      <w:r>
        <w:t xml:space="preserve">S3.1 Crosswalk</w:t>
      </w:r>
    </w:p>
    <w:p>
      <w:pPr/>
      <w:r>
        <w:t xml:space="preserve">Candidate pairs were generated among the 298 FDA headings by deterministic normalisation of the ingredient phrase (form, route, presentation and grade vocabulary removed; salts retained as part of the ingredient), administration family, formulation class and release class. Each pair carries: salt difference, strength-token overlap, presentation conflict, shared NDC9 count, shared labeler-code count, observation-window overlap and the gap between recorded postings. Automatic classification: KEEP_SEPARATE on salt or presentation conflict or non-overlapping windows; REVIEW on combination headings, strength disagreement, or overlapping windows with postings more than 90 days apart and no shared NDC; MERGE otherwise. Of 54 candidates, 16 were classified MERGE automatically; on review five were demoted (two dextrose pairs where strength equivalence was not established, to KEEP_SEPARATE; potassium chloride concentrate versus injection, 0.9% sodium chloride injection versus bags, and semaglutide (Wegovy) versus semaglutide, to REVIEW), leaving 11 approved pairs. File: </w:t>
      </w:r>
      <w:r>
        <w:rPr>
          <w:rStyle w:val="CodeChar"/>
        </w:rPr>
        <w:t xml:space="preserve">audits/stage4_reconstruction_comparison/heading_dedup_crosswalk.csv</w:t>
      </w:r>
      <w:r>
        <w:t xml:space="preserve">.</w:t>
      </w:r>
    </w:p>
    <w:p>
      <w:pPr/>
      <w:r>
        <w:rPr>
          <w:b/>
        </w:rPr>
        <w:t xml:space="preserve">Table S3a. Approved duplicate-heading pairs</w:t>
      </w:r>
    </w:p>
    <w:tbl>
      <w:tblPr>
        <w:tblStyle w:val="TableGrid"/>
        <w:tblW w:w="0" w:type="auto"/>
        <w:tblLayout w:type="fixed"/>
        <w:tblLook w:val="04A0" w:firstRow="1" w:lastRow="0" w:firstColumn="0" w:lastColumn="0" w:noHBand="0" w:noVBand="1"/>
      </w:tblPr>
      <w:tblGrid>
        <w:gridCol w:w="2699"/>
        <w:gridCol w:w="3136"/>
        <w:gridCol w:w="1309"/>
        <w:gridCol w:w="2216"/>
      </w:tblGrid>
      <w:tr>
        <w:trPr>
          <w:tblHeader/>
        </w:trPr>
        <w:tc>
          <w:tcPr>
            <w:tcW w:w="2699" w:type="dxa"/>
            <w:shd w:val="clear" w:color="auto" w:fill="F2F2F2"/>
          </w:tcPr>
          <w:p>
            <w:pPr/>
            <w:r>
              <w:t xml:space="preserve">Harmonised identity</w:t>
            </w:r>
          </w:p>
        </w:tc>
        <w:tc>
          <w:tcPr>
            <w:tcW w:w="3136" w:type="dxa"/>
            <w:shd w:val="clear" w:color="auto" w:fill="F2F2F2"/>
          </w:tcPr>
          <w:p>
            <w:pPr/>
            <w:r>
              <w:t xml:space="preserve">Headings consolidated</w:t>
            </w:r>
          </w:p>
        </w:tc>
        <w:tc>
          <w:tcPr>
            <w:tcW w:w="1309" w:type="dxa"/>
            <w:shd w:val="clear" w:color="auto" w:fill="F2F2F2"/>
          </w:tcPr>
          <w:p>
            <w:pPr/>
            <w:r>
              <w:t xml:space="preserve">NDC rows</w:t>
            </w:r>
          </w:p>
        </w:tc>
        <w:tc>
          <w:tcPr>
            <w:tcW w:w="2216" w:type="dxa"/>
            <w:shd w:val="clear" w:color="auto" w:fill="F2F2F2"/>
          </w:tcPr>
          <w:p>
            <w:pPr/>
            <w:r>
              <w:t xml:space="preserve">Basis</w:t>
            </w:r>
          </w:p>
        </w:tc>
      </w:tr>
      <w:tr>
        <w:tc>
          <w:tcPr>
            <w:tcW w:w="2699" w:type="dxa"/>
          </w:tcPr>
          <w:p>
            <w:pPr/>
            <w:r>
              <w:t xml:space="preserve">Bumetanide Injection</w:t>
            </w:r>
          </w:p>
        </w:tc>
        <w:tc>
          <w:tcPr>
            <w:tcW w:w="3136" w:type="dxa"/>
          </w:tcPr>
          <w:p>
            <w:pPr/>
            <w:r>
              <w:t xml:space="preserve">Bumetanide Injection; Bumetanide Injection, USP</w:t>
            </w:r>
          </w:p>
        </w:tc>
        <w:tc>
          <w:tcPr>
            <w:tcW w:w="1309" w:type="dxa"/>
          </w:tcPr>
          <w:p>
            <w:pPr/>
            <w:r>
              <w:t xml:space="preserve">6</w:t>
            </w:r>
          </w:p>
        </w:tc>
        <w:tc>
          <w:tcPr>
            <w:tcW w:w="2216" w:type="dxa"/>
          </w:tcPr>
          <w:p>
            <w:pPr/>
            <w:r>
              <w:t xml:space="preserve">grade suffix</w:t>
            </w:r>
          </w:p>
        </w:tc>
      </w:tr>
      <w:tr>
        <w:tc>
          <w:tcPr>
            <w:tcW w:w="2699" w:type="dxa"/>
          </w:tcPr>
          <w:p>
            <w:pPr/>
            <w:r>
              <w:t xml:space="preserve">Bupivacaine Hydrochloride Injection</w:t>
            </w:r>
          </w:p>
        </w:tc>
        <w:tc>
          <w:tcPr>
            <w:tcW w:w="3136" w:type="dxa"/>
          </w:tcPr>
          <w:p>
            <w:pPr/>
            <w:r>
              <w:t xml:space="preserve">with and without USP</w:t>
            </w:r>
          </w:p>
        </w:tc>
        <w:tc>
          <w:tcPr>
            <w:tcW w:w="1309" w:type="dxa"/>
          </w:tcPr>
          <w:p>
            <w:pPr/>
            <w:r>
              <w:t xml:space="preserve">32</w:t>
            </w:r>
          </w:p>
        </w:tc>
        <w:tc>
          <w:tcPr>
            <w:tcW w:w="2216" w:type="dxa"/>
          </w:tcPr>
          <w:p>
            <w:pPr/>
            <w:r>
              <w:t xml:space="preserve">grade suffix</w:t>
            </w:r>
          </w:p>
        </w:tc>
      </w:tr>
      <w:tr>
        <w:tc>
          <w:tcPr>
            <w:tcW w:w="2699" w:type="dxa"/>
          </w:tcPr>
          <w:p>
            <w:pPr/>
            <w:r>
              <w:t xml:space="preserve">Capecitabine Tablet</w:t>
            </w:r>
          </w:p>
        </w:tc>
        <w:tc>
          <w:tcPr>
            <w:tcW w:w="3136" w:type="dxa"/>
          </w:tcPr>
          <w:p>
            <w:pPr/>
            <w:r>
              <w:t xml:space="preserve">Tablet; Tablets</w:t>
            </w:r>
          </w:p>
        </w:tc>
        <w:tc>
          <w:tcPr>
            <w:tcW w:w="1309" w:type="dxa"/>
          </w:tcPr>
          <w:p>
            <w:pPr/>
            <w:r>
              <w:t xml:space="preserve">11</w:t>
            </w:r>
          </w:p>
        </w:tc>
        <w:tc>
          <w:tcPr>
            <w:tcW w:w="2216" w:type="dxa"/>
          </w:tcPr>
          <w:p>
            <w:pPr/>
            <w:r>
              <w:t xml:space="preserve">plural</w:t>
            </w:r>
          </w:p>
        </w:tc>
      </w:tr>
      <w:tr>
        <w:tc>
          <w:tcPr>
            <w:tcW w:w="2699" w:type="dxa"/>
          </w:tcPr>
          <w:p>
            <w:pPr/>
            <w:r>
              <w:t xml:space="preserve">Furosemide Injection</w:t>
            </w:r>
          </w:p>
        </w:tc>
        <w:tc>
          <w:tcPr>
            <w:tcW w:w="3136" w:type="dxa"/>
          </w:tcPr>
          <w:p>
            <w:pPr/>
            <w:r>
              <w:t xml:space="preserve">with and without USP</w:t>
            </w:r>
          </w:p>
        </w:tc>
        <w:tc>
          <w:tcPr>
            <w:tcW w:w="1309" w:type="dxa"/>
          </w:tcPr>
          <w:p>
            <w:pPr/>
            <w:r>
              <w:t xml:space="preserve">18</w:t>
            </w:r>
          </w:p>
        </w:tc>
        <w:tc>
          <w:tcPr>
            <w:tcW w:w="2216" w:type="dxa"/>
          </w:tcPr>
          <w:p>
            <w:pPr/>
            <w:r>
              <w:t xml:space="preserve">grade suffix</w:t>
            </w:r>
          </w:p>
        </w:tc>
      </w:tr>
      <w:tr>
        <w:tc>
          <w:tcPr>
            <w:tcW w:w="2699" w:type="dxa"/>
          </w:tcPr>
          <w:p>
            <w:pPr/>
            <w:r>
              <w:t xml:space="preserve">Hydrocortisone Tablets</w:t>
            </w:r>
          </w:p>
        </w:tc>
        <w:tc>
          <w:tcPr>
            <w:tcW w:w="3136" w:type="dxa"/>
          </w:tcPr>
          <w:p>
            <w:pPr/>
            <w:r>
              <w:t xml:space="preserve">with and without USP</w:t>
            </w:r>
          </w:p>
        </w:tc>
        <w:tc>
          <w:tcPr>
            <w:tcW w:w="1309" w:type="dxa"/>
          </w:tcPr>
          <w:p>
            <w:pPr/>
            <w:r>
              <w:t xml:space="preserve">14</w:t>
            </w:r>
          </w:p>
        </w:tc>
        <w:tc>
          <w:tcPr>
            <w:tcW w:w="2216" w:type="dxa"/>
          </w:tcPr>
          <w:p>
            <w:pPr/>
            <w:r>
              <w:t xml:space="preserve">grade suffix</w:t>
            </w:r>
          </w:p>
        </w:tc>
      </w:tr>
      <w:tr>
        <w:tc>
          <w:tcPr>
            <w:tcW w:w="2699" w:type="dxa"/>
          </w:tcPr>
          <w:p>
            <w:pPr/>
            <w:r>
              <w:t xml:space="preserve">Iomeprol Injection</w:t>
            </w:r>
          </w:p>
        </w:tc>
        <w:tc>
          <w:tcPr>
            <w:tcW w:w="3136" w:type="dxa"/>
          </w:tcPr>
          <w:p>
            <w:pPr/>
            <w:r>
              <w:t xml:space="preserve">Injection; injection</w:t>
            </w:r>
          </w:p>
        </w:tc>
        <w:tc>
          <w:tcPr>
            <w:tcW w:w="1309" w:type="dxa"/>
          </w:tcPr>
          <w:p>
            <w:pPr/>
            <w:r>
              <w:t xml:space="preserve">7</w:t>
            </w:r>
          </w:p>
        </w:tc>
        <w:tc>
          <w:tcPr>
            <w:tcW w:w="2216" w:type="dxa"/>
          </w:tcPr>
          <w:p>
            <w:pPr/>
            <w:r>
              <w:t xml:space="preserve">case</w:t>
            </w:r>
          </w:p>
        </w:tc>
      </w:tr>
      <w:tr>
        <w:tc>
          <w:tcPr>
            <w:tcW w:w="2699" w:type="dxa"/>
          </w:tcPr>
          <w:p>
            <w:pPr/>
            <w:r>
              <w:t xml:space="preserve">Midazolam Injection</w:t>
            </w:r>
          </w:p>
        </w:tc>
        <w:tc>
          <w:tcPr>
            <w:tcW w:w="3136" w:type="dxa"/>
          </w:tcPr>
          <w:p>
            <w:pPr/>
            <w:r>
              <w:t xml:space="preserve">with and without USP</w:t>
            </w:r>
          </w:p>
        </w:tc>
        <w:tc>
          <w:tcPr>
            <w:tcW w:w="1309" w:type="dxa"/>
          </w:tcPr>
          <w:p>
            <w:pPr/>
            <w:r>
              <w:t xml:space="preserve">25</w:t>
            </w:r>
          </w:p>
        </w:tc>
        <w:tc>
          <w:tcPr>
            <w:tcW w:w="2216" w:type="dxa"/>
          </w:tcPr>
          <w:p>
            <w:pPr/>
            <w:r>
              <w:t xml:space="preserve">grade suffix</w:t>
            </w:r>
          </w:p>
        </w:tc>
      </w:tr>
      <w:tr>
        <w:tc>
          <w:tcPr>
            <w:tcW w:w="2699" w:type="dxa"/>
          </w:tcPr>
          <w:p>
            <w:pPr/>
            <w:r>
              <w:t xml:space="preserve">Nitroglycerin Injection</w:t>
            </w:r>
          </w:p>
        </w:tc>
        <w:tc>
          <w:tcPr>
            <w:tcW w:w="3136" w:type="dxa"/>
          </w:tcPr>
          <w:p>
            <w:pPr/>
            <w:r>
              <w:t xml:space="preserve">Injectable; Injection</w:t>
            </w:r>
          </w:p>
        </w:tc>
        <w:tc>
          <w:tcPr>
            <w:tcW w:w="1309" w:type="dxa"/>
          </w:tcPr>
          <w:p>
            <w:pPr/>
            <w:r>
              <w:t xml:space="preserve">4</w:t>
            </w:r>
          </w:p>
        </w:tc>
        <w:tc>
          <w:tcPr>
            <w:tcW w:w="2216" w:type="dxa"/>
          </w:tcPr>
          <w:p>
            <w:pPr/>
            <w:r>
              <w:t xml:space="preserve">form synonym</w:t>
            </w:r>
          </w:p>
        </w:tc>
      </w:tr>
      <w:tr>
        <w:tc>
          <w:tcPr>
            <w:tcW w:w="2699" w:type="dxa"/>
          </w:tcPr>
          <w:p>
            <w:pPr/>
            <w:r>
              <w:t xml:space="preserve">Semaglutide Injection</w:t>
            </w:r>
          </w:p>
        </w:tc>
        <w:tc>
          <w:tcPr>
            <w:tcW w:w="3136" w:type="dxa"/>
          </w:tcPr>
          <w:p>
            <w:pPr/>
            <w:r>
              <w:t xml:space="preserve">Semaglutide (Ozempic) Injection; Semaglutide Injection</w:t>
            </w:r>
          </w:p>
        </w:tc>
        <w:tc>
          <w:tcPr>
            <w:tcW w:w="1309" w:type="dxa"/>
          </w:tcPr>
          <w:p>
            <w:pPr/>
            <w:r>
              <w:t xml:space="preserve">5</w:t>
            </w:r>
          </w:p>
        </w:tc>
        <w:tc>
          <w:tcPr>
            <w:tcW w:w="2216" w:type="dxa"/>
          </w:tcPr>
          <w:p>
            <w:pPr/>
            <w:r>
              <w:t xml:space="preserve">brand parenthetical</w:t>
            </w:r>
          </w:p>
        </w:tc>
      </w:tr>
      <w:tr>
        <w:tc>
          <w:tcPr>
            <w:tcW w:w="2699" w:type="dxa"/>
          </w:tcPr>
          <w:p>
            <w:pPr/>
            <w:r>
              <w:t xml:space="preserve">0.9% Sodium Chloride Irrigation</w:t>
            </w:r>
          </w:p>
        </w:tc>
        <w:tc>
          <w:tcPr>
            <w:tcW w:w="3136" w:type="dxa"/>
          </w:tcPr>
          <w:p>
            <w:pPr/>
            <w:r>
              <w:t xml:space="preserve">word order variants</w:t>
            </w:r>
          </w:p>
        </w:tc>
        <w:tc>
          <w:tcPr>
            <w:tcW w:w="1309" w:type="dxa"/>
          </w:tcPr>
          <w:p>
            <w:pPr/>
            <w:r>
              <w:t xml:space="preserve">7</w:t>
            </w:r>
          </w:p>
        </w:tc>
        <w:tc>
          <w:tcPr>
            <w:tcW w:w="2216" w:type="dxa"/>
          </w:tcPr>
          <w:p>
            <w:pPr/>
            <w:r>
              <w:t xml:space="preserve">word order</w:t>
            </w:r>
          </w:p>
        </w:tc>
      </w:tr>
      <w:tr>
        <w:tc>
          <w:tcPr>
            <w:tcW w:w="2699" w:type="dxa"/>
          </w:tcPr>
          <w:p>
            <w:pPr/>
            <w:r>
              <w:t xml:space="preserve">Sulfasalazine Tablet</w:t>
            </w:r>
          </w:p>
        </w:tc>
        <w:tc>
          <w:tcPr>
            <w:tcW w:w="3136" w:type="dxa"/>
          </w:tcPr>
          <w:p>
            <w:pPr/>
            <w:r>
              <w:t xml:space="preserve">Tablet; Tablets (one shared NDC9)</w:t>
            </w:r>
          </w:p>
        </w:tc>
        <w:tc>
          <w:tcPr>
            <w:tcW w:w="1309" w:type="dxa"/>
          </w:tcPr>
          <w:p>
            <w:pPr/>
            <w:r>
              <w:t xml:space="preserve">9</w:t>
            </w:r>
          </w:p>
        </w:tc>
        <w:tc>
          <w:tcPr>
            <w:tcW w:w="2216" w:type="dxa"/>
          </w:tcPr>
          <w:p>
            <w:pPr/>
            <w:r>
              <w:t xml:space="preserve">plural</w:t>
            </w:r>
          </w:p>
        </w:tc>
      </w:tr>
    </w:tbl>
    <w:p>
      <w:pPr/>
      <w:r>
        <w:t xml:space="preserve">All 11 pairs had overlapping observation windows and were consolidated into a single spell each; no identity required separate spells. The shared exit rule was reapplied over each consolidated NDC population.</w:t>
      </w:r>
    </w:p>
    <w:p>
      <w:pPr>
        <w:pStyle w:val="Heading3"/>
      </w:pPr>
      <w:r>
        <w:t xml:space="preserve">S3.2 Sensitivity results</w:t>
      </w:r>
    </w:p>
    <w:p>
      <w:pPr/>
      <w:r>
        <w:rPr>
          <w:b/>
        </w:rPr>
        <w:t xml:space="preserve">Table S3b. Heading-level versus merged-heading results</w:t>
      </w:r>
    </w:p>
    <w:tbl>
      <w:tblPr>
        <w:tblStyle w:val="TableGrid"/>
        <w:tblW w:w="0" w:type="auto"/>
        <w:tblLayout w:type="fixed"/>
        <w:tblLook w:val="04A0" w:firstRow="1" w:lastRow="0" w:firstColumn="0" w:lastColumn="0" w:noHBand="0" w:noVBand="1"/>
      </w:tblPr>
      <w:tblGrid>
        <w:gridCol w:w="4920"/>
        <w:gridCol w:w="2235"/>
        <w:gridCol w:w="2204"/>
      </w:tblGrid>
      <w:tr>
        <w:trPr>
          <w:tblHeader/>
        </w:trPr>
        <w:tc>
          <w:tcPr>
            <w:tcW w:w="4920" w:type="dxa"/>
            <w:shd w:val="clear" w:color="auto" w:fill="F2F2F2"/>
          </w:tcPr>
          <w:p>
            <w:pPr/>
            <w:r>
              <w:t xml:space="preserve">Result</w:t>
            </w:r>
          </w:p>
        </w:tc>
        <w:tc>
          <w:tcPr>
            <w:tcW w:w="2235" w:type="dxa"/>
            <w:shd w:val="clear" w:color="auto" w:fill="F2F2F2"/>
          </w:tcPr>
          <w:p>
            <w:pPr/>
            <w:r>
              <w:t xml:space="preserve">Original headings</w:t>
            </w:r>
          </w:p>
        </w:tc>
        <w:tc>
          <w:tcPr>
            <w:tcW w:w="2204" w:type="dxa"/>
            <w:shd w:val="clear" w:color="auto" w:fill="F2F2F2"/>
          </w:tcPr>
          <w:p>
            <w:pPr/>
            <w:r>
              <w:t xml:space="preserve">Merged headings</w:t>
            </w:r>
          </w:p>
        </w:tc>
      </w:tr>
      <w:tr>
        <w:tc>
          <w:tcPr>
            <w:tcW w:w="4920" w:type="dxa"/>
          </w:tcPr>
          <w:p>
            <w:pPr/>
            <w:r>
              <w:t xml:space="preserve">Administrative units</w:t>
            </w:r>
          </w:p>
        </w:tc>
        <w:tc>
          <w:tcPr>
            <w:tcW w:w="2235" w:type="dxa"/>
          </w:tcPr>
          <w:p>
            <w:pPr/>
            <w:r>
              <w:t xml:space="preserve">298</w:t>
            </w:r>
          </w:p>
        </w:tc>
        <w:tc>
          <w:tcPr>
            <w:tcW w:w="2204" w:type="dxa"/>
          </w:tcPr>
          <w:p>
            <w:pPr/>
            <w:r>
              <w:t xml:space="preserve">287</w:t>
            </w:r>
          </w:p>
        </w:tc>
      </w:tr>
      <w:tr>
        <w:tc>
          <w:tcPr>
            <w:tcW w:w="4920" w:type="dxa"/>
          </w:tcPr>
          <w:p>
            <w:pPr/>
            <w:r>
              <w:t xml:space="preserve">Entry-identifiable cohort</w:t>
            </w:r>
          </w:p>
        </w:tc>
        <w:tc>
          <w:tcPr>
            <w:tcW w:w="2235" w:type="dxa"/>
          </w:tcPr>
          <w:p>
            <w:pPr/>
            <w:r>
              <w:t xml:space="preserve">184</w:t>
            </w:r>
          </w:p>
        </w:tc>
        <w:tc>
          <w:tcPr>
            <w:tcW w:w="2204" w:type="dxa"/>
          </w:tcPr>
          <w:p>
            <w:pPr/>
            <w:r>
              <w:t xml:space="preserve">175</w:t>
            </w:r>
          </w:p>
        </w:tc>
      </w:tr>
      <w:tr>
        <w:tc>
          <w:tcPr>
            <w:tcW w:w="4920" w:type="dxa"/>
          </w:tcPr>
          <w:p>
            <w:pPr/>
            <w:r>
              <w:t xml:space="preserve">Analytical observations</w:t>
            </w:r>
          </w:p>
        </w:tc>
        <w:tc>
          <w:tcPr>
            <w:tcW w:w="2235" w:type="dxa"/>
          </w:tcPr>
          <w:p>
            <w:pPr/>
            <w:r>
              <w:t xml:space="preserve">173</w:t>
            </w:r>
          </w:p>
        </w:tc>
        <w:tc>
          <w:tcPr>
            <w:tcW w:w="2204" w:type="dxa"/>
          </w:tcPr>
          <w:p>
            <w:pPr/>
            <w:r>
              <w:t xml:space="preserve">164</w:t>
            </w:r>
          </w:p>
        </w:tc>
      </w:tr>
      <w:tr>
        <w:tc>
          <w:tcPr>
            <w:tcW w:w="4920" w:type="dxa"/>
          </w:tcPr>
          <w:p>
            <w:pPr/>
            <w:r>
              <w:t xml:space="preserve">Resolved events</w:t>
            </w:r>
          </w:p>
        </w:tc>
        <w:tc>
          <w:tcPr>
            <w:tcW w:w="2235" w:type="dxa"/>
          </w:tcPr>
          <w:p>
            <w:pPr/>
            <w:r>
              <w:t xml:space="preserve">51</w:t>
            </w:r>
          </w:p>
        </w:tc>
        <w:tc>
          <w:tcPr>
            <w:tcW w:w="2204" w:type="dxa"/>
          </w:tcPr>
          <w:p>
            <w:pPr/>
            <w:r>
              <w:t xml:space="preserve">49</w:t>
            </w:r>
          </w:p>
        </w:tc>
      </w:tr>
      <w:tr>
        <w:tc>
          <w:tcPr>
            <w:tcW w:w="4920" w:type="dxa"/>
          </w:tcPr>
          <w:p>
            <w:pPr/>
            <w:r>
              <w:t xml:space="preserve">Ambiguous exits in cohort</w:t>
            </w:r>
          </w:p>
        </w:tc>
        <w:tc>
          <w:tcPr>
            <w:tcW w:w="2235" w:type="dxa"/>
          </w:tcPr>
          <w:p>
            <w:pPr/>
            <w:r>
              <w:t xml:space="preserve">11</w:t>
            </w:r>
          </w:p>
        </w:tc>
        <w:tc>
          <w:tcPr>
            <w:tcW w:w="2204" w:type="dxa"/>
          </w:tcPr>
          <w:p>
            <w:pPr/>
            <w:r>
              <w:t xml:space="preserve">11</w:t>
            </w:r>
          </w:p>
        </w:tc>
      </w:tr>
      <w:tr>
        <w:tc>
          <w:tcPr>
            <w:tcW w:w="4920" w:type="dxa"/>
          </w:tcPr>
          <w:p>
            <w:pPr/>
            <w:r>
              <w:t xml:space="preserve">Paired R1 minus R2 (latest), median (IQR), days</w:t>
            </w:r>
          </w:p>
        </w:tc>
        <w:tc>
          <w:tcPr>
            <w:tcW w:w="2235" w:type="dxa"/>
          </w:tcPr>
          <w:p>
            <w:pPr/>
            <w:r>
              <w:t xml:space="preserve">37 (16 to 118)</w:t>
            </w:r>
          </w:p>
        </w:tc>
        <w:tc>
          <w:tcPr>
            <w:tcW w:w="2204" w:type="dxa"/>
          </w:tcPr>
          <w:p>
            <w:pPr/>
            <w:r>
              <w:t xml:space="preserve">36 (15 to 111)</w:t>
            </w:r>
          </w:p>
        </w:tc>
      </w:tr>
      <w:tr>
        <w:tc>
          <w:tcPr>
            <w:tcW w:w="4920" w:type="dxa"/>
          </w:tcPr>
          <w:p>
            <w:pPr/>
            <w:r>
              <w:t xml:space="preserve">Drugs with discrepancy over 365 days</w:t>
            </w:r>
          </w:p>
        </w:tc>
        <w:tc>
          <w:tcPr>
            <w:tcW w:w="2235" w:type="dxa"/>
          </w:tcPr>
          <w:p>
            <w:pPr/>
            <w:r>
              <w:t xml:space="preserve">11</w:t>
            </w:r>
          </w:p>
        </w:tc>
        <w:tc>
          <w:tcPr>
            <w:tcW w:w="2204" w:type="dxa"/>
          </w:tcPr>
          <w:p>
            <w:pPr/>
            <w:r>
              <w:t xml:space="preserve">9</w:t>
            </w:r>
          </w:p>
        </w:tc>
      </w:tr>
      <w:tr>
        <w:tc>
          <w:tcPr>
            <w:tcW w:w="4920" w:type="dxa"/>
          </w:tcPr>
          <w:p>
            <w:pPr/>
            <w:r>
              <w:t xml:space="preserve">One-year survival, R1 / R2 earliest / R2 latest</w:t>
            </w:r>
          </w:p>
        </w:tc>
        <w:tc>
          <w:tcPr>
            <w:tcW w:w="2235" w:type="dxa"/>
          </w:tcPr>
          <w:p>
            <w:pPr/>
            <w:r>
              <w:t xml:space="preserve">0.823 / 0.840 / 0.789</w:t>
            </w:r>
          </w:p>
        </w:tc>
        <w:tc>
          <w:tcPr>
            <w:tcW w:w="2204" w:type="dxa"/>
          </w:tcPr>
          <w:p>
            <w:pPr/>
            <w:r>
              <w:t xml:space="preserve">0.821 / 0.833 / 0.787</w:t>
            </w:r>
          </w:p>
        </w:tc>
      </w:tr>
      <w:tr>
        <w:tc>
          <w:tcPr>
            <w:tcW w:w="4920" w:type="dxa"/>
          </w:tcPr>
          <w:p>
            <w:pPr/>
            <w:r>
              <w:t xml:space="preserve">KM median, R1 / R2 earliest / R2 latest</w:t>
            </w:r>
          </w:p>
        </w:tc>
        <w:tc>
          <w:tcPr>
            <w:tcW w:w="2235" w:type="dxa"/>
          </w:tcPr>
          <w:p>
            <w:pPr/>
            <w:r>
              <w:t xml:space="preserve">not reached / not reached / 916</w:t>
            </w:r>
          </w:p>
        </w:tc>
        <w:tc>
          <w:tcPr>
            <w:tcW w:w="2204" w:type="dxa"/>
          </w:tcPr>
          <w:p>
            <w:pPr/>
            <w:r>
              <w:t xml:space="preserve">not reached / not reached / 916</w:t>
            </w:r>
          </w:p>
        </w:tc>
      </w:tr>
      <w:tr>
        <w:tc>
          <w:tcPr>
            <w:tcW w:w="4920" w:type="dxa"/>
          </w:tcPr>
          <w:p>
            <w:pPr/>
            <w:r>
              <w:t xml:space="preserve">Top-20 members present under all three onset definitions</w:t>
            </w:r>
          </w:p>
        </w:tc>
        <w:tc>
          <w:tcPr>
            <w:tcW w:w="2235" w:type="dxa"/>
          </w:tcPr>
          <w:p>
            <w:pPr/>
            <w:r>
              <w:t xml:space="preserve">16</w:t>
            </w:r>
          </w:p>
        </w:tc>
        <w:tc>
          <w:tcPr>
            <w:tcW w:w="2204" w:type="dxa"/>
          </w:tcPr>
          <w:p>
            <w:pPr/>
            <w:r>
              <w:t xml:space="preserve">18</w:t>
            </w:r>
          </w:p>
        </w:tc>
      </w:tr>
      <w:tr>
        <w:tc>
          <w:tcPr>
            <w:tcW w:w="4920" w:type="dxa"/>
          </w:tcPr>
          <w:p>
            <w:pPr/>
            <w:r>
              <w:t xml:space="preserve">Top-20 candidate union</w:t>
            </w:r>
          </w:p>
        </w:tc>
        <w:tc>
          <w:tcPr>
            <w:tcW w:w="2235" w:type="dxa"/>
          </w:tcPr>
          <w:p>
            <w:pPr/>
            <w:r>
              <w:t xml:space="preserve">24</w:t>
            </w:r>
          </w:p>
        </w:tc>
        <w:tc>
          <w:tcPr>
            <w:tcW w:w="2204" w:type="dxa"/>
          </w:tcPr>
          <w:p>
            <w:pPr/>
            <w:r>
              <w:t xml:space="preserve">22</w:t>
            </w:r>
          </w:p>
        </w:tc>
      </w:tr>
      <w:tr>
        <w:tc>
          <w:tcPr>
            <w:tcW w:w="4920" w:type="dxa"/>
          </w:tcPr>
          <w:p>
            <w:pPr/>
            <w:r>
              <w:t xml:space="preserve">Spearman, R1 versus R2 latest / earliest</w:t>
            </w:r>
          </w:p>
        </w:tc>
        <w:tc>
          <w:tcPr>
            <w:tcW w:w="2235" w:type="dxa"/>
          </w:tcPr>
          <w:p>
            <w:pPr/>
            <w:r>
              <w:t xml:space="preserve">0.825 / 0.817</w:t>
            </w:r>
          </w:p>
        </w:tc>
        <w:tc>
          <w:tcPr>
            <w:tcW w:w="2204" w:type="dxa"/>
          </w:tcPr>
          <w:p>
            <w:pPr/>
            <w:r>
              <w:t xml:space="preserve">0.856 / 0.853</w:t>
            </w:r>
          </w:p>
        </w:tc>
      </w:tr>
    </w:tbl>
    <w:p>
      <w:pPr/>
      <w:r>
        <w:t xml:space="preserve">Under merged headings the identities leaving the top 20 under archive-observed onset are atropine sulfate injection and 23.4% sodium chloride injection; those entering are desmopressin acetate nasal spray and rifampin injection. Of the eight heading-level POSSIBLE drugs, one (sulfasalazine) involved a duplicate heading. Files: </w:t>
      </w:r>
      <w:r>
        <w:rPr>
          <w:rStyle w:val="CodeChar"/>
        </w:rPr>
        <w:t xml:space="preserve">audits/stage4_reconstruction_comparison/sensitivity_merged/</w:t>
      </w:r>
      <w:r>
        <w:t xml:space="preserve">.</w:t>
      </w:r>
    </w:p>
    <w:p>
      <w:pPr>
        <w:pStyle w:val="Heading2"/>
      </w:pPr>
      <w:r>
        <w:t xml:space="preserve">Figure S1. Kaplan–Meier survival under three onset definitions</w:t>
      </w:r>
    </w:p>
    <w:p>
      <w:pPr/>
      <w:r>
        <w:rPr>
          <w:i/>
        </w:rPr>
        <w:t xml:space="preserve">(Figure file: </w:t>
      </w:r>
      <w:r>
        <w:rPr>
          <w:rStyle w:val="CodeChar"/>
          <w:i/>
        </w:rPr>
        <w:t xml:space="preserve">figures/figS1_km_curves.pdf</w:t>
      </w:r>
      <w:r>
        <w:rPr>
          <w:i/>
        </w:rPr>
        <w:t xml:space="preserve">.)</w:t>
      </w:r>
      <w:r>
        <w:t xml:space="preserve"> Kaplan–Meier survival for the 173-drug common cohort with 51 resolution events, under R1 (recorded posting), R2 earliest plausible onset and R2 latest plausible onset. The three curves share subjects, events and the censoring rule; their time-dependent risk sets differ with the onset shift, so the estimates are not independent. Reference lines at 110, 180 and 365 days correspond to the survival probabilities reported in Table 3b. The curves are nearly coincident; the paired-difference distribution in main-text Figure 2 carries the information that these aggregate curves conceal.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Supplementary Material</dc:title>
  <dc:description>Claude Docs node/dd844c4b-deb9@3 docx-w7</dc:description>
  <cp:revision>3</cp:revision>
</cp:coreProperties>
</file>