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96B9D" w14:textId="77777777" w:rsidR="00801729" w:rsidRPr="00AB1AEB" w:rsidRDefault="00000000">
      <w:pPr>
        <w:pStyle w:val="Heading1"/>
        <w:spacing w:line="360" w:lineRule="auto"/>
        <w:jc w:val="center"/>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4B2322A"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14:paraId="633B3DB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72BB61C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A225D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(Sheffi and Rice, 2005; Melnyk et al., 2014), and the field already recognises that the choice of recovery indicator is not neutral: different metrics can lead to different conclusions about performance and to different investment decisions (Behzadi et al., 2020; Ivanov, 2025). Those studies take the underlying event dates as given. Increasingly, however, recovery times are measured from administrative records rather than from firms' own operational data, and a register records what an agency did and when, not what happened in the supply chain and when. The date on which a shortage was </w:t>
      </w:r>
      <w:r>
        <w:rPr>
          <w:rFonts w:ascii="Times New Roman" w:hAnsi="Times New Roman" w:cs="Times New Roman"/>
          <w:sz w:val="24"/>
          <w:szCs w:val="24"/>
          <w:i/>
        </w:rPr>
        <w:t xml:space="preserve">posted</w:t>
      </w:r>
      <w:r>
        <w:rPr>
          <w:rFonts w:ascii="Times New Roman" w:hAnsi="Times New Roman" w:cs="Times New Roman"/>
          <w:sz w:val="24"/>
          <w:szCs w:val="24"/>
        </w:rPr>
        <w:t xml:space="preserve"> is a reporting act; the date on which supply </w:t>
      </w:r>
      <w:r>
        <w:rPr>
          <w:rFonts w:ascii="Times New Roman" w:hAnsi="Times New Roman" w:cs="Times New Roman"/>
          <w:sz w:val="24"/>
          <w:szCs w:val="24"/>
          <w:i/>
        </w:rPr>
        <w:t xml:space="preserve">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The two registers apply different shortage definitions and serve different purposes, a distinction ASHP itself documents (American Society of Health-System Pharmacists [ASHP], 2014).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in the studies we reviewed, and their consequences have not, to our knowledge, been compared on a common cohort.</w:t>
      </w:r>
    </w:p>
    <w:p w14:paraId="36F252B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095D3E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t>
        <w:lastRenderedPageBreak/>
        <w:t>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592282A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1BFB9CF6"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2. Literature review</w:t>
      </w:r>
    </w:p>
    <w:p w14:paraId="1EC13DB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Bode and Macdonald, 2017; Hosseini et al., 2022; Ivanov, 2020). Measurement work within this tradition has shown that the construct is sensitive to how it is operationalised. Behzadi et al. (2020) review resilience metrics and demonstrate that alternative metrics can rank the same mitigation strategies differently; Ivanov (2025) shows that customer-facing indicators such as on-time delivery and operational indicators such as fill rate detect and date the same disruption differently, so that time to recover depends on the perspective adopted. Hosseini et al. (2022) argue for conceptualising and measuring resilience in an open-system context in which the boundary of what is measured shapes the result. These contributions concern the choice of indicator. The literature on how onset and restoration are </w:t>
      </w:r>
      <w:r>
        <w:rPr>
          <w:rFonts w:ascii="Times New Roman" w:hAnsi="Times New Roman" w:cs="Times New Roman"/>
          <w:sz w:val="24"/>
          <w:szCs w:val="24"/>
          <w:i/>
        </w:rPr>
        <w:t xml:space="preserve">dated</w:t>
      </w:r>
      <w:r>
        <w:rPr>
          <w:rFonts w:ascii="Times New Roman" w:hAnsi="Times New Roman" w:cs="Times New Roman"/>
          <w:sz w:val="24"/>
          <w:szCs w:val="24"/>
        </w:rPr>
        <w:t xml:space="preserve"> in the records from which indicators are computed is thin. Where recovery times are drawn from administrative or secondary records such as regulatory filings, incident databases or trade press, the date carried in the record is a reporting milestone, not the event itself, and the gap between the two is seldom quantified. Performance-measurement scholarship in operations has long noted that measures inherit the properties of the systems that produce them (Neely, 2005; Melnyk et al., 2004), but this observation has not been carried into the resilience literature's treatment of recovery-time data. A systematic review of systems thinking in supply chains further emphasises interdependencies, feedback and the need to interpret resilience outcomes at the system level (Rana et al., 2026).</w:t>
      </w:r>
    </w:p>
    <w:p w14:paraId="6DEDC127"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2.2 Pharmaceutical shortage measurement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covering two decades of that literature documents its scale (Tucker et al., 2020). In the duration studies we reviewed, the measure rests on the registers' own posting and resolution dates. Because the FDA list retains resolved entries only briefly, historical duration requires archival 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121EDB6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Epidemiology and health-services research have developed a mature methodology for linking administrative records and reconstructing episodes from them (Harron et al., 2015). Three of its findings transfer directly. First, linkage error is systematic, not random: false matches, missed matches and non-representative linked samples each bias downstream estimates in characteristic directions, and the linked sample should be compared with the unlinked population by stratum rather than assumed equivalent (Harron, Dibben et al., 2017). Second, linkage quality should be evaluated and reported alongside results, with sensitivity analyses that vary the matching rule, because the analyst's matching choices are part of the measurement (Harron, Doidge et al., 2017). Third, the unit of record (a claim, a prescription, a package code) is rarely the unit of inference (a patient, an episode, a drug); onset and exit observed through periodic snapshots are interval-censored rather than point events; and an absent record is evidence of absence only when the recording system is known to be complete. Operations and supply chain research has adopted large-scale data analytics (Choi et al., 2018) but has imported less of this apparatus, and in particular has rarely reported identity confidence, spell-linkage confidence or observation intervals alongside its estimates.</w:t>
      </w:r>
    </w:p>
    <w:p w14:paraId="20E5354A"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2.4 Positioning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sits at the intersection of three gaps. Resilience measurement research has established that indicator choice changes conclusions (Behzadi et al., 2020; Ivanov, 2025), but takes event dates as given. Administrative record-linkage research has established that linkage and reconstruction choices introduce measurement uncertainty that must be reported (Harron, Dibben et al., 2017; Harron, Doidge et al., 2017), but we found no application of it to supply chain disruption records. FDA and ASHP document that their shortage definitions and reporting purposes differ (ASHP, 2014), but the consequences of linking their records and reading their timestamps as recovery events have not been quantified. The study takes the archival FDA reconstruction of the HHS/ASPE analysis (ERG, 2025) as its starting point, applies the record-linkage discipline to it and to ASHP, and asks an operations question: which conclusions about shortage persistence and priority are robust to the reconstruction choices a researcher or planner must make, and which are not. Its contribution is not the discovery that resilience metrics or administrative data are imperfect, which the literatures above document, but a quantified comparison of alternative administrative event reconstructions applied to a common pharmaceutical shortage cohort.</w:t>
      </w:r>
    </w:p>
    <w:p w14:paraId="1362281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37A9E2E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3.1 Data sources</w:t>
      </w:r>
    </w:p>
    <w:p w14:paraId="0B72E0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511E891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about six months after resolution (U.S. Food and Drug Administration [FDA], 2024),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1B7E5D2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w:t>
        <w:lastRenderedPageBreak/>
        <w:t>that a resolved bulletin is moved to the resolved list on a separate date, and that a recurring shortage receives a new bulletin (ASHP, n.d.). ASHP's shortage definition is hospital-impact based and broader than FDA's national-supply determination (ASHP, 2014).</w:t>
      </w:r>
    </w:p>
    <w:p w14:paraId="59C939B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17B76444" w14:textId="77777777" w:rsidR="00801729" w:rsidRPr="00AB1AEB" w:rsidRDefault="00801729">
      <w:pPr>
        <w:spacing w:line="360" w:lineRule="auto"/>
        <w:jc w:val="both"/>
        <w:rPr>
          <w:rFonts w:ascii="Times New Roman" w:hAnsi="Times New Roman" w:cs="Times New Roman"/>
          <w:b/>
          <w:sz w:val="24"/>
          <w:szCs w:val="24"/>
        </w:rPr>
      </w:pPr>
    </w:p>
    <w:p w14:paraId="718E4F2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jc w:val="center"/>
        <w:tblLayout w:type="fixed"/>
        <w:tblLook w:val="0420" w:firstRow="1" w:lastRow="0" w:firstColumn="0" w:lastColumn="0" w:noHBand="0" w:noVBand="1"/>
      </w:tblPr>
      <w:tblGrid>
        <w:gridCol w:w="1384"/>
        <w:gridCol w:w="2746"/>
        <w:gridCol w:w="2498"/>
        <w:gridCol w:w="2732"/>
      </w:tblGrid>
      <w:tr w:rsidR="00801729" w:rsidRPr="00AB1AEB" w14:paraId="10C0B5F7" w14:textId="77777777">
        <w:trPr>
          <w:trHeight w:val="719"/>
          <w:tblHeader/>
          <w:jc w:val="center"/>
        </w:trPr>
        <w:tc>
          <w:tcPr>
            <w:tcW w:w="1384" w:type="dxa"/>
            <w:shd w:val="clear" w:color="auto" w:fill="F2F2F2"/>
          </w:tcPr>
          <w:p w14:paraId="7B8086AD" w14:textId="77777777" w:rsidR="00801729" w:rsidRPr="00AB1AEB" w:rsidRDefault="00801729" w:rsidP="00AB1AEB">
            <w:pPr>
              <w:spacing w:line="240" w:lineRule="auto"/>
              <w:rPr>
                <w:rFonts w:ascii="Times New Roman" w:hAnsi="Times New Roman" w:cs="Times New Roman"/>
                <w:sz w:val="18"/>
                <w:szCs w:val="18"/>
              </w:rPr>
            </w:pPr>
          </w:p>
        </w:tc>
        <w:tc>
          <w:tcPr>
            <w:tcW w:w="2746" w:type="dxa"/>
            <w:shd w:val="clear" w:color="auto" w:fill="F2F2F2"/>
          </w:tcPr>
          <w:p w14:paraId="0CBB9B8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Drug Shortage Database (live)</w:t>
            </w:r>
          </w:p>
        </w:tc>
        <w:tc>
          <w:tcPr>
            <w:tcW w:w="2498" w:type="dxa"/>
            <w:shd w:val="clear" w:color="auto" w:fill="F2F2F2"/>
          </w:tcPr>
          <w:p w14:paraId="144952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archive (this study)</w:t>
            </w:r>
          </w:p>
        </w:tc>
        <w:tc>
          <w:tcPr>
            <w:tcW w:w="2732" w:type="dxa"/>
            <w:shd w:val="clear" w:color="auto" w:fill="F2F2F2"/>
          </w:tcPr>
          <w:p w14:paraId="5BF63E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resolved bulletins</w:t>
            </w:r>
          </w:p>
        </w:tc>
      </w:tr>
      <w:tr w:rsidR="00801729" w:rsidRPr="00AB1AEB" w14:paraId="129C4F63" w14:textId="77777777">
        <w:trPr>
          <w:trHeight w:val="809"/>
          <w:jc w:val="center"/>
        </w:trPr>
        <w:tc>
          <w:tcPr>
            <w:tcW w:w="1384" w:type="dxa"/>
          </w:tcPr>
          <w:p w14:paraId="4C117B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definition</w:t>
            </w:r>
          </w:p>
        </w:tc>
        <w:tc>
          <w:tcPr>
            <w:tcW w:w="2746" w:type="dxa"/>
          </w:tcPr>
          <w:p w14:paraId="55C474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National supply insufficient to meet demand, as determined by FDA</w:t>
            </w:r>
          </w:p>
        </w:tc>
        <w:tc>
          <w:tcPr>
            <w:tcW w:w="2498" w:type="dxa"/>
          </w:tcPr>
          <w:p w14:paraId="6CC380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w:t>
            </w:r>
          </w:p>
        </w:tc>
        <w:tc>
          <w:tcPr>
            <w:tcW w:w="2732" w:type="dxa"/>
          </w:tcPr>
          <w:p w14:paraId="231FB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affecting hospital or health-system practice, as assessed by ASHP/UUDIS</w:t>
            </w:r>
          </w:p>
        </w:tc>
      </w:tr>
      <w:tr w:rsidR="00801729" w:rsidRPr="00AB1AEB" w14:paraId="2ECD62CF" w14:textId="77777777">
        <w:trPr>
          <w:jc w:val="center"/>
        </w:trPr>
        <w:tc>
          <w:tcPr>
            <w:tcW w:w="1384" w:type="dxa"/>
          </w:tcPr>
          <w:p w14:paraId="119E528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Unit of record</w:t>
            </w:r>
          </w:p>
        </w:tc>
        <w:tc>
          <w:tcPr>
            <w:tcW w:w="2746" w:type="dxa"/>
          </w:tcPr>
          <w:p w14:paraId="01D186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Package-level NDC under a drug heading</w:t>
            </w:r>
          </w:p>
        </w:tc>
        <w:tc>
          <w:tcPr>
            <w:tcW w:w="2498" w:type="dxa"/>
          </w:tcPr>
          <w:p w14:paraId="5E24745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NDC episode, aggregated to drug heading</w:t>
            </w:r>
          </w:p>
        </w:tc>
        <w:tc>
          <w:tcPr>
            <w:tcW w:w="2732" w:type="dxa"/>
          </w:tcPr>
          <w:p w14:paraId="37901DA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Drug-level bulletin</w:t>
            </w:r>
          </w:p>
        </w:tc>
      </w:tr>
      <w:tr w:rsidR="00801729" w:rsidRPr="00AB1AEB" w14:paraId="77CACC5F" w14:textId="77777777">
        <w:trPr>
          <w:jc w:val="center"/>
        </w:trPr>
        <w:tc>
          <w:tcPr>
            <w:tcW w:w="1384" w:type="dxa"/>
          </w:tcPr>
          <w:p w14:paraId="18547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date</w:t>
            </w:r>
          </w:p>
        </w:tc>
        <w:tc>
          <w:tcPr>
            <w:tcW w:w="2746" w:type="dxa"/>
          </w:tcPr>
          <w:p w14:paraId="7B72294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Initial posting date of the drug heading, inherited by every NDC listed under it</w:t>
            </w:r>
          </w:p>
        </w:tc>
        <w:tc>
          <w:tcPr>
            <w:tcW w:w="2498" w:type="dxa"/>
          </w:tcPr>
          <w:p w14:paraId="65A6743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archive first sighting used to bracket observed entry</w:t>
            </w:r>
          </w:p>
        </w:tc>
        <w:tc>
          <w:tcPr>
            <w:tcW w:w="2732" w:type="dxa"/>
          </w:tcPr>
          <w:p w14:paraId="3DC634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creation date (earliest date in bulletin history)</w:t>
            </w:r>
          </w:p>
        </w:tc>
      </w:tr>
      <w:tr w:rsidR="00801729" w:rsidRPr="00AB1AEB" w14:paraId="36B64FD4" w14:textId="77777777">
        <w:trPr>
          <w:jc w:val="center"/>
        </w:trPr>
        <w:tc>
          <w:tcPr>
            <w:tcW w:w="1384" w:type="dxa"/>
          </w:tcPr>
          <w:p w14:paraId="3A0F586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Exit date</w:t>
            </w:r>
          </w:p>
        </w:tc>
        <w:tc>
          <w:tcPr>
            <w:tcW w:w="2746" w:type="dxa"/>
          </w:tcPr>
          <w:p w14:paraId="79BFB6B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Date of Update marked Resolved, per NDC</w:t>
            </w:r>
          </w:p>
        </w:tc>
        <w:tc>
          <w:tcPr>
            <w:tcW w:w="2498" w:type="dxa"/>
          </w:tcPr>
          <w:p w14:paraId="4AD287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observed in the first capture that shows the mark; drug-level status by shared rule</w:t>
            </w:r>
          </w:p>
        </w:tc>
        <w:tc>
          <w:tcPr>
            <w:tcW w:w="2732" w:type="dxa"/>
          </w:tcPr>
          <w:p w14:paraId="09B3184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date; transfer to the resolved list dated separately</w:t>
            </w:r>
          </w:p>
        </w:tc>
      </w:tr>
      <w:tr w:rsidR="00801729" w:rsidRPr="00AB1AEB" w14:paraId="455401ED" w14:textId="77777777">
        <w:trPr>
          <w:jc w:val="center"/>
        </w:trPr>
        <w:tc>
          <w:tcPr>
            <w:tcW w:w="1384" w:type="dxa"/>
          </w:tcPr>
          <w:p w14:paraId="0B214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Retention</w:t>
            </w:r>
          </w:p>
        </w:tc>
        <w:tc>
          <w:tcPr>
            <w:tcW w:w="2746" w:type="dxa"/>
          </w:tcPr>
          <w:p w14:paraId="168DA46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listings removed after about six months</w:t>
            </w:r>
          </w:p>
        </w:tc>
        <w:tc>
          <w:tcPr>
            <w:tcW w:w="2498" w:type="dxa"/>
          </w:tcPr>
          <w:p w14:paraId="52E8F9E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38 Internet Archive captures, Dec 2019 to Dec 2023, spacing 4 to 308 days</w:t>
            </w:r>
          </w:p>
        </w:tc>
        <w:tc>
          <w:tcPr>
            <w:tcW w:w="2732" w:type="dxa"/>
          </w:tcPr>
          <w:p w14:paraId="4EC70D3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bulletins retained indefinitely</w:t>
            </w:r>
          </w:p>
        </w:tc>
      </w:tr>
      <w:tr w:rsidR="00801729" w:rsidRPr="00AB1AEB" w14:paraId="37B5BA72" w14:textId="77777777">
        <w:trPr>
          <w:jc w:val="center"/>
        </w:trPr>
        <w:tc>
          <w:tcPr>
            <w:tcW w:w="1384" w:type="dxa"/>
          </w:tcPr>
          <w:p w14:paraId="42DACB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Recurrence handling</w:t>
            </w:r>
          </w:p>
        </w:tc>
        <w:tc>
          <w:tcPr>
            <w:tcW w:w="2746" w:type="dxa"/>
          </w:tcPr>
          <w:p w14:paraId="5EB7DE8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Re-listing may reuse the existing heading and its posting date</w:t>
            </w:r>
          </w:p>
        </w:tc>
        <w:tc>
          <w:tcPr>
            <w:tcW w:w="2498" w:type="dxa"/>
          </w:tcPr>
          <w:p w14:paraId="4EE1195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Inferred from absence between captures</w:t>
            </w:r>
          </w:p>
        </w:tc>
        <w:tc>
          <w:tcPr>
            <w:tcW w:w="2732" w:type="dxa"/>
          </w:tcPr>
          <w:p w14:paraId="2C96FE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New bulletin for a recurring shortage</w:t>
            </w:r>
          </w:p>
        </w:tc>
      </w:tr>
      <w:tr w:rsidR="00801729" w:rsidRPr="00AB1AEB" w14:paraId="0B4207FB" w14:textId="77777777">
        <w:trPr>
          <w:jc w:val="center"/>
        </w:trPr>
        <w:tc>
          <w:tcPr>
            <w:tcW w:w="1384" w:type="dxa"/>
          </w:tcPr>
          <w:p w14:paraId="51BE81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Coverage used</w:t>
            </w:r>
          </w:p>
        </w:tc>
        <w:tc>
          <w:tcPr>
            <w:tcW w:w="2746" w:type="dxa"/>
          </w:tcPr>
          <w:p w14:paraId="1482AB8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2,042 NDC episodes, 298 headings, postings 2018 to 2023</w:t>
            </w:r>
          </w:p>
        </w:tc>
        <w:tc>
          <w:tcPr>
            <w:tcW w:w="2498" w:type="dxa"/>
          </w:tcPr>
          <w:p w14:paraId="73FA814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Same</w:t>
            </w:r>
          </w:p>
        </w:tc>
        <w:tc>
          <w:tcPr>
            <w:tcW w:w="2732" w:type="dxa"/>
          </w:tcPr>
          <w:p w14:paraId="6C3D6B1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 xml:space="preserve">958 bulletins created 2015 to 2026; 479 active in the archive window</w:t>
            </w:r>
          </w:p>
        </w:tc>
      </w:tr>
      <w:tr w:rsidR="00801729" w:rsidRPr="00AB1AEB" w14:paraId="0A34ABA4" w14:textId="77777777">
        <w:trPr>
          <w:jc w:val="center"/>
        </w:trPr>
        <w:tc>
          <w:tcPr>
            <w:tcW w:w="1384" w:type="dxa"/>
          </w:tcPr>
          <w:p w14:paraId="7F38EBB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Main limitation for duration</w:t>
            </w:r>
          </w:p>
        </w:tc>
        <w:tc>
          <w:tcPr>
            <w:tcW w:w="2746" w:type="dxa"/>
          </w:tcPr>
          <w:p w14:paraId="45B6D8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Deletes its own history</w:t>
            </w:r>
          </w:p>
        </w:tc>
        <w:tc>
          <w:tcPr>
            <w:tcW w:w="2498" w:type="dxa"/>
          </w:tcPr>
          <w:p w14:paraId="12984E2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Uneven capture spacing; entry unobserved for pre-archive postings</w:t>
            </w:r>
          </w:p>
        </w:tc>
        <w:tc>
          <w:tcPr>
            <w:tcW w:w="2732" w:type="dxa"/>
          </w:tcPr>
          <w:p w14:paraId="77FB994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is a maintenance timestamp, not a recovery date</w:t>
            </w:r>
          </w:p>
        </w:tc>
      </w:tr>
    </w:tbl>
    <w:p w14:paraId="21A95A8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3.2 Unit of analysis</w:t>
      </w:r>
    </w:p>
    <w:p w14:paraId="79024CAC" w14:textId="34315200"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t>
        <w:lastRenderedPageBreak/>
        <w:t xml:space="preserve">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Three levels are kept distinct throughout: the FDA administrative heading, which is the identifier the register uses and the unit of the primary analysis; the harmonized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684450B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3.3 Record linkage</w:t>
      </w:r>
    </w:p>
    <w:p w14:paraId="1FD8EAB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5FB1932C" w14:textId="284612A4"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harmonized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 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container (PROVISIONAL), or UNRESOLVED. The strength rule was validated at 100% </w:t>
        <w:lastRenderedPageBreak/>
        <w:t>agreement for powders and 97.7% for solutions where both evidence types exist (Supplementary Table S1).</w:t>
      </w:r>
    </w:p>
    <w:p w14:paraId="3A67E24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3E60180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3.4 Reconstruction rules</w:t>
      </w:r>
    </w:p>
    <w:p w14:paraId="0786AF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 (Table 2).</w:t>
      </w:r>
    </w:p>
    <w:p>
      <w:pPr>
        <w:spacing w:line="360" w:lineRule="auto"/>
        <w:jc w:val="both"/>
      </w:pPr>
      <w:r>
        <w:rPr>
          <w:rFonts w:ascii="Times New Roman" w:hAnsi="Times New Roman" w:cs="Times New Roman"/>
          <w:b/>
          <w:sz w:val="24"/>
          <w:szCs w:val="24"/>
        </w:rPr>
        <w:t>Table 2. Reconstruction rules compared</w:t>
      </w:r>
    </w:p>
    <w:tbl>
      <w:tblPr>
        <w:tblStyle w:val="TableGrid"/>
        <w:tblW w:w="10548" w:type="dxa"/>
        <w:tblLayout w:type="fixed"/>
        <w:tblLook w:val="0420" w:firstRow="1" w:lastRow="0" w:firstColumn="0" w:lastColumn="0" w:noHBand="0" w:noVBand="1"/>
      </w:tblPr>
      <w:tblGrid>
        <w:gridCol w:w="1811"/>
        <w:gridCol w:w="720"/>
        <w:gridCol w:w="4095"/>
        <w:gridCol w:w="3922"/>
      </w:tblGrid>
      <w:tr w:rsidR="00801729" w:rsidRPr="00AB1AEB" w14:paraId="56953006" w14:textId="77777777">
        <w:trPr>
          <w:tblHeader/>
        </w:trPr>
        <w:tc>
          <w:tcPr>
            <w:tcW w:w="1811" w:type="dxa"/>
            <w:shd w:val="clear" w:color="auto" w:fill="F2F2F2"/>
          </w:tcPr>
          <w:p w14:paraId="5511C94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Rule</w:t>
            </w:r>
          </w:p>
        </w:tc>
        <w:tc>
          <w:tcPr>
            <w:tcW w:w="720" w:type="dxa"/>
            <w:shd w:val="clear" w:color="auto" w:fill="F2F2F2"/>
          </w:tcPr>
          <w:p w14:paraId="26633874"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Unit</w:t>
            </w:r>
          </w:p>
        </w:tc>
        <w:tc>
          <w:tcPr>
            <w:tcW w:w="4095" w:type="dxa"/>
            <w:shd w:val="clear" w:color="auto" w:fill="F2F2F2"/>
          </w:tcPr>
          <w:p w14:paraId="4779928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Onset</w:t>
            </w:r>
          </w:p>
        </w:tc>
        <w:tc>
          <w:tcPr>
            <w:tcW w:w="3922" w:type="dxa"/>
            <w:shd w:val="clear" w:color="auto" w:fill="F2F2F2"/>
          </w:tcPr>
          <w:p w14:paraId="1DF83851"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Exit</w:t>
            </w:r>
          </w:p>
        </w:tc>
      </w:tr>
      <w:tr w:rsidR="00801729" w:rsidRPr="00AB1AEB" w14:paraId="59ECD053" w14:textId="77777777">
        <w:tc>
          <w:tcPr>
            <w:tcW w:w="1811" w:type="dxa"/>
          </w:tcPr>
          <w:p w14:paraId="346043A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R0 naive</w:t>
            </w:r>
          </w:p>
        </w:tc>
        <w:tc>
          <w:tcPr>
            <w:tcW w:w="720" w:type="dxa"/>
          </w:tcPr>
          <w:p w14:paraId="6C101F9A"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NDC</w:t>
            </w:r>
          </w:p>
        </w:tc>
        <w:tc>
          <w:tcPr>
            <w:tcW w:w="4095" w:type="dxa"/>
          </w:tcPr>
          <w:p w14:paraId="4199512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recorded FDA initial posting</w:t>
            </w:r>
          </w:p>
        </w:tc>
        <w:tc>
          <w:tcPr>
            <w:tcW w:w="3922" w:type="dxa"/>
          </w:tcPr>
          <w:p w14:paraId="31CB28E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first archived Resolved mark; else censored at last sighting</w:t>
            </w:r>
          </w:p>
        </w:tc>
      </w:tr>
      <w:tr w:rsidR="00801729" w:rsidRPr="00AB1AEB" w14:paraId="3C97C3D4" w14:textId="77777777">
        <w:tc>
          <w:tcPr>
            <w:tcW w:w="1811" w:type="dxa"/>
          </w:tcPr>
          <w:p w14:paraId="6D00F90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R1 posting-anchored</w:t>
            </w:r>
          </w:p>
        </w:tc>
        <w:tc>
          <w:tcPr>
            <w:tcW w:w="720" w:type="dxa"/>
          </w:tcPr>
          <w:p w14:paraId="595DC1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7CD17A0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earliest recorded posting across the drug's NDCs</w:t>
            </w:r>
          </w:p>
        </w:tc>
        <w:tc>
          <w:tcPr>
            <w:tcW w:w="3922" w:type="dxa"/>
          </w:tcPr>
          <w:p w14:paraId="0B43A18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50D64285" w14:textId="77777777">
        <w:tc>
          <w:tcPr>
            <w:tcW w:w="1811" w:type="dxa"/>
          </w:tcPr>
          <w:p w14:paraId="2540806C"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R2 archive-observed</w:t>
            </w:r>
          </w:p>
        </w:tc>
        <w:tc>
          <w:tcPr>
            <w:tcW w:w="720" w:type="dxa"/>
          </w:tcPr>
          <w:p w14:paraId="368B71F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1EA117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the interval between the last capture in which the drug is absent and the first in which it appears; its latest bound is capped at the FDA resolution date for spells posted and resolved within a single capture gap</w:t>
            </w:r>
          </w:p>
        </w:tc>
        <w:tc>
          <w:tcPr>
            <w:tcW w:w="3922" w:type="dxa"/>
          </w:tcPr>
          <w:p w14:paraId="250BCD7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1C4A87A5" w14:textId="77777777">
        <w:tc>
          <w:tcPr>
            <w:tcW w:w="1811" w:type="dxa"/>
          </w:tcPr>
          <w:p w14:paraId="46C2BE8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R3 hybrid</w:t>
            </w:r>
          </w:p>
        </w:tc>
        <w:tc>
          <w:tcPr>
            <w:tcW w:w="720" w:type="dxa"/>
          </w:tcPr>
          <w:p w14:paraId="381550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24BAAB8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ASHP bulletin creation date</w:t>
            </w:r>
          </w:p>
        </w:tc>
        <w:tc>
          <w:tcPr>
            <w:tcW w:w="3922" w:type="dxa"/>
          </w:tcPr>
          <w:p w14:paraId="28533CA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decision date, with CONFIRMED same-spell linkage</w:t>
            </w:r>
          </w:p>
        </w:tc>
      </w:tr>
    </w:tbl>
    <w:p w14:paraId="72428886" w14:textId="77777777" w:rsidR="00801729" w:rsidRPr="00AB1AEB" w:rsidRDefault="00801729">
      <w:pPr>
        <w:spacing w:line="360" w:lineRule="auto"/>
        <w:jc w:val="both"/>
        <w:rPr>
          <w:rFonts w:ascii="Times New Roman" w:hAnsi="Times New Roman" w:cs="Times New Roman"/>
          <w:sz w:val="24"/>
          <w:szCs w:val="24"/>
        </w:rPr>
      </w:pPr>
    </w:p>
    <w:p w14:paraId="7D7C76B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w:t>
        <w:lastRenderedPageBreak/>
        <w:t xml:space="preserve">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2AE4067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3.5 Shared exit rule and status classification</w:t>
      </w:r>
    </w:p>
    <w:p w14:paraId="08D8693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7149D52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3.6 Comparison design</w:t>
      </w:r>
    </w:p>
    <w:p w14:paraId="3882EF0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respectively, pseudoreplication under R0 (NDC rows and nominal events against drug-level spells and events for the same drugs) and the linkage coverage attainable under R3.</w:t>
      </w:r>
    </w:p>
    <w:p w14:paraId="1219438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6E4147C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3.7 Reproducibility</w:t>
      </w:r>
    </w:p>
    <w:p w14:paraId="596C333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and auditable decisions. For blind review, the code, derived files and audit trails are available through an anonymized supplementary package. The original archived FDA captures are not redistributed; their capture dates and provenance hashes are provided in Supplementary Table S2. The current FDA Orange Book and NDC Directory files can be retrieved from official FDA sources. AI-assisted tools supported rule development and code preparation; the author verified the analytical outputs.</w:t>
      </w:r>
    </w:p>
    <w:p w14:paraId="26F5207E" w14:textId="77777777" w:rsidR="00801729" w:rsidRPr="00AB1AE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Results</w:t>
      </w:r>
    </w:p>
    <w:p w14:paraId="24EC4A02"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4.1 Cohort</w:t>
      </w:r>
    </w:p>
    <w:p w14:paraId="17DFE61A"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D7EC7B" wp14:editId="6308616F">
            <wp:extent cx="5943600" cy="3341370"/>
            <wp:effectExtent l="0" t="0" r="0" b="0"/>
            <wp:docPr id="3028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2719" name="Picture 3028327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8B2FD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1. Sources, record linkage, cohort selection and reconstruction workflow.</w:t>
      </w:r>
    </w:p>
    <w:p w14:paraId="0DB70E0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yields 298 drug headings. Of these, 114 were posted before the first capture and are left-censored at entry; 184 have an entry bracketed by two captures and form the entry-identifiable cohort (Table 3).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42A191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3.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1729" w:rsidRPr="00AB1AEB" w14:paraId="134AE7AD" w14:textId="77777777">
        <w:trPr>
          <w:tblHeader/>
        </w:trPr>
        <w:tc>
          <w:tcPr>
            <w:tcW w:w="4920" w:type="dxa"/>
            <w:shd w:val="clear" w:color="auto" w:fill="F2F2F2"/>
          </w:tcPr>
          <w:p w14:paraId="4B4AA65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 under the shared exit rule</w:t>
            </w:r>
          </w:p>
        </w:tc>
        <w:tc>
          <w:tcPr>
            <w:tcW w:w="829" w:type="dxa"/>
            <w:shd w:val="clear" w:color="auto" w:fill="F2F2F2"/>
          </w:tcPr>
          <w:p w14:paraId="09DC264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Drugs</w:t>
            </w:r>
          </w:p>
        </w:tc>
        <w:tc>
          <w:tcPr>
            <w:tcW w:w="3611" w:type="dxa"/>
            <w:shd w:val="clear" w:color="auto" w:fill="F2F2F2"/>
          </w:tcPr>
          <w:p w14:paraId="5DB567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Treatment</w:t>
            </w:r>
          </w:p>
        </w:tc>
      </w:tr>
      <w:tr w:rsidR="00801729" w:rsidRPr="00AB1AEB" w14:paraId="6FA6A55D" w14:textId="77777777">
        <w:tc>
          <w:tcPr>
            <w:tcW w:w="4920" w:type="dxa"/>
          </w:tcPr>
          <w:p w14:paraId="3BA6949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 (every observed NDC marked Resolved)</w:t>
            </w:r>
          </w:p>
        </w:tc>
        <w:tc>
          <w:tcPr>
            <w:tcW w:w="829" w:type="dxa"/>
          </w:tcPr>
          <w:p w14:paraId="00A030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51</w:t>
            </w:r>
          </w:p>
        </w:tc>
        <w:tc>
          <w:tcPr>
            <w:tcW w:w="3611" w:type="dxa"/>
          </w:tcPr>
          <w:p w14:paraId="1C7C827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survival event</w:t>
            </w:r>
          </w:p>
        </w:tc>
      </w:tr>
      <w:tr w:rsidR="00801729" w:rsidRPr="00AB1AEB" w14:paraId="76CEDCDB" w14:textId="77777777">
        <w:tc>
          <w:tcPr>
            <w:tcW w:w="4920" w:type="dxa"/>
          </w:tcPr>
          <w:p w14:paraId="6722CFB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 at final capture</w:t>
            </w:r>
          </w:p>
        </w:tc>
        <w:tc>
          <w:tcPr>
            <w:tcW w:w="829" w:type="dxa"/>
          </w:tcPr>
          <w:p w14:paraId="3D8789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113</w:t>
            </w:r>
          </w:p>
        </w:tc>
        <w:tc>
          <w:tcPr>
            <w:tcW w:w="3611" w:type="dxa"/>
          </w:tcPr>
          <w:p w14:paraId="13AD34C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right-censored</w:t>
            </w:r>
          </w:p>
        </w:tc>
      </w:tr>
      <w:tr w:rsidR="00801729" w:rsidRPr="00AB1AEB" w14:paraId="03960242" w14:textId="77777777">
        <w:tc>
          <w:tcPr>
            <w:tcW w:w="4920" w:type="dxa"/>
          </w:tcPr>
          <w:p w14:paraId="78FBB5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 without a Resolved mark</w:t>
            </w:r>
          </w:p>
        </w:tc>
        <w:tc>
          <w:tcPr>
            <w:tcW w:w="829" w:type="dxa"/>
          </w:tcPr>
          <w:p w14:paraId="6B72619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9</w:t>
            </w:r>
          </w:p>
        </w:tc>
        <w:tc>
          <w:tcPr>
            <w:tcW w:w="3611" w:type="dxa"/>
          </w:tcPr>
          <w:p w14:paraId="1E176BF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censored at last verified observation</w:t>
            </w:r>
          </w:p>
        </w:tc>
      </w:tr>
      <w:tr w:rsidR="00801729" w:rsidRPr="00AB1AEB" w14:paraId="6C00650F" w14:textId="77777777">
        <w:tc>
          <w:tcPr>
            <w:tcW w:w="4920" w:type="dxa"/>
          </w:tcPr>
          <w:p w14:paraId="2CE1467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 exit (some NDCs resolved, others not)</w:t>
            </w:r>
          </w:p>
        </w:tc>
        <w:tc>
          <w:tcPr>
            <w:tcW w:w="829" w:type="dxa"/>
          </w:tcPr>
          <w:p w14:paraId="595813D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w:t>
            </w:r>
          </w:p>
        </w:tc>
        <w:tc>
          <w:tcPr>
            <w:tcW w:w="3611" w:type="dxa"/>
          </w:tcPr>
          <w:p w14:paraId="22FD570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separate status; excluded from survival summaries</w:t>
            </w:r>
          </w:p>
        </w:tc>
      </w:tr>
      <w:tr w:rsidR="00801729" w:rsidRPr="00AB1AEB" w14:paraId="448E5C3A" w14:textId="77777777">
        <w:tc>
          <w:tcPr>
            <w:tcW w:w="4920" w:type="dxa"/>
          </w:tcPr>
          <w:p w14:paraId="6631CF2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Total entry-identifiable</w:t>
            </w:r>
          </w:p>
        </w:tc>
        <w:tc>
          <w:tcPr>
            <w:tcW w:w="829" w:type="dxa"/>
          </w:tcPr>
          <w:p w14:paraId="1FE5222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184</w:t>
            </w:r>
          </w:p>
        </w:tc>
        <w:tc>
          <w:tcPr>
            <w:tcW w:w="3611" w:type="dxa"/>
          </w:tcPr>
          <w:p w14:paraId="345BE5DF" w14:textId="77777777" w:rsidR="00801729" w:rsidRPr="00AB1AEB" w:rsidRDefault="00801729" w:rsidP="00AB1AEB">
            <w:pPr>
              <w:spacing w:line="240" w:lineRule="auto"/>
              <w:jc w:val="both"/>
              <w:rPr>
                <w:rFonts w:ascii="Times New Roman" w:hAnsi="Times New Roman" w:cs="Times New Roman"/>
                <w:sz w:val="18"/>
                <w:szCs w:val="18"/>
              </w:rPr>
            </w:pPr>
          </w:p>
        </w:tc>
      </w:tr>
    </w:tbl>
    <w:p w14:paraId="2474EA1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3445906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4). Three are confirmed properties of the data; one is strongly indicated but inferred; two are properties of the sources themselves.</w:t>
      </w:r>
    </w:p>
    <w:p w14:paraId="6BC2B3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4.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1729" w:rsidRPr="00AB1AEB" w14:paraId="150E23E0" w14:textId="77777777">
        <w:trPr>
          <w:tblHeader/>
        </w:trPr>
        <w:tc>
          <w:tcPr>
            <w:tcW w:w="1438" w:type="dxa"/>
            <w:shd w:val="clear" w:color="auto" w:fill="F2F2F2"/>
          </w:tcPr>
          <w:p w14:paraId="276D837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Mechanism</w:t>
            </w:r>
          </w:p>
        </w:tc>
        <w:tc>
          <w:tcPr>
            <w:tcW w:w="3227" w:type="dxa"/>
            <w:shd w:val="clear" w:color="auto" w:fill="F2F2F2"/>
          </w:tcPr>
          <w:p w14:paraId="2F59C5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Evidence</w:t>
            </w:r>
          </w:p>
        </w:tc>
        <w:tc>
          <w:tcPr>
            <w:tcW w:w="3272" w:type="dxa"/>
            <w:shd w:val="clear" w:color="auto" w:fill="F2F2F2"/>
          </w:tcPr>
          <w:p w14:paraId="2209D5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Prevalence</w:t>
            </w:r>
          </w:p>
        </w:tc>
        <w:tc>
          <w:tcPr>
            <w:tcW w:w="1422" w:type="dxa"/>
            <w:shd w:val="clear" w:color="auto" w:fill="F2F2F2"/>
          </w:tcPr>
          <w:p w14:paraId="6E53847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w:t>
            </w:r>
          </w:p>
        </w:tc>
      </w:tr>
      <w:tr w:rsidR="00801729" w:rsidRPr="00AB1AEB" w14:paraId="6DA748B5" w14:textId="77777777">
        <w:tc>
          <w:tcPr>
            <w:tcW w:w="1438" w:type="dxa"/>
          </w:tcPr>
          <w:p w14:paraId="5A82FC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Inherited posting date, including duplicate headings</w:t>
            </w:r>
          </w:p>
        </w:tc>
        <w:tc>
          <w:tcPr>
            <w:tcW w:w="3227" w:type="dxa"/>
          </w:tcPr>
          <w:p w14:paraId="6E2CEA0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under one drug entry share the entry's initial posting; 11 reviewed pairs of headings name the same product and consolidate 298 administrative units to 287</w:t>
            </w:r>
          </w:p>
        </w:tc>
        <w:tc>
          <w:tcPr>
            <w:tcW w:w="3272" w:type="dxa"/>
          </w:tcPr>
          <w:p w14:paraId="4C1C078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181 of 235 multi-NDC drugs (77%) have one posting date for every NDC; 22 headings (7.4%) are reviewed duplicates</w:t>
            </w:r>
          </w:p>
        </w:tc>
        <w:tc>
          <w:tcPr>
            <w:tcW w:w="1422" w:type="dxa"/>
          </w:tcPr>
          <w:p w14:paraId="6A58D9C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59E0FD22" w14:textId="77777777">
        <w:tc>
          <w:tcPr>
            <w:tcW w:w="1438" w:type="dxa"/>
          </w:tcPr>
          <w:p w14:paraId="459D486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Late-entering NDCs</w:t>
            </w:r>
          </w:p>
        </w:tc>
        <w:tc>
          <w:tcPr>
            <w:tcW w:w="3227" w:type="dxa"/>
          </w:tcPr>
          <w:p w14:paraId="3DEF92F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 first appears in a later capture than its drug</w:t>
            </w:r>
          </w:p>
        </w:tc>
        <w:tc>
          <w:tcPr>
            <w:tcW w:w="3272" w:type="dxa"/>
          </w:tcPr>
          <w:p w14:paraId="2AE64874"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370 of 2,042 NDCs (18%); median lag 385 days, maximum 1,416</w:t>
            </w:r>
          </w:p>
        </w:tc>
        <w:tc>
          <w:tcPr>
            <w:tcW w:w="1422" w:type="dxa"/>
          </w:tcPr>
          <w:p w14:paraId="5F76567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1A6E9FF5" w14:textId="77777777">
        <w:tc>
          <w:tcPr>
            <w:tcW w:w="1438" w:type="dxa"/>
          </w:tcPr>
          <w:p w14:paraId="275BE7A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Approval after recorded posting</w:t>
            </w:r>
          </w:p>
        </w:tc>
        <w:tc>
          <w:tcPr>
            <w:tcW w:w="3227" w:type="dxa"/>
          </w:tcPr>
          <w:p w14:paraId="0BD1E30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product approved, and first marketed, after the posting it inherited</w:t>
            </w:r>
          </w:p>
        </w:tc>
        <w:tc>
          <w:tcPr>
            <w:tcW w:w="3272" w:type="dxa"/>
          </w:tcPr>
          <w:p w14:paraId="0DFE7D3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140 NDC episodes in 38 drugs</w:t>
            </w:r>
          </w:p>
        </w:tc>
        <w:tc>
          <w:tcPr>
            <w:tcW w:w="1422" w:type="dxa"/>
          </w:tcPr>
          <w:p w14:paraId="7715CD3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701FE1E3" w14:textId="77777777">
        <w:tc>
          <w:tcPr>
            <w:tcW w:w="1438" w:type="dxa"/>
          </w:tcPr>
          <w:p w14:paraId="20FB3FE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Entry reuse</w:t>
            </w:r>
          </w:p>
        </w:tc>
        <w:tc>
          <w:tcPr>
            <w:tcW w:w="3227" w:type="dxa"/>
          </w:tcPr>
          <w:p w14:paraId="61CFB9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 entry first observed more than a year after its recorded posting, no intervening capture shows it</w:t>
            </w:r>
          </w:p>
        </w:tc>
        <w:tc>
          <w:tcPr>
            <w:tcW w:w="3272" w:type="dxa"/>
          </w:tcPr>
          <w:p w14:paraId="790DD28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12 drugs posted after the archive begins (32 episodes); 103 of 1,251 post-archive episodes have a posting-to-observation gap over one year</w:t>
            </w:r>
          </w:p>
        </w:tc>
        <w:tc>
          <w:tcPr>
            <w:tcW w:w="1422" w:type="dxa"/>
          </w:tcPr>
          <w:p w14:paraId="225348E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inferred: consistent with re-listing under an original entry; missing captures could produce part of the pattern</w:t>
            </w:r>
          </w:p>
        </w:tc>
      </w:tr>
      <w:tr w:rsidR="00801729" w:rsidRPr="00AB1AEB" w14:paraId="54840EAF" w14:textId="77777777">
        <w:tc>
          <w:tcPr>
            <w:tcW w:w="1438" w:type="dxa"/>
          </w:tcPr>
          <w:p w14:paraId="1229AED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Irregular observation</w:t>
            </w:r>
          </w:p>
        </w:tc>
        <w:tc>
          <w:tcPr>
            <w:tcW w:w="3227" w:type="dxa"/>
          </w:tcPr>
          <w:p w14:paraId="64260F4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capture spacing</w:t>
            </w:r>
          </w:p>
        </w:tc>
        <w:tc>
          <w:tcPr>
            <w:tcW w:w="3272" w:type="dxa"/>
          </w:tcPr>
          <w:p w14:paraId="232408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38 captures; gaps of 308 and 184 days; 2 captures in 2022</w:t>
            </w:r>
          </w:p>
        </w:tc>
        <w:tc>
          <w:tcPr>
            <w:tcW w:w="1422" w:type="dxa"/>
          </w:tcPr>
          <w:p w14:paraId="3869F90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archive</w:t>
            </w:r>
          </w:p>
        </w:tc>
      </w:tr>
      <w:tr w:rsidR="00801729" w:rsidRPr="00AB1AEB" w14:paraId="5496F1D8" w14:textId="77777777">
        <w:tc>
          <w:tcPr>
            <w:tcW w:w="1438" w:type="dxa"/>
          </w:tcPr>
          <w:p w14:paraId="69343A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Construct non-overlap</w:t>
            </w:r>
          </w:p>
        </w:tc>
        <w:tc>
          <w:tcPr>
            <w:tcW w:w="3227" w:type="dxa"/>
          </w:tcPr>
          <w:p w14:paraId="13C07B2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ASHP bulletins active in the archive window with no FDA counterpart</w:t>
            </w:r>
          </w:p>
        </w:tc>
        <w:tc>
          <w:tcPr>
            <w:tcW w:w="3272" w:type="dxa"/>
          </w:tcPr>
          <w:p w14:paraId="5A4249B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313 of 479 in-window ASHP bulletins have no FDA identity candidate</w:t>
            </w:r>
          </w:p>
        </w:tc>
        <w:tc>
          <w:tcPr>
            <w:tcW w:w="1422" w:type="dxa"/>
          </w:tcPr>
          <w:p w14:paraId="3C1389B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sources</w:t>
            </w:r>
          </w:p>
        </w:tc>
      </w:tr>
    </w:tbl>
    <w:p w14:paraId="3DC8C66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4.3 Paired onset differences</w:t>
      </w:r>
    </w:p>
    <w:p w14:paraId="5A71576E"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5C72C5" wp14:editId="6E45E2EF">
            <wp:extent cx="5943600" cy="3341370"/>
            <wp:effectExtent l="0" t="0" r="0" b="0"/>
            <wp:docPr id="51135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3189" name="Picture 511353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933FF4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6AD4812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34F863F8" w14:textId="632396E0" w:rsidR="00801729" w:rsidRPr="00AB1AEB" w:rsidRDefault="00000000" w:rsidP="00AB1AEB">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4.4 Common-cohort survival summaries</w:t>
      </w:r>
    </w:p>
    <w:p w14:paraId="381FEB1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5.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1729" w:rsidRPr="00AB1AEB" w14:paraId="4AAF2B49" w14:textId="77777777">
        <w:trPr>
          <w:tblHeader/>
        </w:trPr>
        <w:tc>
          <w:tcPr>
            <w:tcW w:w="2348" w:type="dxa"/>
            <w:shd w:val="clear" w:color="auto" w:fill="F2F2F2"/>
          </w:tcPr>
          <w:p w14:paraId="3B8A7F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rule</w:t>
            </w:r>
          </w:p>
        </w:tc>
        <w:tc>
          <w:tcPr>
            <w:tcW w:w="909" w:type="dxa"/>
            <w:shd w:val="clear" w:color="auto" w:fill="F2F2F2"/>
          </w:tcPr>
          <w:p w14:paraId="4B5789B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Spells</w:t>
            </w:r>
          </w:p>
        </w:tc>
        <w:tc>
          <w:tcPr>
            <w:tcW w:w="948" w:type="dxa"/>
            <w:shd w:val="clear" w:color="auto" w:fill="F2F2F2"/>
          </w:tcPr>
          <w:p w14:paraId="784A0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Events</w:t>
            </w:r>
          </w:p>
        </w:tc>
        <w:tc>
          <w:tcPr>
            <w:tcW w:w="1256" w:type="dxa"/>
            <w:shd w:val="clear" w:color="auto" w:fill="F2F2F2"/>
          </w:tcPr>
          <w:p w14:paraId="4B079B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KM median</w:t>
            </w:r>
          </w:p>
        </w:tc>
        <w:tc>
          <w:tcPr>
            <w:tcW w:w="909" w:type="dxa"/>
            <w:shd w:val="clear" w:color="auto" w:fill="F2F2F2"/>
          </w:tcPr>
          <w:p w14:paraId="7DDAA9A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S(110)</w:t>
            </w:r>
          </w:p>
        </w:tc>
        <w:tc>
          <w:tcPr>
            <w:tcW w:w="909" w:type="dxa"/>
            <w:shd w:val="clear" w:color="auto" w:fill="F2F2F2"/>
          </w:tcPr>
          <w:p w14:paraId="48AB649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S(180)</w:t>
            </w:r>
          </w:p>
        </w:tc>
        <w:tc>
          <w:tcPr>
            <w:tcW w:w="909" w:type="dxa"/>
            <w:shd w:val="clear" w:color="auto" w:fill="F2F2F2"/>
          </w:tcPr>
          <w:p w14:paraId="723F483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S(365)</w:t>
            </w:r>
          </w:p>
        </w:tc>
        <w:tc>
          <w:tcPr>
            <w:tcW w:w="1170" w:type="dxa"/>
            <w:shd w:val="clear" w:color="auto" w:fill="F2F2F2"/>
          </w:tcPr>
          <w:p w14:paraId="00C2C2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Observed &gt; 1 year</w:t>
            </w:r>
          </w:p>
        </w:tc>
      </w:tr>
      <w:tr w:rsidR="00801729" w:rsidRPr="00AB1AEB" w14:paraId="22F3F1ED" w14:textId="77777777">
        <w:tc>
          <w:tcPr>
            <w:tcW w:w="2348" w:type="dxa"/>
          </w:tcPr>
          <w:p w14:paraId="3D1C7DF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R1 recorded posting</w:t>
            </w:r>
          </w:p>
        </w:tc>
        <w:tc>
          <w:tcPr>
            <w:tcW w:w="909" w:type="dxa"/>
          </w:tcPr>
          <w:p w14:paraId="091947F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9EBBE4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53EE9B6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03CDA04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028BA5E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0.925</w:t>
            </w:r>
          </w:p>
        </w:tc>
        <w:tc>
          <w:tcPr>
            <w:tcW w:w="909" w:type="dxa"/>
          </w:tcPr>
          <w:p w14:paraId="426879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0.823</w:t>
            </w:r>
          </w:p>
        </w:tc>
        <w:tc>
          <w:tcPr>
            <w:tcW w:w="1170" w:type="dxa"/>
          </w:tcPr>
          <w:p w14:paraId="3D05CF7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60.7%</w:t>
            </w:r>
          </w:p>
        </w:tc>
      </w:tr>
      <w:tr w:rsidR="00801729" w:rsidRPr="00AB1AEB" w14:paraId="738B2F3A" w14:textId="77777777">
        <w:tc>
          <w:tcPr>
            <w:tcW w:w="2348" w:type="dxa"/>
          </w:tcPr>
          <w:p w14:paraId="0394DC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earliest plausible onset</w:t>
            </w:r>
          </w:p>
        </w:tc>
        <w:tc>
          <w:tcPr>
            <w:tcW w:w="909" w:type="dxa"/>
          </w:tcPr>
          <w:p w14:paraId="00E3A36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38019C1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30CDCBC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620EDFF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0.988</w:t>
            </w:r>
          </w:p>
        </w:tc>
        <w:tc>
          <w:tcPr>
            <w:tcW w:w="909" w:type="dxa"/>
          </w:tcPr>
          <w:p w14:paraId="6FB3D92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619FA5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0.840</w:t>
            </w:r>
          </w:p>
        </w:tc>
        <w:tc>
          <w:tcPr>
            <w:tcW w:w="1170" w:type="dxa"/>
          </w:tcPr>
          <w:p w14:paraId="44A11A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57.8%</w:t>
            </w:r>
          </w:p>
        </w:tc>
      </w:tr>
      <w:tr w:rsidR="00801729" w:rsidRPr="00AB1AEB" w14:paraId="77F5481C" w14:textId="77777777">
        <w:tc>
          <w:tcPr>
            <w:tcW w:w="2348" w:type="dxa"/>
          </w:tcPr>
          <w:p w14:paraId="3D9FC6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latest plausible onset</w:t>
            </w:r>
          </w:p>
        </w:tc>
        <w:tc>
          <w:tcPr>
            <w:tcW w:w="909" w:type="dxa"/>
          </w:tcPr>
          <w:p w14:paraId="35843FD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D90F6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2D5B50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916 d</w:t>
            </w:r>
          </w:p>
        </w:tc>
        <w:tc>
          <w:tcPr>
            <w:tcW w:w="909" w:type="dxa"/>
          </w:tcPr>
          <w:p w14:paraId="231DE5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0.933</w:t>
            </w:r>
          </w:p>
        </w:tc>
        <w:tc>
          <w:tcPr>
            <w:tcW w:w="909" w:type="dxa"/>
          </w:tcPr>
          <w:p w14:paraId="4CFFB4B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0.905</w:t>
            </w:r>
          </w:p>
        </w:tc>
        <w:tc>
          <w:tcPr>
            <w:tcW w:w="909" w:type="dxa"/>
          </w:tcPr>
          <w:p w14:paraId="08C5DA0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0.789</w:t>
            </w:r>
          </w:p>
        </w:tc>
        <w:tc>
          <w:tcPr>
            <w:tcW w:w="1170" w:type="dxa"/>
          </w:tcPr>
          <w:p w14:paraId="2949314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46.8%</w:t>
            </w:r>
          </w:p>
        </w:tc>
      </w:tr>
    </w:tbl>
    <w:p w14:paraId="17DC6504" w14:textId="77777777" w:rsidR="00801729" w:rsidRPr="00AB1AEB" w:rsidRDefault="00801729">
      <w:pPr>
        <w:spacing w:line="360" w:lineRule="auto"/>
        <w:jc w:val="both"/>
        <w:rPr>
          <w:rFonts w:ascii="Times New Roman" w:hAnsi="Times New Roman" w:cs="Times New Roman"/>
          <w:sz w:val="24"/>
          <w:szCs w:val="24"/>
        </w:rPr>
      </w:pPr>
    </w:p>
    <w:p w14:paraId="7D1C144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Aggregate persistence is stable across onset definitions (Table 5):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3941FE9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33D0E62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4.5 Resolution classification</w:t>
      </w:r>
    </w:p>
    <w:p w14:paraId="701A7DA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6). The 31 ambiguous drugs here and the 11 in Table 3 have different denominators (all drugs versus the entry-identifiable cohort) and are not the same set.</w:t>
      </w:r>
    </w:p>
    <w:p w14:paraId="70D299DB" w14:textId="77777777" w:rsidR="00AB1AEB" w:rsidRPr="00AB1AEB" w:rsidRDefault="00AB1AEB">
      <w:pPr>
        <w:spacing w:line="360" w:lineRule="auto"/>
        <w:jc w:val="both"/>
        <w:rPr>
          <w:rFonts w:ascii="Times New Roman" w:hAnsi="Times New Roman" w:cs="Times New Roman"/>
          <w:b/>
          <w:sz w:val="24"/>
          <w:szCs w:val="24"/>
        </w:rPr>
      </w:pPr>
    </w:p>
    <w:p w14:paraId="0023ED02" w14:textId="77777777" w:rsidR="00AB1AEB" w:rsidRPr="00AB1AEB" w:rsidRDefault="00AB1AEB">
      <w:pPr>
        <w:spacing w:line="360" w:lineRule="auto"/>
        <w:jc w:val="both"/>
        <w:rPr>
          <w:rFonts w:ascii="Times New Roman" w:hAnsi="Times New Roman" w:cs="Times New Roman"/>
          <w:b/>
          <w:sz w:val="24"/>
          <w:szCs w:val="24"/>
        </w:rPr>
      </w:pPr>
    </w:p>
    <w:p w14:paraId="435413F7" w14:textId="5A656D6E"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6.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1729" w:rsidRPr="00AB1AEB" w14:paraId="7EE9A414" w14:textId="77777777">
        <w:trPr>
          <w:tblHeader/>
        </w:trPr>
        <w:tc>
          <w:tcPr>
            <w:tcW w:w="3879" w:type="dxa"/>
            <w:shd w:val="clear" w:color="auto" w:fill="F2F2F2"/>
          </w:tcPr>
          <w:p w14:paraId="0B8EB4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NDC-level coding</w:t>
            </w:r>
          </w:p>
        </w:tc>
        <w:tc>
          <w:tcPr>
            <w:tcW w:w="1263" w:type="dxa"/>
            <w:shd w:val="clear" w:color="auto" w:fill="F2F2F2"/>
          </w:tcPr>
          <w:p w14:paraId="7CB0C26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w:t>
            </w:r>
          </w:p>
        </w:tc>
        <w:tc>
          <w:tcPr>
            <w:tcW w:w="1480" w:type="dxa"/>
            <w:shd w:val="clear" w:color="auto" w:fill="F2F2F2"/>
          </w:tcPr>
          <w:p w14:paraId="241E28E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w:t>
            </w:r>
          </w:p>
        </w:tc>
        <w:tc>
          <w:tcPr>
            <w:tcW w:w="1136" w:type="dxa"/>
            <w:shd w:val="clear" w:color="auto" w:fill="F2F2F2"/>
          </w:tcPr>
          <w:p w14:paraId="341417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w:t>
            </w:r>
          </w:p>
        </w:tc>
        <w:tc>
          <w:tcPr>
            <w:tcW w:w="1600" w:type="dxa"/>
            <w:shd w:val="clear" w:color="auto" w:fill="F2F2F2"/>
          </w:tcPr>
          <w:p w14:paraId="01C85EC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w:t>
            </w:r>
          </w:p>
        </w:tc>
      </w:tr>
      <w:tr w:rsidR="00801729" w:rsidRPr="00AB1AEB" w14:paraId="1455CD45" w14:textId="77777777">
        <w:tc>
          <w:tcPr>
            <w:tcW w:w="3879" w:type="dxa"/>
          </w:tcPr>
          <w:p w14:paraId="644889A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Any NDC marked Resolved (146)</w:t>
            </w:r>
          </w:p>
        </w:tc>
        <w:tc>
          <w:tcPr>
            <w:tcW w:w="1263" w:type="dxa"/>
          </w:tcPr>
          <w:p w14:paraId="4DD5BC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115</w:t>
            </w:r>
          </w:p>
        </w:tc>
        <w:tc>
          <w:tcPr>
            <w:tcW w:w="1480" w:type="dxa"/>
          </w:tcPr>
          <w:p w14:paraId="1B9F56D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w:t>
            </w:r>
          </w:p>
        </w:tc>
        <w:tc>
          <w:tcPr>
            <w:tcW w:w="1136" w:type="dxa"/>
          </w:tcPr>
          <w:p w14:paraId="4AD364E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600" w:type="dxa"/>
          </w:tcPr>
          <w:p w14:paraId="2AD3A46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r>
      <w:tr w:rsidR="00801729" w:rsidRPr="00AB1AEB" w14:paraId="07219304" w14:textId="77777777">
        <w:tc>
          <w:tcPr>
            <w:tcW w:w="3879" w:type="dxa"/>
          </w:tcPr>
          <w:p w14:paraId="3AB0941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No NDC marked Resolved (152)</w:t>
            </w:r>
          </w:p>
        </w:tc>
        <w:tc>
          <w:tcPr>
            <w:tcW w:w="1263" w:type="dxa"/>
          </w:tcPr>
          <w:p w14:paraId="232E80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480" w:type="dxa"/>
          </w:tcPr>
          <w:p w14:paraId="4A07DDD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136" w:type="dxa"/>
          </w:tcPr>
          <w:p w14:paraId="2AD6A22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137</w:t>
            </w:r>
          </w:p>
        </w:tc>
        <w:tc>
          <w:tcPr>
            <w:tcW w:w="1600" w:type="dxa"/>
          </w:tcPr>
          <w:p w14:paraId="07168CB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15</w:t>
            </w:r>
          </w:p>
        </w:tc>
      </w:tr>
    </w:tbl>
    <w:p w14:paraId="2E11B2F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4.6 Ranking stability</w:t>
      </w:r>
    </w:p>
    <w:p w14:paraId="780B24D0"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F6498" wp14:editId="3812DC2F">
            <wp:extent cx="5486400" cy="4267200"/>
            <wp:effectExtent l="0" t="0" r="0" b="0"/>
            <wp:docPr id="102" name="Figure 3"/>
            <wp:cNvGraphicFramePr/>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r:embed="rId9"/>
                    <a:stretch>
                      <a:fillRect/>
                    </a:stretch>
                  </pic:blipFill>
                  <pic:spPr>
                    <a:xfrm>
                      <a:off x="0" y="0"/>
                      <a:ext cx="5486400" cy="4267200"/>
                    </a:xfrm>
                    <a:prstGeom prst="rect">
                      <a:avLst/>
                    </a:prstGeom>
                  </pic:spPr>
                </pic:pic>
              </a:graphicData>
            </a:graphic>
          </wp:inline>
        </w:drawing>
      </w:r>
    </w:p>
    <w:p w14:paraId="5E9028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5B619C9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w:t>
        <w:lastRenderedPageBreak/>
        <w:t xml:space="preserve">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4AC2063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sensitivity analysis, 11 reviewed pairs of duplicate FDA headings were consolidated into harmonized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top 20 increased from 16 to 18, and rank agreement between scenarios rose from 0.83 to 0.86. Only one of the four drugs displaced under archive-observed onset involved a duplicate heading; the two that remain displaced after harmonization,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harmonization (Supplementary Table S3; crosswalk and adjudication decisions in the repository).</w:t>
      </w:r>
    </w:p>
    <w:p w14:paraId="1074EA8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4.7 FDA–ASHP linkage</w:t>
      </w:r>
    </w:p>
    <w:p w14:paraId="7057387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7). Among confirmed links, 11 have an FDA-determined resolution. Within the analytical cohort, 23 of 173 drugs have a confirmed ASHP link and 8 of those an event.</w:t>
      </w:r>
    </w:p>
    <w:p w14:paraId="5D1E99E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Table 7. FDA–ASHP record-linkage yield by stage</w:t>
      </w:r>
    </w:p>
    <w:tbl>
      <w:tblPr>
        <w:tblStyle w:val="TableGrid"/>
        <w:tblW w:w="0" w:type="auto"/>
        <w:jc w:val="center"/>
        <w:tblLook w:val="04A0" w:firstRow="1" w:lastRow="0" w:firstColumn="1" w:lastColumn="0" w:noHBand="0" w:noVBand="1"/>
      </w:tblPr>
      <w:tblGrid>
        <w:gridCol w:w="3120"/>
        <w:gridCol w:w="3120"/>
        <w:gridCol w:w="3120"/>
      </w:tblGrid>
      <w:tr w:rsidR="00801729" w:rsidRPr="00AB1AEB" w14:paraId="18AD8DD5" w14:textId="77777777">
        <w:trPr>
          <w:jc w:val="center"/>
        </w:trPr>
        <w:tc>
          <w:tcPr>
            <w:tcW w:w="3120" w:type="dxa"/>
          </w:tcPr>
          <w:p w14:paraId="7A0411C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lastRenderedPageBreak/>
              <w:t>Stage / unit</w:t>
            </w:r>
          </w:p>
        </w:tc>
        <w:tc>
          <w:tcPr>
            <w:tcW w:w="3120" w:type="dxa"/>
          </w:tcPr>
          <w:p w14:paraId="092BFD9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Count</w:t>
            </w:r>
          </w:p>
        </w:tc>
        <w:tc>
          <w:tcPr>
            <w:tcW w:w="3120" w:type="dxa"/>
          </w:tcPr>
          <w:p w14:paraId="77ABE64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Interpretation</w:t>
            </w:r>
          </w:p>
        </w:tc>
      </w:tr>
      <w:tr w:rsidR="00801729" w:rsidRPr="00AB1AEB" w14:paraId="49757769" w14:textId="77777777">
        <w:trPr>
          <w:jc w:val="center"/>
        </w:trPr>
        <w:tc>
          <w:tcPr>
            <w:tcW w:w="3120" w:type="dxa"/>
          </w:tcPr>
          <w:p w14:paraId="5526D0A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full extract</w:t>
            </w:r>
          </w:p>
        </w:tc>
        <w:tc>
          <w:tcPr>
            <w:tcW w:w="3120" w:type="dxa"/>
          </w:tcPr>
          <w:p w14:paraId="4D1FCA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958</w:t>
            </w:r>
          </w:p>
        </w:tc>
        <w:tc>
          <w:tcPr>
            <w:tcW w:w="3120" w:type="dxa"/>
          </w:tcPr>
          <w:p w14:paraId="57AE01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Resolved-bulletin source records</w:t>
            </w:r>
          </w:p>
        </w:tc>
      </w:tr>
      <w:tr w:rsidR="00801729" w:rsidRPr="00AB1AEB" w14:paraId="2D5B9EC1" w14:textId="77777777">
        <w:trPr>
          <w:jc w:val="center"/>
        </w:trPr>
        <w:tc>
          <w:tcPr>
            <w:tcW w:w="3120" w:type="dxa"/>
          </w:tcPr>
          <w:p w14:paraId="3A72E21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overlapping FDA window</w:t>
            </w:r>
          </w:p>
        </w:tc>
        <w:tc>
          <w:tcPr>
            <w:tcW w:w="3120" w:type="dxa"/>
          </w:tcPr>
          <w:p w14:paraId="645787B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479</w:t>
            </w:r>
          </w:p>
        </w:tc>
        <w:tc>
          <w:tcPr>
            <w:tcW w:w="3120" w:type="dxa"/>
          </w:tcPr>
          <w:p w14:paraId="0CFEFDC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Temporal eligibility</w:t>
            </w:r>
          </w:p>
        </w:tc>
      </w:tr>
      <w:tr w:rsidR="00801729" w:rsidRPr="00AB1AEB" w14:paraId="47CF188C" w14:textId="77777777">
        <w:trPr>
          <w:jc w:val="center"/>
        </w:trPr>
        <w:tc>
          <w:tcPr>
            <w:tcW w:w="3120" w:type="dxa"/>
          </w:tcPr>
          <w:p w14:paraId="2EE6209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Bulletins with any FDA identity candidate</w:t>
            </w:r>
          </w:p>
        </w:tc>
        <w:tc>
          <w:tcPr>
            <w:tcW w:w="3120" w:type="dxa"/>
          </w:tcPr>
          <w:p w14:paraId="4D7C14F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166</w:t>
            </w:r>
          </w:p>
        </w:tc>
        <w:tc>
          <w:tcPr>
            <w:tcW w:w="3120" w:type="dxa"/>
          </w:tcPr>
          <w:p w14:paraId="2C3D541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Identity candidate coverage</w:t>
            </w:r>
          </w:p>
        </w:tc>
      </w:tr>
      <w:tr w:rsidR="00801729" w:rsidRPr="00AB1AEB" w14:paraId="3713681C" w14:textId="77777777">
        <w:trPr>
          <w:jc w:val="center"/>
        </w:trPr>
        <w:tc>
          <w:tcPr>
            <w:tcW w:w="3120" w:type="dxa"/>
          </w:tcPr>
          <w:p w14:paraId="6EED7CD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by FDA record candidate pairs</w:t>
            </w:r>
          </w:p>
        </w:tc>
        <w:tc>
          <w:tcPr>
            <w:tcW w:w="3120" w:type="dxa"/>
          </w:tcPr>
          <w:p w14:paraId="27DA1C1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418</w:t>
            </w:r>
          </w:p>
        </w:tc>
        <w:tc>
          <w:tcPr>
            <w:tcW w:w="3120" w:type="dxa"/>
          </w:tcPr>
          <w:p w14:paraId="75757B9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327 HIGH; 17 MEDIUM; 74 LOW</w:t>
            </w:r>
          </w:p>
        </w:tc>
      </w:tr>
      <w:tr w:rsidR="00801729" w:rsidRPr="00AB1AEB" w14:paraId="1D5CC165" w14:textId="77777777">
        <w:trPr>
          <w:jc w:val="center"/>
        </w:trPr>
        <w:tc>
          <w:tcPr>
            <w:tcW w:w="3120" w:type="dxa"/>
          </w:tcPr>
          <w:p w14:paraId="7E8DD7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Confirmed same-spell links</w:t>
            </w:r>
          </w:p>
        </w:tc>
        <w:tc>
          <w:tcPr>
            <w:tcW w:w="3120" w:type="dxa"/>
          </w:tcPr>
          <w:p w14:paraId="2295428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27</w:t>
            </w:r>
          </w:p>
        </w:tc>
        <w:tc>
          <w:tcPr>
            <w:tcW w:w="3120" w:type="dxa"/>
          </w:tcPr>
          <w:p w14:paraId="532714F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26 distinct FDA headings; 11 FDA resolutions</w:t>
            </w:r>
          </w:p>
        </w:tc>
      </w:tr>
      <w:tr w:rsidR="00801729" w:rsidRPr="00AB1AEB" w14:paraId="0F6FEAF7" w14:textId="77777777">
        <w:trPr>
          <w:jc w:val="center"/>
        </w:trPr>
        <w:tc>
          <w:tcPr>
            <w:tcW w:w="3120" w:type="dxa"/>
          </w:tcPr>
          <w:p w14:paraId="0A73FB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Probable spell links</w:t>
            </w:r>
          </w:p>
        </w:tc>
        <w:tc>
          <w:tcPr>
            <w:tcW w:w="3120" w:type="dxa"/>
          </w:tcPr>
          <w:p w14:paraId="1E91FB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70</w:t>
            </w:r>
          </w:p>
        </w:tc>
        <w:tc>
          <w:tcPr>
            <w:tcW w:w="3120" w:type="dxa"/>
          </w:tcPr>
          <w:p w14:paraId="616233F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primary verified events</w:t>
            </w:r>
          </w:p>
        </w:tc>
      </w:tr>
      <w:tr w:rsidR="00801729" w:rsidRPr="00AB1AEB" w14:paraId="7917C003" w14:textId="77777777">
        <w:trPr>
          <w:jc w:val="center"/>
        </w:trPr>
        <w:tc>
          <w:tcPr>
            <w:tcW w:w="3120" w:type="dxa"/>
          </w:tcPr>
          <w:p w14:paraId="5395B8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Ambiguous spell links</w:t>
            </w:r>
          </w:p>
        </w:tc>
        <w:tc>
          <w:tcPr>
            <w:tcW w:w="3120" w:type="dxa"/>
          </w:tcPr>
          <w:p w14:paraId="31D7F8F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69</w:t>
            </w:r>
          </w:p>
        </w:tc>
        <w:tc>
          <w:tcPr>
            <w:tcW w:w="3120" w:type="dxa"/>
          </w:tcPr>
          <w:p w14:paraId="4576C95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Excluded from confirmed links</w:t>
            </w:r>
          </w:p>
        </w:tc>
      </w:tr>
    </w:tbl>
    <w:p w14:paraId="1F2E1B05" w14:textId="77777777" w:rsidR="00801729" w:rsidRPr="00AB1AEB" w:rsidRDefault="00801729">
      <w:pPr>
        <w:spacing w:line="360" w:lineRule="auto"/>
        <w:jc w:val="both"/>
        <w:rPr>
          <w:rFonts w:ascii="Times New Roman" w:hAnsi="Times New Roman" w:cs="Times New Roman"/>
          <w:sz w:val="24"/>
          <w:szCs w:val="24"/>
        </w:rPr>
      </w:pPr>
    </w:p>
    <w:p w14:paraId="46CF3FE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8). Consistent with ASHP's documentation, which distinguishes bulletin update dates from the separate date of transfer to the resolved list (ASHP, n.d.), the last-revision timestamp is an update-history field and cannot be read as the date the shortage ended; 262 bulletins remain open for more than two years and 91 for more than four, spanning what the FDA archive records as resolve-and-recur cycles.</w:t>
      </w:r>
    </w:p>
    <w:p w14:paraId="17D30D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8. Administrative dating differences on paired spells</w:t>
      </w:r>
    </w:p>
    <w:tbl>
      <w:tblPr>
        <w:tblStyle w:val="TableGrid"/>
        <w:tblW w:w="0" w:type="auto"/>
        <w:jc w:val="center"/>
        <w:tblLayout w:type="fixed"/>
        <w:tblLook w:val="0420" w:firstRow="1" w:lastRow="0" w:firstColumn="0" w:lastColumn="0" w:noHBand="0" w:noVBand="1"/>
      </w:tblPr>
      <w:tblGrid>
        <w:gridCol w:w="4145"/>
        <w:gridCol w:w="790"/>
        <w:gridCol w:w="1561"/>
        <w:gridCol w:w="1431"/>
        <w:gridCol w:w="1431"/>
      </w:tblGrid>
      <w:tr w:rsidR="00801729" w:rsidRPr="00AB1AEB" w14:paraId="64F02504" w14:textId="77777777">
        <w:trPr>
          <w:tblHeader/>
          <w:jc w:val="center"/>
        </w:trPr>
        <w:tc>
          <w:tcPr>
            <w:tcW w:w="4145" w:type="dxa"/>
            <w:shd w:val="clear" w:color="auto" w:fill="F2F2F2"/>
          </w:tcPr>
          <w:p w14:paraId="16A8BC4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Comparison</w:t>
            </w:r>
          </w:p>
        </w:tc>
        <w:tc>
          <w:tcPr>
            <w:tcW w:w="790" w:type="dxa"/>
            <w:shd w:val="clear" w:color="auto" w:fill="F2F2F2"/>
          </w:tcPr>
          <w:p w14:paraId="624B189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Pairs</w:t>
            </w:r>
          </w:p>
        </w:tc>
        <w:tc>
          <w:tcPr>
            <w:tcW w:w="1561" w:type="dxa"/>
            <w:shd w:val="clear" w:color="auto" w:fill="F2F2F2"/>
          </w:tcPr>
          <w:p w14:paraId="75FAAF1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Median gap</w:t>
            </w:r>
          </w:p>
        </w:tc>
        <w:tc>
          <w:tcPr>
            <w:tcW w:w="1431" w:type="dxa"/>
            <w:shd w:val="clear" w:color="auto" w:fill="F2F2F2"/>
          </w:tcPr>
          <w:p w14:paraId="2D1D0B6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30 d</w:t>
            </w:r>
          </w:p>
        </w:tc>
        <w:tc>
          <w:tcPr>
            <w:tcW w:w="1431" w:type="dxa"/>
            <w:shd w:val="clear" w:color="auto" w:fill="F2F2F2"/>
          </w:tcPr>
          <w:p w14:paraId="4E4C6CA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90 d</w:t>
            </w:r>
          </w:p>
        </w:tc>
      </w:tr>
      <w:tr w:rsidR="00801729" w:rsidRPr="00AB1AEB" w14:paraId="4D5732C5" w14:textId="77777777">
        <w:trPr>
          <w:jc w:val="center"/>
        </w:trPr>
        <w:tc>
          <w:tcPr>
            <w:tcW w:w="4145" w:type="dxa"/>
          </w:tcPr>
          <w:p w14:paraId="6BC9040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posting − ASHP creation (onset)</w:t>
            </w:r>
          </w:p>
        </w:tc>
        <w:tc>
          <w:tcPr>
            <w:tcW w:w="790" w:type="dxa"/>
          </w:tcPr>
          <w:p w14:paraId="19ADAC1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125</w:t>
            </w:r>
          </w:p>
        </w:tc>
        <w:tc>
          <w:tcPr>
            <w:tcW w:w="1561" w:type="dxa"/>
          </w:tcPr>
          <w:p w14:paraId="36AF8C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10 d</w:t>
            </w:r>
          </w:p>
        </w:tc>
        <w:tc>
          <w:tcPr>
            <w:tcW w:w="1431" w:type="dxa"/>
          </w:tcPr>
          <w:p w14:paraId="07AA1F0B"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44</w:t>
            </w:r>
          </w:p>
        </w:tc>
        <w:tc>
          <w:tcPr>
            <w:tcW w:w="1431" w:type="dxa"/>
          </w:tcPr>
          <w:p w14:paraId="2475916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68</w:t>
            </w:r>
          </w:p>
        </w:tc>
      </w:tr>
      <w:tr w:rsidR="00801729" w:rsidRPr="00AB1AEB" w14:paraId="5B4F61B6" w14:textId="77777777">
        <w:trPr>
          <w:jc w:val="center"/>
        </w:trPr>
        <w:tc>
          <w:tcPr>
            <w:tcW w:w="4145" w:type="dxa"/>
          </w:tcPr>
          <w:p w14:paraId="2543851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determination − ASHP last revision (exit)</w:t>
            </w:r>
          </w:p>
        </w:tc>
        <w:tc>
          <w:tcPr>
            <w:tcW w:w="790" w:type="dxa"/>
          </w:tcPr>
          <w:p w14:paraId="2A5473F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130</w:t>
            </w:r>
          </w:p>
        </w:tc>
        <w:tc>
          <w:tcPr>
            <w:tcW w:w="1561" w:type="dxa"/>
          </w:tcPr>
          <w:p w14:paraId="04F139E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−395 d (ASHP later)</w:t>
            </w:r>
          </w:p>
        </w:tc>
        <w:tc>
          <w:tcPr>
            <w:tcW w:w="1431" w:type="dxa"/>
          </w:tcPr>
          <w:p w14:paraId="3545FED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w:t>
            </w:r>
          </w:p>
        </w:tc>
        <w:tc>
          <w:tcPr>
            <w:tcW w:w="1431" w:type="dxa"/>
          </w:tcPr>
          <w:p w14:paraId="594F893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23</w:t>
            </w:r>
          </w:p>
        </w:tc>
      </w:tr>
    </w:tbl>
    <w:p w14:paraId="0F646A72"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1A545D66"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5.1 What is robust and what is not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sz w:val="24"/>
          <w:szCs w:val="24"/>
          <w:i/>
        </w:rPr>
        <w:t xml:space="preserve">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 The pattern parallels what Behzadi et al. (2020) and Ivanov (2025) report for resilience indicators, where aggregate assessments converge while rankings of alternatives diverge, and extends it one level down: here the divergence arises not from the indicator chosen but from how the dates feeding the indicator were reconstructed.</w:t>
      </w:r>
    </w:p>
    <w:p w14:paraId="7759D8E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4CE23423"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ASHP, n.d.),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which is consistent with ASHP's own account of how its parameters differ from FDA's (ASHP, 2014). A study that used ASHP's last revision as a recovery date would measure something other than recovery.</w:t>
      </w:r>
    </w:p>
    <w:p w14:paraId="4A0A27D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and it is the one the record-linkage literature has drawn for health data (Harron, Doidge et al., 2017): recovery-time measures from administrative registers should report the unit of record and the unit of inference separately, state the onset and exit rules, carry an observation interval rather than a point where the data are periodic, report linkage confidence by stratum,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 For resilience measurement more broadly, the results suggest that the sensitivity analyses Behzadi et al. (2020) recommend across indicators should be extended to the reconstruction of the event dates themselves.</w:t>
      </w:r>
    </w:p>
    <w:p w14:paraId="6B62D65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49C4CD40"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5.4 Limitations</w:t>
      </w:r>
    </w:p>
    <w:p w14:paraId="1E02E95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70BE8751"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585A310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00FF22A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 </w:t>
      </w:r>
      <w:r>
        <w:rPr>
          <w:rFonts w:ascii="Times New Roman" w:hAnsi="Times New Roman" w:cs="Times New Roman"/>
          <w:sz w:val="24"/>
          <w:szCs w:val="24"/>
          <w:i/>
        </w:rPr>
        <w:t xml:space="preserve">Drug shortages FAQs</w:t>
      </w:r>
      <w:r>
        <w:rPr>
          <w:rFonts w:ascii="Times New Roman" w:hAnsi="Times New Roman" w:cs="Times New Roman"/>
          <w:sz w:val="24"/>
          <w:szCs w:val="24"/>
        </w:rPr>
        <w:t xml:space="preserve">. Retrieved October 23, 2026, from https://www.ashp.org/drug-shortages/current-shortages/drug-shortages-faqs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(2014, August). </w:t>
      </w:r>
      <w:r>
        <w:rPr>
          <w:rFonts w:ascii="Times New Roman" w:hAnsi="Times New Roman" w:cs="Times New Roman"/>
          <w:sz w:val="24"/>
          <w:szCs w:val="24"/>
          <w:i/>
        </w:rPr>
        <w:t xml:space="preserve">FDA and ASHP shortage parameters</w:t>
      </w:r>
      <w:r>
        <w:rPr>
          <w:rFonts w:ascii="Times New Roman" w:hAnsi="Times New Roman" w:cs="Times New Roman"/>
          <w:sz w:val="24"/>
          <w:szCs w:val="24"/>
        </w:rPr>
        <w:t xml:space="preserve">. https://www.ashp.org/drug-shortages/current-shortages/fda-and-ashp-shortage-parameters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Behzadi, G., O'Sullivan, M. J., &amp; Olsen, T. L. (2020). On metrics for supply chain resilience. </w:t>
      </w:r>
      <w:r>
        <w:rPr>
          <w:rFonts w:ascii="Times New Roman" w:hAnsi="Times New Roman" w:cs="Times New Roman"/>
          <w:sz w:val="24"/>
          <w:szCs w:val="24"/>
          <w:i/>
        </w:rPr>
        <w:t xml:space="preserve">European Journal of Operational Research, 287</w:t>
      </w:r>
      <w:r>
        <w:rPr>
          <w:rFonts w:ascii="Times New Roman" w:hAnsi="Times New Roman" w:cs="Times New Roman"/>
          <w:sz w:val="24"/>
          <w:szCs w:val="24"/>
        </w:rPr>
        <w:t xml:space="preserve">(1), 145–158. https://doi.org/10.1016/j.ejor.2020.04.040</w:t>
      </w:r>
    </w:p>
    <w:p w14:paraId="1EBE632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08EE9BE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44DF7A0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4C59569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Dibben, C., Boyd, J., Hjern, A., Azimaee, M., Barreto, M. L., &amp; Goldstein, H. (2017). Challenges in administrative data linkage for research. </w:t>
      </w:r>
      <w:r>
        <w:rPr>
          <w:rFonts w:ascii="Times New Roman" w:hAnsi="Times New Roman" w:cs="Times New Roman"/>
          <w:sz w:val="24"/>
          <w:szCs w:val="24"/>
          <w:i/>
        </w:rPr>
        <w:t xml:space="preserve">Big Data &amp; Society, 4</w:t>
      </w:r>
      <w:r>
        <w:rPr>
          <w:rFonts w:ascii="Times New Roman" w:hAnsi="Times New Roman" w:cs="Times New Roman"/>
          <w:sz w:val="24"/>
          <w:szCs w:val="24"/>
        </w:rPr>
        <w:t xml:space="preserve">(2), Article 2053951717745678. https://doi.org/10.1177/2053951717745678</w:t>
      </w:r>
    </w:p>
    <w:p w14:paraId="3A78DDC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L., Doidge, J. C., Knight, H. E., Gilbert, R. E., Goldstein, H., Cromwell, D. A., &amp; van der Meulen, J. H. (2017). A guide to evaluating linkage quality for the analysis of linked data. </w:t>
      </w:r>
      <w:r>
        <w:rPr>
          <w:rFonts w:ascii="Times New Roman" w:hAnsi="Times New Roman" w:cs="Times New Roman"/>
          <w:sz w:val="24"/>
          <w:szCs w:val="24"/>
          <w:i/>
        </w:rPr>
        <w:t xml:space="preserve">International Journal of Epidemiology, 46</w:t>
      </w:r>
      <w:r>
        <w:rPr>
          <w:rFonts w:ascii="Times New Roman" w:hAnsi="Times New Roman" w:cs="Times New Roman"/>
          <w:sz w:val="24"/>
          <w:szCs w:val="24"/>
        </w:rPr>
        <w:t xml:space="preserve">(5), 1699–1710. https://doi.org/10.1093/ije/dyx177</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Hosseini, S., Ivanov, D., &amp; Blackhurst, J. (2022). Conceptualization and measurement of supply chain resilience in an open-system context. </w:t>
      </w:r>
      <w:r>
        <w:rPr>
          <w:rFonts w:ascii="Times New Roman" w:hAnsi="Times New Roman" w:cs="Times New Roman"/>
          <w:sz w:val="24"/>
          <w:szCs w:val="24"/>
          <w:i/>
        </w:rPr>
        <w:t xml:space="preserve">IEEE Transactions on Engineering Management, 69</w:t>
      </w:r>
      <w:r>
        <w:rPr>
          <w:rFonts w:ascii="Times New Roman" w:hAnsi="Times New Roman" w:cs="Times New Roman"/>
          <w:sz w:val="24"/>
          <w:szCs w:val="24"/>
        </w:rPr>
        <w:t xml:space="preserve">(6), 3111–3126. https://doi.org/10.1109/TEM.2020.3026465</w:t>
      </w:r>
    </w:p>
    <w:p w14:paraId="49E0273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(2025). When is the supply chain resilient? Customer and operational perspectives. </w:t>
      </w:r>
      <w:r>
        <w:rPr>
          <w:rFonts w:ascii="Times New Roman" w:hAnsi="Times New Roman" w:cs="Times New Roman"/>
          <w:sz w:val="24"/>
          <w:szCs w:val="24"/>
          <w:i/>
        </w:rPr>
        <w:t xml:space="preserve">International Journal of Production Research, 63</w:t>
      </w:r>
      <w:r>
        <w:rPr>
          <w:rFonts w:ascii="Times New Roman" w:hAnsi="Times New Roman" w:cs="Times New Roman"/>
          <w:sz w:val="24"/>
          <w:szCs w:val="24"/>
        </w:rPr>
        <w:t xml:space="preserve">(15), 5512–5527. https://doi.org/10.1080/00207543.2025.2454331</w:t>
      </w:r>
    </w:p>
    <w:p w14:paraId="374DCE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3EF4730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42EDA81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554375"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Rana, R., Sauser, B., Gligor, D., Prybutok, V., &amp; Hiatt, B. (2026). A systematic review of systems thinking in supply chain research to manage complexity, resilience and sustainability. Systems Research and Behavioral Science, 43(2), 789–809. https://doi.org/10.1002/sres.3220</w:t>
      </w:r>
    </w:p>
    <w:p w14:paraId="0C09AA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69E1F01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1BC58E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04F8E26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(2024, December 18).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https://www.fda.gov/drugs/drug-shortages/frequently-asked-questions-about-drug-shortages</w:t>
      </w:r>
    </w:p>
    <w:p w14:paraId="5B114BD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4197AEE8"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731DC3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57DE77C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0CA5BEA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4D909AD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3F91C39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xml:space="preserve">;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560A21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5DBE643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w:t>
        <w:lastRenderedPageBreak/>
        <w:t>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C16C60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0B6E72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B. Reproducibility and provenance</w:t>
      </w:r>
    </w:p>
    <w:p w14:paraId="74EF240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All scripts, audit outputs and reviewer decisions are at github.com/rishabhrana863/Shortage_Measurement_Validity (analysis baseline commit 0e57d57; supplementary provenance revision 541e3b0). The repository redistributes the derived episode file and the ASHP extract; it identifies the 38 archived FDA captures by Internet Archive URL and SHA-256 (Supplementary Table S2) without redistributing them; the current Orange Book, NDC Directory and NDC excluded-products files are downloaded from fda.gov and their hashes recorded in each audit's provenance.log. The episode file was first built as an external timescale benchmark for two simulation manuscripts by the author (Annals of Operations Research, ANOR-D-26-03489; Journal of Decision Systems, 262318073), which use only its Kaplan–Meier median and day-110 resolution share; all analyses here are new to this paper.</w:t>
      </w:r>
    </w:p>
    <w:p w14:paraId="7245F5D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00F57973" w14:textId="4DD2B9CF"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173-drug cohort, each heading's product was placed in a harmonized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1729" w:rsidRPr="00AB1AEB">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04FB2" w14:textId="77777777" w:rsidR="00294BEA" w:rsidRDefault="00294BEA">
      <w:pPr>
        <w:spacing w:after="0" w:line="240" w:lineRule="auto"/>
      </w:pPr>
      <w:r>
        <w:separator/>
      </w:r>
    </w:p>
  </w:endnote>
  <w:endnote w:type="continuationSeparator" w:id="0">
    <w:p w14:paraId="0A0D32AC" w14:textId="77777777" w:rsidR="00294BEA" w:rsidRDefault="0029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6694977"/>
      <w:docPartObj>
        <w:docPartGallery w:val="Page Numbers (Bottom of Page)"/>
        <w:docPartUnique/>
      </w:docPartObj>
    </w:sdtPr>
    <w:sdtContent>
      <w:p w14:paraId="1A718C35"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CA06D" w14:textId="77777777" w:rsidR="00801729" w:rsidRDefault="008017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1282083"/>
      <w:docPartObj>
        <w:docPartGallery w:val="Page Numbers (Bottom of Page)"/>
        <w:docPartUnique/>
      </w:docPartObj>
    </w:sdtPr>
    <w:sdtContent>
      <w:p w14:paraId="391DA673"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5D06" w14:textId="77777777" w:rsidR="00801729" w:rsidRDefault="00801729">
    <w:pPr>
      <w:pStyle w:val="Footer"/>
      <w:ind w:right="360"/>
    </w:pPr>
  </w:p>
  <w:p w14:paraId="01088175" w14:textId="77777777" w:rsidR="00801729" w:rsidRDefault="008017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79EC2" w14:textId="77777777" w:rsidR="00294BEA" w:rsidRDefault="00294BEA">
      <w:pPr>
        <w:spacing w:after="0" w:line="240" w:lineRule="auto"/>
      </w:pPr>
      <w:r>
        <w:separator/>
      </w:r>
    </w:p>
  </w:footnote>
  <w:footnote w:type="continuationSeparator" w:id="0">
    <w:p w14:paraId="1C55F1CC" w14:textId="77777777" w:rsidR="00294BEA" w:rsidRDefault="0029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979"/>
    <w:rsid w:val="00064C89"/>
    <w:rsid w:val="000C76D1"/>
    <w:rsid w:val="001A2FF6"/>
    <w:rsid w:val="002215ED"/>
    <w:rsid w:val="00294BEA"/>
    <w:rsid w:val="00331222"/>
    <w:rsid w:val="005452EF"/>
    <w:rsid w:val="00703904"/>
    <w:rsid w:val="007A192F"/>
    <w:rsid w:val="00801729"/>
    <w:rsid w:val="00802979"/>
    <w:rsid w:val="00904B5B"/>
    <w:rsid w:val="00AB1AEB"/>
    <w:rsid w:val="00C821CE"/>
    <w:rsid w:val="00CD09DD"/>
    <w:rsid w:val="00E54358"/>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9928"/>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3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04"/>
  </w:style>
  <w:style w:type="paragraph" w:styleId="Footer">
    <w:name w:val="footer"/>
    <w:basedOn w:val="Normal"/>
    <w:link w:val="FooterChar"/>
    <w:uiPriority w:val="99"/>
    <w:unhideWhenUsed/>
    <w:rsid w:val="0070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904"/>
  </w:style>
  <w:style w:type="character" w:styleId="PageNumber">
    <w:name w:val="page number"/>
    <w:basedOn w:val="DefaultParagraphFont"/>
    <w:uiPriority w:val="99"/>
    <w:semiHidden/>
    <w:unhideWhenUsed/>
    <w:rsid w:val="0070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7155</Words>
  <Characters>40784</Characters>
  <Application>Microsoft Office Word</Application>
  <DocSecurity>0</DocSecurity>
  <Lines>339</Lines>
  <Paragraphs>95</Paragraphs>
  <ScaleCrop>false</ScaleCrop>
  <Company/>
  <LinksUpToDate>false</LinksUpToDate>
  <CharactersWithSpaces>47844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dc:title>
  <dc:subject>Anonymized submission</dc:subject>
  <dc:creator/>
  <cp:keywords/>
  <dc:description>Claude Docs node/a4b5430e-289d@44 docx-w7</dc:description>
  <cp:lastModifiedBy>Rana, Rishabh</cp:lastModifiedBy>
  <cp:revision>59</cp:revision>
  <dcterms:created xsi:type="dcterms:W3CDTF">2026-10-23T20:50:00Z</dcterms:created>
  <dcterms:modified xsi:type="dcterms:W3CDTF">2026-10-23T21:30:00Z</dcterms:modified>
</cp:coreProperties>
</file>