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96B9D" w14:textId="77777777" w:rsidR="00801729" w:rsidRPr="00AB1AEB" w:rsidRDefault="00000000">
      <w:pPr>
        <w:pStyle w:val="Heading1"/>
        <w:spacing w:line="360" w:lineRule="auto"/>
        <w:jc w:val="center"/>
        <w:rPr>
          <w:rFonts w:ascii="Times New Roman" w:hAnsi="Times New Roman" w:cs="Times New Roman"/>
          <w:sz w:val="24"/>
          <w:szCs w:val="24"/>
        </w:rPr>
      </w:pPr>
      <w:r>
        <w:rPr>
          <w:rFonts w:ascii="Times New Roman" w:hAnsi="Times New Roman" w:cs="Times New Roman"/>
          <w:sz w:val="24"/>
          <w:szCs w:val="24"/>
        </w:rPr>
        <w:t>When Supply Chain Recovery Data Disagree: Measurement Validity and Event Reconstruction in Pharmaceutical Shortages</w:t>
      </w:r>
    </w:p>
    <w:p w14:paraId="24B2322A"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Abstract</w:t>
      </w:r>
    </w:p>
    <w:p w14:paraId="633B3DB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recovery studies increasingly use administrative records, but the dates in these records need not represent disruption onset or recovery. We examine how event-reconstruction choices affect measured pharmaceutical shortage persistence using 39 FDA archive captures on 38 dates (2019–2023), comprising 2,042 NDC-level listings under 298 FDA headings, and 958 ASHP resolved-shortage bulletins. Four reconstruction rules distinguish product-level records, drug-heading aggregation, archive-observed onset, and cross-system linkage. On a common cohort of 173 headings with a shared exit rule, one-year survival ranges from 0.79 to 0.84 across onset scenarios, yet four of the 20 longest-lasting shortages under recorded posting dates leave that group when onset is bounded by archival observations. Eleven additional headings have ambiguous resolution status and are excluded from persistence rankings. Reviewed consolidation of 11 duplicate-heading pairs increases stable top-20 membership from 16 to 18. Among 146 headings with any resolved NDC, 31 remain ambiguous at heading level. FDA resolution determinations and ASHP last-revision timestamps differ by a median of 395 days in the paired comparison, underscoring their non-equivalent administrative meanings. We provide a reproducible linkage and reconstruction workflow with explicit identity, spell, and timing uncertainty. The results show that aggregate persistence can remain stable while conclusions about individual long-lasting disruptions depend on administrative record definitions.</w:t>
      </w:r>
    </w:p>
    <w:p w14:paraId="72BB61C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xml:space="preserve"> drug shortages; supply chain resilience; recovery measurement; record linkage; administrative data; measurement validity</w:t>
      </w:r>
    </w:p>
    <w:p w14:paraId="19A225DF"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1. Introduction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a supply chain is disrupted, the question that matters to operations is how long recovery takes. Resilience research has built its empirical base on that interval, the time to recover and the performance lost while recovering (Sheffi and Rice, 2005; Melnyk et al., 2014), and the field already recognises that the choice of recovery indicator is not neutral: different metrics can lead to different conclusions about performance and to different investment decisions (Behzadi et al., 2020; Ivanov, 2025). Those studies take the underlying event dates as given. Increasingly, however, recovery times are measured from administrative records rather than from firms' own operational data, and a register records what an agency did and when, not what happened in the supply chain and when. The date on which a shortage was </w:t>
      </w:r>
      <w:r>
        <w:rPr>
          <w:rFonts w:ascii="Times New Roman" w:hAnsi="Times New Roman" w:cs="Times New Roman"/>
          <w:sz w:val="24"/>
          <w:szCs w:val="24"/>
          <w:i/>
        </w:rPr>
        <w:t xml:space="preserve">posted</w:t>
      </w:r>
      <w:r>
        <w:rPr>
          <w:rFonts w:ascii="Times New Roman" w:hAnsi="Times New Roman" w:cs="Times New Roman"/>
          <w:sz w:val="24"/>
          <w:szCs w:val="24"/>
        </w:rPr>
        <w:t xml:space="preserve"> is a reporting act; the date on which supply </w:t>
      </w:r>
      <w:r>
        <w:rPr>
          <w:rFonts w:ascii="Times New Roman" w:hAnsi="Times New Roman" w:cs="Times New Roman"/>
          <w:sz w:val="24"/>
          <w:szCs w:val="24"/>
          <w:i/>
        </w:rPr>
        <w:t xml:space="preserve">failed</w:t>
      </w:r>
      <w:r>
        <w:rPr>
          <w:rFonts w:ascii="Times New Roman" w:hAnsi="Times New Roman" w:cs="Times New Roman"/>
          <w:sz w:val="24"/>
          <w:szCs w:val="24"/>
        </w:rPr>
        <w:t xml:space="preserve"> is the event. The two are usually close. The question this paper asks is when they are not, by how much, and whether it matters for the conclusions operations researchers and planners draw.</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Pharmaceutical shortages are the right setting for the question. They are frequent, consequential and unusually well recorded: the United States maintains two public registers, the FDA Drug Shortage Database and the ASHP/University of Utah bulletins, both longitudinal and both widely used in shortage research (Fox et al., 2014; Yurukoglu et al., 2017; Tucker et al., 2020). The two registers apply different shortage definitions and serve different purposes, a distinction ASHP itself documents (American Society of Health-System Pharmacists [ASHP], 2014). Because the FDA register deletes resolved entries after a retention period, historical duration must be reconstructed from archived web captures, and the HHS/ASPE analysis of 2018 to 2023 shortages (Eastern Research Group [ERG], 2025) has shown how. That reconstruction involves choices about the unit of observation, when a spell begins, when it ends and what an absent listing means. These choices are rarely stated in the studies we reviewed, and their consequences have not, to our knowledge, been compared on a common cohort.</w:t>
      </w:r>
    </w:p>
    <w:p w14:paraId="36F252B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make those choices explicit and measure their consequences. Four reconstruction rules, each defensible and each in use, are applied to the same archive: a product-level rule that takes recorded dates at face value, a drug-level rule anchored on recorded posting, a drug-level rule anchored on archival observation, and a hybrid that dates onset from ASHP and exit from FDA. The rules are compared on a common cohort with a shared exit definition, so that the only quantity varying is the one under study. We then ask the operations question directly: of the shortages a planner would prioritise as most persistent, how many survive careful reconstruction?</w:t>
      </w:r>
    </w:p>
    <w:p w14:paraId="095D3E0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Three contributions follow. First, a measurement contribution: we quantify six mechanisms by which the FDA archive's recorded dates diverge from what it observed (inherited posting dates and duplicate headings across product listings, late-entering products, apparent re-use of shortage entries, irregular capture spacing, and the construct differences between FDA and ASHP) and state which are confirmed and which inferred. Second, a methodological contribution: a reproducible two-level record-linkage and event-reconstruction framework that carries identity confidence, spell-linkage confidence and observation intervals through to the results, released </w:t>
        <w:lastRenderedPageBreak/>
        <w:t>with its full audit trail. Third, an operations contribution: evidence that aggregate persistence estimates are robust to these choices while the identification of the longest-lasting shortages is not, together with a diagnostic that flags the unreliable cases from the archive alone.</w:t>
      </w:r>
    </w:p>
    <w:p w14:paraId="592282A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paper proceeds as follows. Section 2 locates the study in the literatures on recovery measurement, pharmaceutical shortage reconstruction and administrative record linkage. Section 3 describes the sources, the unit of analysis, the linkage protocol, the four reconstruction rules and the comparison design. Section 4 reports results. Section 5 discusses what is robust, what is not, and what follows for research and practice; Section 6 concludes.</w:t>
      </w:r>
    </w:p>
    <w:p w14:paraId="1BFB9CF6"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2. Literature review</w:t>
      </w:r>
    </w:p>
    <w:p w14:paraId="1EC13DB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2.1 Measuring disruption and recovery in supply chains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resilience research has converged on time-based constructs: time to detect, time to recover, and the area of the performance deficit between them (Sheffi and Rice, 2005; Melnyk et al., 2014; Bode and Macdonald, 2017; Hosseini et al., 2022; Ivanov, 2020). Measurement work within this tradition has shown that the construct is sensitive to how it is operationalised. Behzadi et al. (2020) review resilience metrics and demonstrate that alternative metrics can rank the same mitigation strategies differently; Ivanov (2025) shows that customer-facing indicators such as on-time delivery and operational indicators such as fill rate detect and date the same disruption differently, so that time to recover depends on the perspective adopted. Hosseini et al. (2022) argue for conceptualising and measuring resilience in an open-system context in which the boundary of what is measured shapes the result. These contributions concern the choice of indicator. The literature on how onset and restoration are </w:t>
      </w:r>
      <w:r>
        <w:rPr>
          <w:rFonts w:ascii="Times New Roman" w:hAnsi="Times New Roman" w:cs="Times New Roman"/>
          <w:sz w:val="24"/>
          <w:szCs w:val="24"/>
          <w:i/>
        </w:rPr>
        <w:t xml:space="preserve">dated</w:t>
      </w:r>
      <w:r>
        <w:rPr>
          <w:rFonts w:ascii="Times New Roman" w:hAnsi="Times New Roman" w:cs="Times New Roman"/>
          <w:sz w:val="24"/>
          <w:szCs w:val="24"/>
        </w:rPr>
        <w:t xml:space="preserve"> in the records from which indicators are computed is thin. Where recovery times are drawn from administrative or secondary records such as regulatory filings, incident databases or trade press, the date carried in the record is a reporting milestone, not the event itself, and the gap between the two is seldom quantified. Performance-measurement scholarship in operations has long noted that measures inherit the properties of the systems that produce them (Neely, 2005; Melnyk et al., 2004), but this observation has not been carried into the resilience literature's treatment of recovery-time data. A systematic review of systems thinking in supply chains further emphasises interdependencies, feedback and the need to interpret resilience outcomes at the system level (Rana et al., 2026).</w:t>
      </w:r>
    </w:p>
    <w:p w14:paraId="6DEDC127"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2.2 Pharmaceutical shortage measurement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Drug shortages are among the best-documented recurring disruptions in any supply chain, and the United States maintains two public registers: the FDA Drug Shortage Database, limited to products the agency determines to be in national shortage, and the ASHP/University of Utah bulletins, which record shortages affecting hospital practice. Clinical and economic studies have drawn on these registers to characterise shortage incidence, causes and policy determinants (Fox et al., 2014; Yurukoglu et al., 2017), and a scoping review covering two decades of that literature documents its scale (Tucker et al., 2020). In the duration studies we reviewed, the measure rests on the registers' own posting and resolution dates. Because the FDA list retains resolved entries only briefly, historical duration requires archival reconstruction. The HHS/ASPE analysis of 2018 to 2023 shortages (ERG, 2025) reconstructed shortage histories from archived FDA web pages, estimating resolution dates at the molecule, strength and dosage-form level with right-censoring and Kaplan–Meier methods, and documented both duplicated listings and the later addition of NDCs to existing entries. A recent Korean study applied machine learning to predict shortage duration and causes from 1,054 cases (Roe et al., 2026). These studies establish that archival reconstruction is feasible and that its inputs are imperfect. We are not aware of work that has asked how much the choice among defensible reconstruction rules changes the resulting measures, or that has compared the two U.S. registers' dating of the same events; the present study is positioned as a first such comparison rather than as a claim of priority.</w:t>
      </w:r>
    </w:p>
    <w:p w14:paraId="121EDB6B"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2.3 Record linkage and event reconstruction in administrative data</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Epidemiology and health-services research have developed a mature methodology for linking administrative records and reconstructing episodes from them (Harron et al., 2015). Three of its findings transfer directly. First, linkage error is systematic, not random: false matches, missed matches and non-representative linked samples each bias downstream estimates in characteristic directions, and the linked sample should be compared with the unlinked population by stratum rather than assumed equivalent (Harron, Dibben et al., 2017). Second, linkage quality should be evaluated and reported alongside results, with sensitivity analyses that vary the matching rule, because the analyst's matching choices are part of the measurement (Harron, Doidge et al., 2017). Third, the unit of record (a claim, a prescription, a package code) is rarely the unit of inference (a patient, an episode, a drug); onset and exit observed through periodic snapshots are interval-censored rather than point events; and an absent record is evidence of absence only when the recording system is known to be complete. Operations and supply chain research has adopted large-scale data analytics (Choi et al., 2018) but has imported less of this apparatus, and in particular has rarely reported identity confidence, spell-linkage confidence or observation intervals alongside its estimates.</w:t>
      </w:r>
    </w:p>
    <w:p w14:paraId="20E5354A"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2.4 Positioning</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sits at the intersection of three gaps. Resilience measurement research has established that indicator choice changes conclusions (Behzadi et al., 2020; Ivanov, 2025), but takes event dates as given. Administrative record-linkage research has established that linkage and reconstruction choices introduce measurement uncertainty that must be reported (Harron, Dibben et al., 2017; Harron, Doidge et al., 2017), but we found no application of it to supply chain disruption records. FDA and ASHP document that their shortage definitions and reporting purposes differ (ASHP, 2014), but the consequences of linking their records and reading their timestamps as recovery events have not been quantified. The study takes the archival FDA reconstruction of the HHS/ASPE analysis (ERG, 2025) as its starting point, applies the record-linkage discipline to it and to ASHP, and asks an operations question: which conclusions about shortage persistence and priority are robust to the reconstruction choices a researcher or planner must make, and which are not. Its contribution is not the discovery that resilience metrics or administrative data are imperfect, which the literatures above document, but a quantified comparison of alternative administrative event reconstructions applied to a common pharmaceutical shortage cohort.</w:t>
      </w:r>
    </w:p>
    <w:p w14:paraId="1362281F"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3. Methodology</w:t>
      </w:r>
    </w:p>
    <w:p w14:paraId="37A9E2E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3.1 Data sources</w:t>
      </w:r>
    </w:p>
    <w:p w14:paraId="0B72E09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draws on three public sources that describe the same phenomenon, a pharmaceutical product being in shortage in the United States, from different administrative positions.</w:t>
      </w:r>
    </w:p>
    <w:p w14:paraId="511E891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FDA Drug Shortages archive. The FDA Drug Shortage Database lists products the agency has determined to be in shortage, identified at package level by National Drug Code (NDC), with an initial posting date, the stated shortage reason, therapeutic category and a status (Current, Resolved, To Be Discontinued). Resolved entries are removed from the public list about six months after resolution (U.S. Food and Drug Administration [FDA], 2024), so the live database cannot support duration measurement. Following the archival method of the HHS/ASPE analysis (ERG, 2025), we use 39 archived captures of the database retrieved from the Internet Archive on 38 distinct dates from 29 December 2019 to 21 December 2023 (two captures on 30 October 2020 are treated as one observation). Capture spacing is uneven: one capture falls in December 2019, 16 in 2020, 10 in 2021, 2 in 2022 and 9 in 2023; the longest gaps are 308 days (30 November 2021 to 4 October 2022) and 184 days (14 May to 14 November 2023). From these captures a product-level episode file of 2,042 nine-digit NDCs with initial postings from 2018 through 2023 was reconstructed; each NDC carries its recorded initial posting, the first and last capture in which it appears, the number of captures in which it appears, and, where a capture marks it Resolved, the FDA-stated date of that update. This file was originally built as an external benchmark for a separate simulation study and is reused here with that provenance disclosed (Appendix B).</w:t>
      </w:r>
    </w:p>
    <w:p w14:paraId="1B7E5D2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ASHP resolved-shortage bulletins.</w:t>
      </w:r>
      <w:r>
        <w:rPr>
          <w:rFonts w:ascii="Times New Roman" w:hAnsi="Times New Roman" w:cs="Times New Roman"/>
          <w:sz w:val="24"/>
          <w:szCs w:val="24"/>
        </w:rPr>
        <w:t xml:space="preserve"> The American Society of Health-System Pharmacists, with the University of Utah Drug Information Service, maintains drug-level shortage bulletins. Its resolved list was extracted on 12 September 2026, yielding 958 bulletins created between 2015 and 2026, each with the date the bulletin was created and the date it was last revised. ASHP documents that the earliest date in a bulletin's history is the date the shortage was first posted, </w:t>
        <w:lastRenderedPageBreak/>
        <w:t>that a resolved bulletin is moved to the resolved list on a separate date, and that a recurring shortage receives a new bulletin (ASHP, n.d.). ASHP's shortage definition is hospital-impact based and broader than FDA's national-supply determination (ASHP, 2014).</w:t>
      </w:r>
    </w:p>
    <w:p w14:paraId="59C939B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FDA Orange Book and NDC Directory.</w:t>
      </w:r>
      <w:r>
        <w:rPr>
          <w:rFonts w:ascii="Times New Roman" w:hAnsi="Times New Roman" w:cs="Times New Roman"/>
          <w:sz w:val="24"/>
          <w:szCs w:val="24"/>
        </w:rPr>
        <w:t xml:space="preserve"> The current Orange Book product file (September 2026 edition), the current NDC Directory and the NDC excluded-products file supply product identity (application number, applicant, dosage form, route, strength, marketing dates) used in record linkage and in the market-structure illustration of Appendix C. These are current files; where they are used to describe historical market participation the limitation is stated.</w:t>
      </w:r>
    </w:p>
    <w:p w14:paraId="17B76444" w14:textId="77777777" w:rsidR="00801729" w:rsidRPr="00AB1AEB" w:rsidRDefault="00801729">
      <w:pPr>
        <w:spacing w:line="360" w:lineRule="auto"/>
        <w:jc w:val="both"/>
        <w:rPr>
          <w:rFonts w:ascii="Times New Roman" w:hAnsi="Times New Roman" w:cs="Times New Roman"/>
          <w:b/>
          <w:sz w:val="24"/>
          <w:szCs w:val="24"/>
        </w:rPr>
      </w:pPr>
    </w:p>
    <w:p w14:paraId="718E4F2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1. Source characteristics</w:t>
      </w:r>
    </w:p>
    <w:tbl>
      <w:tblPr>
        <w:tblStyle w:val="TableGrid"/>
        <w:tblW w:w="0" w:type="auto"/>
        <w:jc w:val="center"/>
        <w:tblLayout w:type="fixed"/>
        <w:tblLook w:val="0420" w:firstRow="1" w:lastRow="0" w:firstColumn="0" w:lastColumn="0" w:noHBand="0" w:noVBand="1"/>
      </w:tblPr>
      <w:tblGrid>
        <w:gridCol w:w="1384"/>
        <w:gridCol w:w="2746"/>
        <w:gridCol w:w="2498"/>
        <w:gridCol w:w="2732"/>
      </w:tblGrid>
      <w:tr w:rsidR="00801729" w:rsidRPr="00AB1AEB" w14:paraId="10C0B5F7" w14:textId="77777777">
        <w:trPr>
          <w:trHeight w:val="719"/>
          <w:tblHeader/>
          <w:jc w:val="center"/>
        </w:trPr>
        <w:tc>
          <w:tcPr>
            <w:tcW w:w="1384" w:type="dxa"/>
            <w:shd w:val="clear" w:color="auto" w:fill="F2F2F2"/>
          </w:tcPr>
          <w:p w14:paraId="7B8086AD" w14:textId="77777777" w:rsidR="00801729" w:rsidRPr="00AB1AEB" w:rsidRDefault="00801729" w:rsidP="00AB1AEB">
            <w:pPr>
              <w:spacing w:line="240" w:lineRule="auto"/>
              <w:rPr>
                <w:rFonts w:ascii="Times New Roman" w:hAnsi="Times New Roman" w:cs="Times New Roman"/>
                <w:sz w:val="18"/>
                <w:szCs w:val="18"/>
              </w:rPr>
            </w:pPr>
          </w:p>
        </w:tc>
        <w:tc>
          <w:tcPr>
            <w:tcW w:w="2746" w:type="dxa"/>
            <w:shd w:val="clear" w:color="auto" w:fill="F2F2F2"/>
          </w:tcPr>
          <w:p w14:paraId="0CBB9B8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FDA Drug Shortage Database (live)</w:t>
            </w:r>
          </w:p>
        </w:tc>
        <w:tc>
          <w:tcPr>
            <w:tcW w:w="2498" w:type="dxa"/>
            <w:shd w:val="clear" w:color="auto" w:fill="F2F2F2"/>
          </w:tcPr>
          <w:p w14:paraId="144952B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FDA archive (this study)</w:t>
            </w:r>
          </w:p>
        </w:tc>
        <w:tc>
          <w:tcPr>
            <w:tcW w:w="2732" w:type="dxa"/>
            <w:shd w:val="clear" w:color="auto" w:fill="F2F2F2"/>
          </w:tcPr>
          <w:p w14:paraId="5BF63E4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resolved bulletins</w:t>
            </w:r>
          </w:p>
        </w:tc>
      </w:tr>
      <w:tr w:rsidR="00801729" w:rsidRPr="00AB1AEB" w14:paraId="129C4F63" w14:textId="77777777">
        <w:trPr>
          <w:trHeight w:val="809"/>
          <w:jc w:val="center"/>
        </w:trPr>
        <w:tc>
          <w:tcPr>
            <w:tcW w:w="1384" w:type="dxa"/>
          </w:tcPr>
          <w:p w14:paraId="4C117BB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Shortage definition</w:t>
            </w:r>
          </w:p>
        </w:tc>
        <w:tc>
          <w:tcPr>
            <w:tcW w:w="2746" w:type="dxa"/>
          </w:tcPr>
          <w:p w14:paraId="55C474D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National supply insufficient to meet demand, as determined by FDA</w:t>
            </w:r>
          </w:p>
        </w:tc>
        <w:tc>
          <w:tcPr>
            <w:tcW w:w="2498" w:type="dxa"/>
          </w:tcPr>
          <w:p w14:paraId="6CC3805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w:t>
            </w:r>
          </w:p>
        </w:tc>
        <w:tc>
          <w:tcPr>
            <w:tcW w:w="2732" w:type="dxa"/>
          </w:tcPr>
          <w:p w14:paraId="231FB62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Shortage affecting hospital or health-system practice, as assessed by ASHP/UUDIS</w:t>
            </w:r>
          </w:p>
        </w:tc>
      </w:tr>
      <w:tr w:rsidR="00801729" w:rsidRPr="00AB1AEB" w14:paraId="2ECD62CF" w14:textId="77777777">
        <w:trPr>
          <w:jc w:val="center"/>
        </w:trPr>
        <w:tc>
          <w:tcPr>
            <w:tcW w:w="1384" w:type="dxa"/>
          </w:tcPr>
          <w:p w14:paraId="119E528C"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Unit of record</w:t>
            </w:r>
          </w:p>
        </w:tc>
        <w:tc>
          <w:tcPr>
            <w:tcW w:w="2746" w:type="dxa"/>
          </w:tcPr>
          <w:p w14:paraId="01D1869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Package-level NDC under a drug heading</w:t>
            </w:r>
          </w:p>
        </w:tc>
        <w:tc>
          <w:tcPr>
            <w:tcW w:w="2498" w:type="dxa"/>
          </w:tcPr>
          <w:p w14:paraId="5E24745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NDC episode, aggregated to drug heading</w:t>
            </w:r>
          </w:p>
        </w:tc>
        <w:tc>
          <w:tcPr>
            <w:tcW w:w="2732" w:type="dxa"/>
          </w:tcPr>
          <w:p w14:paraId="37901DA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Drug-level bulletin</w:t>
            </w:r>
          </w:p>
        </w:tc>
      </w:tr>
      <w:tr w:rsidR="00801729" w:rsidRPr="00AB1AEB" w14:paraId="77CACC5F" w14:textId="77777777">
        <w:trPr>
          <w:jc w:val="center"/>
        </w:trPr>
        <w:tc>
          <w:tcPr>
            <w:tcW w:w="1384" w:type="dxa"/>
          </w:tcPr>
          <w:p w14:paraId="185477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Onset date</w:t>
            </w:r>
          </w:p>
        </w:tc>
        <w:tc>
          <w:tcPr>
            <w:tcW w:w="2746" w:type="dxa"/>
          </w:tcPr>
          <w:p w14:paraId="7B72294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Initial posting date of the drug heading, inherited by every NDC listed under it</w:t>
            </w:r>
          </w:p>
        </w:tc>
        <w:tc>
          <w:tcPr>
            <w:tcW w:w="2498" w:type="dxa"/>
          </w:tcPr>
          <w:p w14:paraId="65A6743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 archive first sighting used to bracket observed entry</w:t>
            </w:r>
          </w:p>
        </w:tc>
        <w:tc>
          <w:tcPr>
            <w:tcW w:w="2732" w:type="dxa"/>
          </w:tcPr>
          <w:p w14:paraId="3DC6342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 creation date (earliest date in bulletin history)</w:t>
            </w:r>
          </w:p>
        </w:tc>
      </w:tr>
      <w:tr w:rsidR="00801729" w:rsidRPr="00AB1AEB" w14:paraId="36B64FD4" w14:textId="77777777">
        <w:trPr>
          <w:jc w:val="center"/>
        </w:trPr>
        <w:tc>
          <w:tcPr>
            <w:tcW w:w="1384" w:type="dxa"/>
          </w:tcPr>
          <w:p w14:paraId="3A0F586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Exit date</w:t>
            </w:r>
          </w:p>
        </w:tc>
        <w:tc>
          <w:tcPr>
            <w:tcW w:w="2746" w:type="dxa"/>
          </w:tcPr>
          <w:p w14:paraId="79BFB6B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Date of Update marked Resolved, per NDC</w:t>
            </w:r>
          </w:p>
        </w:tc>
        <w:tc>
          <w:tcPr>
            <w:tcW w:w="2498" w:type="dxa"/>
          </w:tcPr>
          <w:p w14:paraId="4AD287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 observed in the first capture that shows the mark; drug-level status by shared rule</w:t>
            </w:r>
          </w:p>
        </w:tc>
        <w:tc>
          <w:tcPr>
            <w:tcW w:w="2732" w:type="dxa"/>
          </w:tcPr>
          <w:p w14:paraId="09B3184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Last revision date; transfer to the resolved list dated separately</w:t>
            </w:r>
          </w:p>
        </w:tc>
      </w:tr>
      <w:tr w:rsidR="00801729" w:rsidRPr="00AB1AEB" w14:paraId="455401ED" w14:textId="77777777">
        <w:trPr>
          <w:jc w:val="center"/>
        </w:trPr>
        <w:tc>
          <w:tcPr>
            <w:tcW w:w="1384" w:type="dxa"/>
          </w:tcPr>
          <w:p w14:paraId="0B21462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Retention</w:t>
            </w:r>
          </w:p>
        </w:tc>
        <w:tc>
          <w:tcPr>
            <w:tcW w:w="2746" w:type="dxa"/>
          </w:tcPr>
          <w:p w14:paraId="168DA46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 listings removed after about six months</w:t>
            </w:r>
          </w:p>
        </w:tc>
        <w:tc>
          <w:tcPr>
            <w:tcW w:w="2498" w:type="dxa"/>
          </w:tcPr>
          <w:p w14:paraId="52E8F9E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38 Internet Archive captures, Dec 2019 to Dec 2023, spacing 4 to 308 days</w:t>
            </w:r>
          </w:p>
        </w:tc>
        <w:tc>
          <w:tcPr>
            <w:tcW w:w="2732" w:type="dxa"/>
          </w:tcPr>
          <w:p w14:paraId="4EC70D3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 bulletins retained indefinitely</w:t>
            </w:r>
          </w:p>
        </w:tc>
      </w:tr>
      <w:tr w:rsidR="00801729" w:rsidRPr="00AB1AEB" w14:paraId="37B5BA72" w14:textId="77777777">
        <w:trPr>
          <w:jc w:val="center"/>
        </w:trPr>
        <w:tc>
          <w:tcPr>
            <w:tcW w:w="1384" w:type="dxa"/>
          </w:tcPr>
          <w:p w14:paraId="42DACB5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Recurrence handling</w:t>
            </w:r>
          </w:p>
        </w:tc>
        <w:tc>
          <w:tcPr>
            <w:tcW w:w="2746" w:type="dxa"/>
          </w:tcPr>
          <w:p w14:paraId="5EB7DE8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Re-listing may reuse the existing heading and its posting date</w:t>
            </w:r>
          </w:p>
        </w:tc>
        <w:tc>
          <w:tcPr>
            <w:tcW w:w="2498" w:type="dxa"/>
          </w:tcPr>
          <w:p w14:paraId="4EE1195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Inferred from absence between captures</w:t>
            </w:r>
          </w:p>
        </w:tc>
        <w:tc>
          <w:tcPr>
            <w:tcW w:w="2732" w:type="dxa"/>
          </w:tcPr>
          <w:p w14:paraId="2C96FEB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New bulletin for a recurring shortage</w:t>
            </w:r>
          </w:p>
        </w:tc>
      </w:tr>
      <w:tr w:rsidR="00801729" w:rsidRPr="00AB1AEB" w14:paraId="0B4207FB" w14:textId="77777777">
        <w:trPr>
          <w:jc w:val="center"/>
        </w:trPr>
        <w:tc>
          <w:tcPr>
            <w:tcW w:w="1384" w:type="dxa"/>
          </w:tcPr>
          <w:p w14:paraId="51BE81B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Coverage used</w:t>
            </w:r>
          </w:p>
        </w:tc>
        <w:tc>
          <w:tcPr>
            <w:tcW w:w="2746" w:type="dxa"/>
          </w:tcPr>
          <w:p w14:paraId="1482AB8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2,042 NDC episodes, 298 headings, postings 2018 to 2023</w:t>
            </w:r>
          </w:p>
        </w:tc>
        <w:tc>
          <w:tcPr>
            <w:tcW w:w="2498" w:type="dxa"/>
          </w:tcPr>
          <w:p w14:paraId="73FA814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Same</w:t>
            </w:r>
          </w:p>
        </w:tc>
        <w:tc>
          <w:tcPr>
            <w:tcW w:w="2732" w:type="dxa"/>
          </w:tcPr>
          <w:p w14:paraId="6C3D6B1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 xml:space="preserve">958 bulletins created 2015 to 2026; 479 active in the archive window</w:t>
            </w:r>
          </w:p>
        </w:tc>
      </w:tr>
      <w:tr w:rsidR="00801729" w:rsidRPr="00AB1AEB" w14:paraId="0A34ABA4" w14:textId="77777777">
        <w:trPr>
          <w:jc w:val="center"/>
        </w:trPr>
        <w:tc>
          <w:tcPr>
            <w:tcW w:w="1384" w:type="dxa"/>
          </w:tcPr>
          <w:p w14:paraId="7F38EBB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Main limitation for duration</w:t>
            </w:r>
          </w:p>
        </w:tc>
        <w:tc>
          <w:tcPr>
            <w:tcW w:w="2746" w:type="dxa"/>
          </w:tcPr>
          <w:p w14:paraId="45B6D86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Deletes its own history</w:t>
            </w:r>
          </w:p>
        </w:tc>
        <w:tc>
          <w:tcPr>
            <w:tcW w:w="2498" w:type="dxa"/>
          </w:tcPr>
          <w:p w14:paraId="12984E2C"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Uneven capture spacing; entry unobserved for pre-archive postings</w:t>
            </w:r>
          </w:p>
        </w:tc>
        <w:tc>
          <w:tcPr>
            <w:tcW w:w="2732" w:type="dxa"/>
          </w:tcPr>
          <w:p w14:paraId="77FB994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Last revision is a maintenance timestamp, not a recovery date</w:t>
            </w:r>
          </w:p>
        </w:tc>
      </w:tr>
    </w:tbl>
    <w:p w14:paraId="21A95A8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3.2 Unit of analysis</w:t>
      </w:r>
    </w:p>
    <w:p w14:paraId="79024CAC" w14:textId="34315200"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unit of analysis is the drug-level shortage spell: a continuous period during which a drug, identified by its FDA generic heading, is listed in shortage. NDC rows are the raw material from </w:t>
        <w:lastRenderedPageBreak/>
        <w:t xml:space="preserve">which spells are reconstructed, never the unit of inference. The 2,042 NDC episodes belong to 298 drug headings (median 4 NDCs per drug, maximum 96), and in 181 of the 235 multi-NDC drugs every NDC carries an identical initial posting date. The posting is a property of the drug entry, inherited by every NDC listed under it, including NDCs added later. Treating NDC rows as independent observations therefore replicates one drug-level event many times (Section 4.4). Three levels are kept distinct throughout: the FDA administrative heading, which is the identifier the register uses and the unit of the primary analysis; the harmonized pharmaceutical identity, a reviewed grouping of headings that name the same ingredient and relevant formulation; and the shortage spell, a temporally distinct episode. Two headings for one medicine may be duplicate administrative records of one spell, separate spells, or different presentations, and are not merged on name alone (Section 4.6).</w:t>
      </w:r>
    </w:p>
    <w:p w14:paraId="684450B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3.3 Record linkage</w:t>
      </w:r>
    </w:p>
    <w:p w14:paraId="1FD8EAB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Linkage proceeds at two levels, each producing a recorded confidence.</w:t>
      </w:r>
    </w:p>
    <w:p w14:paraId="5FB1932C" w14:textId="284612A4"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i/>
          <w:sz w:val="24"/>
          <w:szCs w:val="24"/>
        </w:rPr>
        <w:t>Level 1: pharmaceutical identity.</w:t>
      </w:r>
      <w:r>
        <w:rPr>
          <w:rFonts w:ascii="Times New Roman" w:hAnsi="Times New Roman" w:cs="Times New Roman"/>
          <w:sz w:val="24"/>
          <w:szCs w:val="24"/>
        </w:rPr>
        <w:t xml:space="preserve"> Every product name (FDA generic heading, ASHP bulletin title, Orange Book ingredient and dosage-form/route label, NDC Directory nonproprietary name) is parsed into an ingredient base, salt or ester, administration family, formulation, release characteristic, strength tokens, presentation markers and a combination-product flag. Two records are HIGH identity when ingredient, family, formulation and release agree and no presentation conflicts; MEDIUM when ingredient and family agree but formulation is unknown on one side; LOW when only the ingredient agrees or a presentation conflicts. Salt forms are recorded but never merged. Orange Book dosage-form/route labels (304 distinct strings) were harmonized to 179 equivalence groups through a two-level taxonomy (administration family; market-relevant formulation) in which 202 mappings were accepted as wording standardisation, 11 accepted conditionally, 11 revised to keep oral-liquid subtypes distinct and 80 held for review; every decision is recorded. Legacy </w:t>
      </w:r>
      <w:r>
        <w:rPr>
          <w:rStyle w:val="CodeChar"/>
          <w:rFonts w:ascii="Times New Roman" w:hAnsi="Times New Roman" w:cs="Times New Roman"/>
          <w:sz w:val="24"/>
          <w:szCs w:val="24"/>
        </w:rPr>
        <w:t>INJECTABLE; INJECTION</w:t>
      </w:r>
      <w:r>
        <w:rPr>
          <w:rFonts w:ascii="Times New Roman" w:hAnsi="Times New Roman" w:cs="Times New Roman"/>
          <w:sz w:val="24"/>
          <w:szCs w:val="24"/>
        </w:rPr>
        <w:t xml:space="preserve"> labels, which do not distinguish ready-to-use solutions from powders for reconstitution, were resolved per product row in a three-tier hierarchy: explicit dosage-form evidence from the NDC Directory (CONFIRMED), strength-pattern inference with verified exceptions for liquids expressed per container (PROVISIONAL), or UNRESOLVED. The strength rule was validated at 100% </w:t>
        <w:lastRenderedPageBreak/>
        <w:t>agreement for powders and 97.7% for solutions where both evidence types exist (Supplementary Table S1).</w:t>
      </w:r>
    </w:p>
    <w:p w14:paraId="3A67E244"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i/>
          <w:sz w:val="24"/>
          <w:szCs w:val="24"/>
        </w:rPr>
        <w:t>Level 2: spell identity.</w:t>
      </w:r>
      <w:r>
        <w:rPr>
          <w:rFonts w:ascii="Times New Roman" w:hAnsi="Times New Roman" w:cs="Times New Roman"/>
          <w:sz w:val="24"/>
          <w:szCs w:val="24"/>
        </w:rPr>
        <w:t xml:space="preserve"> An ASHP bulletin and an FDA drug record are treated as describing the same shortage spell only when, in addition to Level-1 identity, the FDA entry falls within the ASHP spell (FDA posting within 90 days of ASHP creation, or FDA first sighting inside the bulletin's open period) and the FDA record shows no internal absence indicating recurrence. Pairs meeting both conditions with HIGH identity and an observed FDA entry are CONFIRMED; pairs with compatible timelines but left-censored FDA entry or MEDIUM identity are PROBABLE; pairs with several candidate presentations, FDA recurrence inside the bulletin, or an FDA resolution preceding ASHP creation are AMBIGUOUS. An FDA resolution is never attached to an ASHP bulletin merely because it is the first resolution after the bulletin's creation.</w:t>
      </w:r>
    </w:p>
    <w:p w14:paraId="3E601808"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3.4 Reconstruction rules</w:t>
      </w:r>
    </w:p>
    <w:p w14:paraId="0786AFC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Four rules reconstruct shortage spells from the same archive, each defensible on its face and each in use somewhere in the literature (Table 2).</w:t>
      </w:r>
    </w:p>
    <w:p>
      <w:pPr>
        <w:spacing w:line="360" w:lineRule="auto"/>
        <w:jc w:val="both"/>
      </w:pPr>
      <w:r>
        <w:rPr>
          <w:rFonts w:ascii="Times New Roman" w:hAnsi="Times New Roman" w:cs="Times New Roman"/>
          <w:b/>
          <w:sz w:val="24"/>
          <w:szCs w:val="24"/>
        </w:rPr>
        <w:t>Table 2. Reconstruction rules compared</w:t>
      </w:r>
    </w:p>
    <w:tbl>
      <w:tblPr>
        <w:tblStyle w:val="TableGrid"/>
        <w:tblW w:w="10548" w:type="dxa"/>
        <w:tblLayout w:type="fixed"/>
        <w:tblLook w:val="0420" w:firstRow="1" w:lastRow="0" w:firstColumn="0" w:lastColumn="0" w:noHBand="0" w:noVBand="1"/>
      </w:tblPr>
      <w:tblGrid>
        <w:gridCol w:w="1811"/>
        <w:gridCol w:w="720"/>
        <w:gridCol w:w="4095"/>
        <w:gridCol w:w="3922"/>
      </w:tblGrid>
      <w:tr w:rsidR="00801729" w:rsidRPr="00AB1AEB" w14:paraId="56953006" w14:textId="77777777">
        <w:trPr>
          <w:tblHeader/>
        </w:trPr>
        <w:tc>
          <w:tcPr>
            <w:tcW w:w="1811" w:type="dxa"/>
            <w:shd w:val="clear" w:color="auto" w:fill="F2F2F2"/>
          </w:tcPr>
          <w:p w14:paraId="5511C945"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Rule</w:t>
            </w:r>
          </w:p>
        </w:tc>
        <w:tc>
          <w:tcPr>
            <w:tcW w:w="720" w:type="dxa"/>
            <w:shd w:val="clear" w:color="auto" w:fill="F2F2F2"/>
          </w:tcPr>
          <w:p w14:paraId="26633874"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Unit</w:t>
            </w:r>
          </w:p>
        </w:tc>
        <w:tc>
          <w:tcPr>
            <w:tcW w:w="4095" w:type="dxa"/>
            <w:shd w:val="clear" w:color="auto" w:fill="F2F2F2"/>
          </w:tcPr>
          <w:p w14:paraId="4779928E"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Onset</w:t>
            </w:r>
          </w:p>
        </w:tc>
        <w:tc>
          <w:tcPr>
            <w:tcW w:w="3922" w:type="dxa"/>
            <w:shd w:val="clear" w:color="auto" w:fill="F2F2F2"/>
          </w:tcPr>
          <w:p w14:paraId="1DF83851"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Exit</w:t>
            </w:r>
          </w:p>
        </w:tc>
      </w:tr>
      <w:tr w:rsidR="00801729" w:rsidRPr="00AB1AEB" w14:paraId="59ECD053" w14:textId="77777777">
        <w:tc>
          <w:tcPr>
            <w:tcW w:w="1811" w:type="dxa"/>
          </w:tcPr>
          <w:p w14:paraId="346043A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R0 naive</w:t>
            </w:r>
          </w:p>
        </w:tc>
        <w:tc>
          <w:tcPr>
            <w:tcW w:w="720" w:type="dxa"/>
          </w:tcPr>
          <w:p w14:paraId="6C101F9A"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NDC</w:t>
            </w:r>
          </w:p>
        </w:tc>
        <w:tc>
          <w:tcPr>
            <w:tcW w:w="4095" w:type="dxa"/>
          </w:tcPr>
          <w:p w14:paraId="4199512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recorded FDA initial posting</w:t>
            </w:r>
          </w:p>
        </w:tc>
        <w:tc>
          <w:tcPr>
            <w:tcW w:w="3922" w:type="dxa"/>
          </w:tcPr>
          <w:p w14:paraId="31CB28E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first archived Resolved mark; else censored at last sighting</w:t>
            </w:r>
          </w:p>
        </w:tc>
      </w:tr>
      <w:tr w:rsidR="00801729" w:rsidRPr="00AB1AEB" w14:paraId="3C97C3D4" w14:textId="77777777">
        <w:tc>
          <w:tcPr>
            <w:tcW w:w="1811" w:type="dxa"/>
          </w:tcPr>
          <w:p w14:paraId="6D00F902"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R1 posting-anchored</w:t>
            </w:r>
          </w:p>
        </w:tc>
        <w:tc>
          <w:tcPr>
            <w:tcW w:w="720" w:type="dxa"/>
          </w:tcPr>
          <w:p w14:paraId="595DC16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7CD17A0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earliest recorded posting across the drug's NDCs</w:t>
            </w:r>
          </w:p>
        </w:tc>
        <w:tc>
          <w:tcPr>
            <w:tcW w:w="3922" w:type="dxa"/>
          </w:tcPr>
          <w:p w14:paraId="0B43A18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shared rule (3.5)</w:t>
            </w:r>
          </w:p>
        </w:tc>
      </w:tr>
      <w:tr w:rsidR="00801729" w:rsidRPr="00AB1AEB" w14:paraId="50D64285" w14:textId="77777777">
        <w:tc>
          <w:tcPr>
            <w:tcW w:w="1811" w:type="dxa"/>
          </w:tcPr>
          <w:p w14:paraId="2540806C"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R2 archive-observed</w:t>
            </w:r>
          </w:p>
        </w:tc>
        <w:tc>
          <w:tcPr>
            <w:tcW w:w="720" w:type="dxa"/>
          </w:tcPr>
          <w:p w14:paraId="368B71F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1EA1176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the interval between the last capture in which the drug is absent and the first in which it appears; its latest bound is capped at the FDA resolution date for spells posted and resolved within a single capture gap</w:t>
            </w:r>
          </w:p>
        </w:tc>
        <w:tc>
          <w:tcPr>
            <w:tcW w:w="3922" w:type="dxa"/>
          </w:tcPr>
          <w:p w14:paraId="250BCD78"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shared rule (3.5)</w:t>
            </w:r>
          </w:p>
        </w:tc>
      </w:tr>
      <w:tr w:rsidR="00801729" w:rsidRPr="00AB1AEB" w14:paraId="1C4A87A5" w14:textId="77777777">
        <w:tc>
          <w:tcPr>
            <w:tcW w:w="1811" w:type="dxa"/>
          </w:tcPr>
          <w:p w14:paraId="46C2BE8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R3 hybrid</w:t>
            </w:r>
          </w:p>
        </w:tc>
        <w:tc>
          <w:tcPr>
            <w:tcW w:w="720" w:type="dxa"/>
          </w:tcPr>
          <w:p w14:paraId="3815506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24BAAB88"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ASHP bulletin creation date</w:t>
            </w:r>
          </w:p>
        </w:tc>
        <w:tc>
          <w:tcPr>
            <w:tcW w:w="3922" w:type="dxa"/>
          </w:tcPr>
          <w:p w14:paraId="28533CA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Resolved decision date, with CONFIRMED same-spell linkage</w:t>
            </w:r>
          </w:p>
        </w:tc>
      </w:tr>
    </w:tbl>
    <w:p w14:paraId="72428886" w14:textId="77777777" w:rsidR="00801729" w:rsidRPr="00AB1AEB" w:rsidRDefault="00801729">
      <w:pPr>
        <w:spacing w:line="360" w:lineRule="auto"/>
        <w:jc w:val="both"/>
        <w:rPr>
          <w:rFonts w:ascii="Times New Roman" w:hAnsi="Times New Roman" w:cs="Times New Roman"/>
          <w:sz w:val="24"/>
          <w:szCs w:val="24"/>
        </w:rPr>
      </w:pPr>
    </w:p>
    <w:p w14:paraId="7D7C76B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R2 is eligible only for drugs whose recorded posting falls after the first capture and whose first sighting is not the first capture, so that the entry is bracketed by two observations. Drugs present at the first capture are left-censored and excluded from onset-anchored comparisons. R2 yields an onset interval, not a point; durations are therefore computed at both its earliest bound (the </w:t>
        <w:lastRenderedPageBreak/>
        <w:t xml:space="preserve">capture preceding first sighting) and its latest bound (first sighting, or the resolution date if earlier), and reported as sensitivity scenarios rather than as formal interval-censored estimates. R3 is reported as linkage coverage only, because the CONFIRMED subset is small and selectively matched.</w:t>
      </w:r>
    </w:p>
    <w:p w14:paraId="2AE4067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3.5 Shared exit rule and status classification</w:t>
      </w:r>
    </w:p>
    <w:p w14:paraId="08D8693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isolate the effect of onset reconstruction, R1 and R2 use one exit rule. A drug is RESOLVED when every NDC observed for it carries an FDA Resolved mark, with exit at the latest such date; AMBIGUOUS when some NDCs are marked Resolved and others are not; ONGOING when no NDC is resolved and the drug is present at the final capture; DISAPPEARED when no NDC is resolved and the drug's last sighting precedes the final capture. Disappearance is treated as censoring at the last verified observation, never as resolution, because FDA removes resolved listings after a retention period and a missed capture can produce the same pattern. AMBIGUOUS drugs are retained as a fourth status, reported alongside the analytical cohort and excluded only from survival summaries. The FDA resolution decision date (the agency's Date of Update marked Resolved) is recorded separately from the capture in which that mark was first observed, which bounds the observation lag.</w:t>
      </w:r>
    </w:p>
    <w:p w14:paraId="7149D525"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3.6 Comparison design</w:t>
      </w:r>
    </w:p>
    <w:p w14:paraId="3882EF0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comparison is R1 against R2 on the common set of drugs eligible under R2 with a decidable exit, so that the only quantity varying is the onset definition. For each scenario we report spells, events, Kaplan–Meier survival at 110, 180 and 365 days, the KM median where reached, and the share of spells whose observed duration exceeds one year; for ongoing drugs these are elapsed observation times, not completed recovery durations. The three scenarios use the same 173 subjects, the same 51 events and the same censoring rule; because onset shifts, the time-dependent risk sets differ, and the survival estimates are not independent across scenarios. The paired difference between R1 and R2 durations is the central exhibit (Figure 2), summarised by median, interquartile range and the count of drugs whose recorded posting exceeds the archive-supported onset by more than 365 days. Two secondary comparisons demonstrate, respectively, pseudoreplication under R0 (NDC rows and nominal events against drug-level spells and events for the same drugs) and the linkage coverage attainable under R3.</w:t>
      </w:r>
    </w:p>
    <w:p w14:paraId="1219438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operational consequence is assessed through ranking stability. Persistence rankings are analytical devices for testing sensitivity, not validated intervention priorities; a planner's list would weigh clinical criticality and substitutability as well. The 20 longest-lasting shortages are identified under R1, R2-earliest and R2-latest; the candidate universe is the common cohort, and each drug in the union of the three lists is classified DEFINITE (present in all three), or POSSIBLE (present in some). AMBIGUOUS-exit drugs lie outside the universe and are reported as UNRANKABLE. Rank agreement between scenarios is summarised by Spearman's ρ. Absolute changes in a drug's own duration are distinguished from relative changes in rank caused by movement of other drugs.</w:t>
      </w:r>
    </w:p>
    <w:p w14:paraId="6E4147CB"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3.7 Reproducibility</w:t>
      </w:r>
    </w:p>
    <w:p w14:paraId="596C333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All parsing, linkage and reconstruction steps are deterministic scripts with recorded input hashes and auditable decisions. For blind review, the code, derived files and audit trails are available through an anonymized supplementary package. The original archived FDA captures are not redistributed; their capture dates and provenance hashes are provided in Supplementary Table S2. The current FDA Orange Book and NDC Directory files can be retrieved from official FDA sources. AI-assisted tools supported rule development and code preparation; the author verified the analytical outputs.</w:t>
      </w:r>
    </w:p>
    <w:p w14:paraId="26F5207E" w14:textId="77777777" w:rsidR="00801729" w:rsidRPr="00AB1AE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Results</w:t>
      </w:r>
    </w:p>
    <w:p w14:paraId="24EC4A02"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4.1 Cohort</w:t>
      </w:r>
    </w:p>
    <w:p w14:paraId="17DFE61A" w14:textId="77777777" w:rsidR="00801729" w:rsidRPr="00AB1AEB" w:rsidRDefault="000000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D7EC7B" wp14:editId="6308616F">
            <wp:extent cx="5943600" cy="3341370"/>
            <wp:effectExtent l="0" t="0" r="0" b="0"/>
            <wp:docPr id="3028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32719" name="Picture 3028327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38B2FD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Figure 1. Sources, record linkage, cohort selection and reconstruction workflow.</w:t>
      </w:r>
    </w:p>
    <w:p w14:paraId="0DB70E0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archive yields 298 drug headings. Of these, 114 were posted before the first capture and are left-censored at entry; 184 have an entry bracketed by two captures and form the entry-identifiable cohort (Table 3). Under the shared exit rule, 51 are resolved, 113 ongoing at the final capture, 9 disappeared without a Resolved mark, and 11 are ambiguous because some but not all of their NDCs carry a Resolved mark. The 173 drugs with a decidable exit form the analytical cohort for onset comparisons.</w:t>
      </w:r>
    </w:p>
    <w:p w14:paraId="42A1912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3. Entry-identifiable cohort and analytical subset</w:t>
      </w:r>
    </w:p>
    <w:tbl>
      <w:tblPr>
        <w:tblStyle w:val="TableGrid"/>
        <w:tblW w:w="0" w:type="auto"/>
        <w:tblLayout w:type="fixed"/>
        <w:tblLook w:val="0420" w:firstRow="1" w:lastRow="0" w:firstColumn="0" w:lastColumn="0" w:noHBand="0" w:noVBand="1"/>
      </w:tblPr>
      <w:tblGrid>
        <w:gridCol w:w="4920"/>
        <w:gridCol w:w="829"/>
        <w:gridCol w:w="3611"/>
      </w:tblGrid>
      <w:tr w:rsidR="00801729" w:rsidRPr="00AB1AEB" w14:paraId="134AE7AD" w14:textId="77777777">
        <w:trPr>
          <w:tblHeader/>
        </w:trPr>
        <w:tc>
          <w:tcPr>
            <w:tcW w:w="4920" w:type="dxa"/>
            <w:shd w:val="clear" w:color="auto" w:fill="F2F2F2"/>
          </w:tcPr>
          <w:p w14:paraId="4B4AA65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Status under the shared exit rule</w:t>
            </w:r>
          </w:p>
        </w:tc>
        <w:tc>
          <w:tcPr>
            <w:tcW w:w="829" w:type="dxa"/>
            <w:shd w:val="clear" w:color="auto" w:fill="F2F2F2"/>
          </w:tcPr>
          <w:p w14:paraId="09DC264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Drugs</w:t>
            </w:r>
          </w:p>
        </w:tc>
        <w:tc>
          <w:tcPr>
            <w:tcW w:w="3611" w:type="dxa"/>
            <w:shd w:val="clear" w:color="auto" w:fill="F2F2F2"/>
          </w:tcPr>
          <w:p w14:paraId="5DB5675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Treatment</w:t>
            </w:r>
          </w:p>
        </w:tc>
      </w:tr>
      <w:tr w:rsidR="00801729" w:rsidRPr="00AB1AEB" w14:paraId="6FA6A55D" w14:textId="77777777">
        <w:tc>
          <w:tcPr>
            <w:tcW w:w="4920" w:type="dxa"/>
          </w:tcPr>
          <w:p w14:paraId="3BA6949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Resolved (every observed NDC marked Resolved)</w:t>
            </w:r>
          </w:p>
        </w:tc>
        <w:tc>
          <w:tcPr>
            <w:tcW w:w="829" w:type="dxa"/>
          </w:tcPr>
          <w:p w14:paraId="00A030C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51</w:t>
            </w:r>
          </w:p>
        </w:tc>
        <w:tc>
          <w:tcPr>
            <w:tcW w:w="3611" w:type="dxa"/>
          </w:tcPr>
          <w:p w14:paraId="1C7C827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survival event</w:t>
            </w:r>
          </w:p>
        </w:tc>
      </w:tr>
      <w:tr w:rsidR="00801729" w:rsidRPr="00AB1AEB" w14:paraId="76CEDCDB" w14:textId="77777777">
        <w:tc>
          <w:tcPr>
            <w:tcW w:w="4920" w:type="dxa"/>
          </w:tcPr>
          <w:p w14:paraId="6722CFB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Ongoing at final capture</w:t>
            </w:r>
          </w:p>
        </w:tc>
        <w:tc>
          <w:tcPr>
            <w:tcW w:w="829" w:type="dxa"/>
          </w:tcPr>
          <w:p w14:paraId="3D87895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113</w:t>
            </w:r>
          </w:p>
        </w:tc>
        <w:tc>
          <w:tcPr>
            <w:tcW w:w="3611" w:type="dxa"/>
          </w:tcPr>
          <w:p w14:paraId="13AD34C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right-censored</w:t>
            </w:r>
          </w:p>
        </w:tc>
      </w:tr>
      <w:tr w:rsidR="00801729" w:rsidRPr="00AB1AEB" w14:paraId="03960242" w14:textId="77777777">
        <w:tc>
          <w:tcPr>
            <w:tcW w:w="4920" w:type="dxa"/>
          </w:tcPr>
          <w:p w14:paraId="78FBB59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Disappeared without a Resolved mark</w:t>
            </w:r>
          </w:p>
        </w:tc>
        <w:tc>
          <w:tcPr>
            <w:tcW w:w="829" w:type="dxa"/>
          </w:tcPr>
          <w:p w14:paraId="6B72619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9</w:t>
            </w:r>
          </w:p>
        </w:tc>
        <w:tc>
          <w:tcPr>
            <w:tcW w:w="3611" w:type="dxa"/>
          </w:tcPr>
          <w:p w14:paraId="1E176BF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censored at last verified observation</w:t>
            </w:r>
          </w:p>
        </w:tc>
      </w:tr>
      <w:tr w:rsidR="00801729" w:rsidRPr="00AB1AEB" w14:paraId="6C00650F" w14:textId="77777777">
        <w:tc>
          <w:tcPr>
            <w:tcW w:w="4920" w:type="dxa"/>
          </w:tcPr>
          <w:p w14:paraId="2CE1467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Ambiguous exit (some NDCs resolved, others not)</w:t>
            </w:r>
          </w:p>
        </w:tc>
        <w:tc>
          <w:tcPr>
            <w:tcW w:w="829" w:type="dxa"/>
          </w:tcPr>
          <w:p w14:paraId="595813D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w:t>
            </w:r>
          </w:p>
        </w:tc>
        <w:tc>
          <w:tcPr>
            <w:tcW w:w="3611" w:type="dxa"/>
          </w:tcPr>
          <w:p w14:paraId="22FD570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separate status; excluded from survival summaries</w:t>
            </w:r>
          </w:p>
        </w:tc>
      </w:tr>
      <w:tr w:rsidR="00801729" w:rsidRPr="00AB1AEB" w14:paraId="448E5C3A" w14:textId="77777777">
        <w:tc>
          <w:tcPr>
            <w:tcW w:w="4920" w:type="dxa"/>
          </w:tcPr>
          <w:p w14:paraId="6631CF2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Total entry-identifiable</w:t>
            </w:r>
          </w:p>
        </w:tc>
        <w:tc>
          <w:tcPr>
            <w:tcW w:w="829" w:type="dxa"/>
          </w:tcPr>
          <w:p w14:paraId="1FE5222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184</w:t>
            </w:r>
          </w:p>
        </w:tc>
        <w:tc>
          <w:tcPr>
            <w:tcW w:w="3611" w:type="dxa"/>
          </w:tcPr>
          <w:p w14:paraId="345BE5DF" w14:textId="77777777" w:rsidR="00801729" w:rsidRPr="00AB1AEB" w:rsidRDefault="00801729" w:rsidP="00AB1AEB">
            <w:pPr>
              <w:spacing w:line="240" w:lineRule="auto"/>
              <w:jc w:val="both"/>
              <w:rPr>
                <w:rFonts w:ascii="Times New Roman" w:hAnsi="Times New Roman" w:cs="Times New Roman"/>
                <w:sz w:val="18"/>
                <w:szCs w:val="18"/>
              </w:rPr>
            </w:pPr>
          </w:p>
        </w:tc>
      </w:tr>
    </w:tbl>
    <w:p w14:paraId="2474EA1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4.2 Discrepancy mechanisms</w:t>
      </w:r>
    </w:p>
    <w:p w14:paraId="3445906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Six mechanisms separate what the archive records from what it observed (Table 4). Three are confirmed properties of the data; one is strongly indicated but inferred; two are properties of the sources themselves.</w:t>
      </w:r>
    </w:p>
    <w:p w14:paraId="6BC2B38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4. Discrepancy mechanisms and prevalence</w:t>
      </w:r>
    </w:p>
    <w:tbl>
      <w:tblPr>
        <w:tblStyle w:val="TableGrid"/>
        <w:tblW w:w="0" w:type="auto"/>
        <w:tblLayout w:type="fixed"/>
        <w:tblLook w:val="0420" w:firstRow="1" w:lastRow="0" w:firstColumn="0" w:lastColumn="0" w:noHBand="0" w:noVBand="1"/>
      </w:tblPr>
      <w:tblGrid>
        <w:gridCol w:w="1438"/>
        <w:gridCol w:w="3227"/>
        <w:gridCol w:w="3272"/>
        <w:gridCol w:w="1422"/>
      </w:tblGrid>
      <w:tr w:rsidR="00801729" w:rsidRPr="00AB1AEB" w14:paraId="150E23E0" w14:textId="77777777">
        <w:trPr>
          <w:tblHeader/>
        </w:trPr>
        <w:tc>
          <w:tcPr>
            <w:tcW w:w="1438" w:type="dxa"/>
            <w:shd w:val="clear" w:color="auto" w:fill="F2F2F2"/>
          </w:tcPr>
          <w:p w14:paraId="276D837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Mechanism</w:t>
            </w:r>
          </w:p>
        </w:tc>
        <w:tc>
          <w:tcPr>
            <w:tcW w:w="3227" w:type="dxa"/>
            <w:shd w:val="clear" w:color="auto" w:fill="F2F2F2"/>
          </w:tcPr>
          <w:p w14:paraId="2F59C5E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Evidence</w:t>
            </w:r>
          </w:p>
        </w:tc>
        <w:tc>
          <w:tcPr>
            <w:tcW w:w="3272" w:type="dxa"/>
            <w:shd w:val="clear" w:color="auto" w:fill="F2F2F2"/>
          </w:tcPr>
          <w:p w14:paraId="2209D59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Prevalence</w:t>
            </w:r>
          </w:p>
        </w:tc>
        <w:tc>
          <w:tcPr>
            <w:tcW w:w="1422" w:type="dxa"/>
            <w:shd w:val="clear" w:color="auto" w:fill="F2F2F2"/>
          </w:tcPr>
          <w:p w14:paraId="6E53847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Status</w:t>
            </w:r>
          </w:p>
        </w:tc>
      </w:tr>
      <w:tr w:rsidR="00801729" w:rsidRPr="00AB1AEB" w14:paraId="6DA748B5" w14:textId="77777777">
        <w:tc>
          <w:tcPr>
            <w:tcW w:w="1438" w:type="dxa"/>
          </w:tcPr>
          <w:p w14:paraId="5A82FCE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Inherited posting date, including duplicate headings</w:t>
            </w:r>
          </w:p>
        </w:tc>
        <w:tc>
          <w:tcPr>
            <w:tcW w:w="3227" w:type="dxa"/>
          </w:tcPr>
          <w:p w14:paraId="6E2CEA0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NDCs under one drug entry share the entry's initial posting; 11 reviewed pairs of headings name the same product and consolidate 298 administrative units to 287</w:t>
            </w:r>
          </w:p>
        </w:tc>
        <w:tc>
          <w:tcPr>
            <w:tcW w:w="3272" w:type="dxa"/>
          </w:tcPr>
          <w:p w14:paraId="4C1C078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181 of 235 multi-NDC drugs (77%) have one posting date for every NDC; 22 headings (7.4%) are reviewed duplicates</w:t>
            </w:r>
          </w:p>
        </w:tc>
        <w:tc>
          <w:tcPr>
            <w:tcW w:w="1422" w:type="dxa"/>
          </w:tcPr>
          <w:p w14:paraId="6A58D9C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59E0FD22" w14:textId="77777777">
        <w:tc>
          <w:tcPr>
            <w:tcW w:w="1438" w:type="dxa"/>
          </w:tcPr>
          <w:p w14:paraId="459D486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Late-entering NDCs</w:t>
            </w:r>
          </w:p>
        </w:tc>
        <w:tc>
          <w:tcPr>
            <w:tcW w:w="3227" w:type="dxa"/>
          </w:tcPr>
          <w:p w14:paraId="3DEF92F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 first appears in a later capture than its drug</w:t>
            </w:r>
          </w:p>
        </w:tc>
        <w:tc>
          <w:tcPr>
            <w:tcW w:w="3272" w:type="dxa"/>
          </w:tcPr>
          <w:p w14:paraId="2AE64874"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370 of 2,042 NDCs (18%); median lag 385 days, maximum 1,416</w:t>
            </w:r>
          </w:p>
        </w:tc>
        <w:tc>
          <w:tcPr>
            <w:tcW w:w="1422" w:type="dxa"/>
          </w:tcPr>
          <w:p w14:paraId="5F76567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1A6E9FF5" w14:textId="77777777">
        <w:tc>
          <w:tcPr>
            <w:tcW w:w="1438" w:type="dxa"/>
          </w:tcPr>
          <w:p w14:paraId="275BE7A1"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Approval after recorded posting</w:t>
            </w:r>
          </w:p>
        </w:tc>
        <w:tc>
          <w:tcPr>
            <w:tcW w:w="3227" w:type="dxa"/>
          </w:tcPr>
          <w:p w14:paraId="0BD1E30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NDC's product approved, and first marketed, after the posting it inherited</w:t>
            </w:r>
          </w:p>
        </w:tc>
        <w:tc>
          <w:tcPr>
            <w:tcW w:w="3272" w:type="dxa"/>
          </w:tcPr>
          <w:p w14:paraId="0DFE7D3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140 NDC episodes in 38 drugs</w:t>
            </w:r>
          </w:p>
        </w:tc>
        <w:tc>
          <w:tcPr>
            <w:tcW w:w="1422" w:type="dxa"/>
          </w:tcPr>
          <w:p w14:paraId="7715CD3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701FE1E3" w14:textId="77777777">
        <w:tc>
          <w:tcPr>
            <w:tcW w:w="1438" w:type="dxa"/>
          </w:tcPr>
          <w:p w14:paraId="20FB3FE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Entry reuse</w:t>
            </w:r>
          </w:p>
        </w:tc>
        <w:tc>
          <w:tcPr>
            <w:tcW w:w="3227" w:type="dxa"/>
          </w:tcPr>
          <w:p w14:paraId="61CFB98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drug entry first observed more than a year after its recorded posting, no intervening capture shows it</w:t>
            </w:r>
          </w:p>
        </w:tc>
        <w:tc>
          <w:tcPr>
            <w:tcW w:w="3272" w:type="dxa"/>
          </w:tcPr>
          <w:p w14:paraId="790DD28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12 drugs posted after the archive begins (32 episodes); 103 of 1,251 post-archive episodes have a posting-to-observation gap over one year</w:t>
            </w:r>
          </w:p>
        </w:tc>
        <w:tc>
          <w:tcPr>
            <w:tcW w:w="1422" w:type="dxa"/>
          </w:tcPr>
          <w:p w14:paraId="225348E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inferred: consistent with re-listing under an original entry; missing captures could produce part of the pattern</w:t>
            </w:r>
          </w:p>
        </w:tc>
      </w:tr>
      <w:tr w:rsidR="00801729" w:rsidRPr="00AB1AEB" w14:paraId="54840EAF" w14:textId="77777777">
        <w:tc>
          <w:tcPr>
            <w:tcW w:w="1438" w:type="dxa"/>
          </w:tcPr>
          <w:p w14:paraId="1229AED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Irregular observation</w:t>
            </w:r>
          </w:p>
        </w:tc>
        <w:tc>
          <w:tcPr>
            <w:tcW w:w="3227" w:type="dxa"/>
          </w:tcPr>
          <w:p w14:paraId="64260F4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capture spacing</w:t>
            </w:r>
          </w:p>
        </w:tc>
        <w:tc>
          <w:tcPr>
            <w:tcW w:w="3272" w:type="dxa"/>
          </w:tcPr>
          <w:p w14:paraId="2324089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38 captures; gaps of 308 and 184 days; 2 captures in 2022</w:t>
            </w:r>
          </w:p>
        </w:tc>
        <w:tc>
          <w:tcPr>
            <w:tcW w:w="1422" w:type="dxa"/>
          </w:tcPr>
          <w:p w14:paraId="3869F90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property of the archive</w:t>
            </w:r>
          </w:p>
        </w:tc>
      </w:tr>
      <w:tr w:rsidR="00801729" w:rsidRPr="00AB1AEB" w14:paraId="5496F1D8" w14:textId="77777777">
        <w:tc>
          <w:tcPr>
            <w:tcW w:w="1438" w:type="dxa"/>
          </w:tcPr>
          <w:p w14:paraId="69343AC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Construct non-overlap</w:t>
            </w:r>
          </w:p>
        </w:tc>
        <w:tc>
          <w:tcPr>
            <w:tcW w:w="3227" w:type="dxa"/>
          </w:tcPr>
          <w:p w14:paraId="13C07B2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ASHP bulletins active in the archive window with no FDA counterpart</w:t>
            </w:r>
          </w:p>
        </w:tc>
        <w:tc>
          <w:tcPr>
            <w:tcW w:w="3272" w:type="dxa"/>
          </w:tcPr>
          <w:p w14:paraId="5A4249B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313 of 479 in-window ASHP bulletins have no FDA identity candidate</w:t>
            </w:r>
          </w:p>
        </w:tc>
        <w:tc>
          <w:tcPr>
            <w:tcW w:w="1422" w:type="dxa"/>
          </w:tcPr>
          <w:p w14:paraId="3C1389B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property of the sources</w:t>
            </w:r>
          </w:p>
        </w:tc>
      </w:tr>
    </w:tbl>
    <w:p w14:paraId="3DC8C66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4.3 Paired onset differences</w:t>
      </w:r>
    </w:p>
    <w:p w14:paraId="5A71576E" w14:textId="77777777" w:rsidR="00801729" w:rsidRPr="00AB1AEB" w:rsidRDefault="0000000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5C72C5" wp14:editId="6E45E2EF">
            <wp:extent cx="5943600" cy="3341370"/>
            <wp:effectExtent l="0" t="0" r="0" b="0"/>
            <wp:docPr id="511353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53189" name="Picture 511353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933FF4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Figure 2. Recorded posting date minus archive-observed onset for the 173 common-cohort drugs. Panel a: 162 drugs within 365 days (jittered points with box: median 37 days, IQR 16 to 118). Panel b: the 11 drugs beyond 365 days, all ongoing shortages, so values are elapsed observation times.</w:t>
      </w:r>
    </w:p>
    <w:p w14:paraId="6AD4812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173 drugs in the analytical cohort, the recorded posting date precedes the latest archive-supported onset by a median of 37 days (IQR 16–118), and the entry bracket itself has a median width of 71 days (IQR 37–184, range 4–308). For most drugs, therefore, the recorded posting lies within one capture interval of the observed entry and the two rules agree to within the archive's resolution. The distribution has a long right tail: eleven drugs have recorded durations exceeding the archive-supported duration by more than 365 days, with a maximum discrepancy of 1,450 days (Figure 2). All eleven are ongoing shortages, so their recorded values are elapsed observation times rather than completed durations; for seven of them the recorded posting precedes even the earliest plausible onset by more than a year, the pattern consistent with re-listing under an existing entry. Three drugs were posted and resolved within a single capture gap and were first observed already resolved; for these the latest-onset bound is capped at the resolution date.</w:t>
      </w:r>
    </w:p>
    <w:p w14:paraId="34F863F8" w14:textId="632396E0" w:rsidR="00801729" w:rsidRPr="00AB1AEB" w:rsidRDefault="00000000" w:rsidP="00AB1AEB">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4.4 Common-cohort survival summaries</w:t>
      </w:r>
    </w:p>
    <w:p w14:paraId="381FEB1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5. Same 173 drugs, same exit rule, three onset definitions</w:t>
      </w:r>
    </w:p>
    <w:tbl>
      <w:tblPr>
        <w:tblStyle w:val="TableGrid"/>
        <w:tblW w:w="0" w:type="auto"/>
        <w:tblLayout w:type="fixed"/>
        <w:tblLook w:val="0420" w:firstRow="1" w:lastRow="0" w:firstColumn="0" w:lastColumn="0" w:noHBand="0" w:noVBand="1"/>
      </w:tblPr>
      <w:tblGrid>
        <w:gridCol w:w="2348"/>
        <w:gridCol w:w="909"/>
        <w:gridCol w:w="948"/>
        <w:gridCol w:w="1256"/>
        <w:gridCol w:w="909"/>
        <w:gridCol w:w="909"/>
        <w:gridCol w:w="909"/>
        <w:gridCol w:w="1170"/>
      </w:tblGrid>
      <w:tr w:rsidR="00801729" w:rsidRPr="00AB1AEB" w14:paraId="4AAF2B49" w14:textId="77777777">
        <w:trPr>
          <w:tblHeader/>
        </w:trPr>
        <w:tc>
          <w:tcPr>
            <w:tcW w:w="2348" w:type="dxa"/>
            <w:shd w:val="clear" w:color="auto" w:fill="F2F2F2"/>
          </w:tcPr>
          <w:p w14:paraId="3B8A7FD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Onset rule</w:t>
            </w:r>
          </w:p>
        </w:tc>
        <w:tc>
          <w:tcPr>
            <w:tcW w:w="909" w:type="dxa"/>
            <w:shd w:val="clear" w:color="auto" w:fill="F2F2F2"/>
          </w:tcPr>
          <w:p w14:paraId="4B5789B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Spells</w:t>
            </w:r>
          </w:p>
        </w:tc>
        <w:tc>
          <w:tcPr>
            <w:tcW w:w="948" w:type="dxa"/>
            <w:shd w:val="clear" w:color="auto" w:fill="F2F2F2"/>
          </w:tcPr>
          <w:p w14:paraId="784A07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Events</w:t>
            </w:r>
          </w:p>
        </w:tc>
        <w:tc>
          <w:tcPr>
            <w:tcW w:w="1256" w:type="dxa"/>
            <w:shd w:val="clear" w:color="auto" w:fill="F2F2F2"/>
          </w:tcPr>
          <w:p w14:paraId="4B079B3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KM median</w:t>
            </w:r>
          </w:p>
        </w:tc>
        <w:tc>
          <w:tcPr>
            <w:tcW w:w="909" w:type="dxa"/>
            <w:shd w:val="clear" w:color="auto" w:fill="F2F2F2"/>
          </w:tcPr>
          <w:p w14:paraId="7DDAA9A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S(110)</w:t>
            </w:r>
          </w:p>
        </w:tc>
        <w:tc>
          <w:tcPr>
            <w:tcW w:w="909" w:type="dxa"/>
            <w:shd w:val="clear" w:color="auto" w:fill="F2F2F2"/>
          </w:tcPr>
          <w:p w14:paraId="48AB649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S(180)</w:t>
            </w:r>
          </w:p>
        </w:tc>
        <w:tc>
          <w:tcPr>
            <w:tcW w:w="909" w:type="dxa"/>
            <w:shd w:val="clear" w:color="auto" w:fill="F2F2F2"/>
          </w:tcPr>
          <w:p w14:paraId="723F483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S(365)</w:t>
            </w:r>
          </w:p>
        </w:tc>
        <w:tc>
          <w:tcPr>
            <w:tcW w:w="1170" w:type="dxa"/>
            <w:shd w:val="clear" w:color="auto" w:fill="F2F2F2"/>
          </w:tcPr>
          <w:p w14:paraId="00C2C29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Observed &gt; 1 year</w:t>
            </w:r>
          </w:p>
        </w:tc>
      </w:tr>
      <w:tr w:rsidR="00801729" w:rsidRPr="00AB1AEB" w14:paraId="22F3F1ED" w14:textId="77777777">
        <w:tc>
          <w:tcPr>
            <w:tcW w:w="2348" w:type="dxa"/>
          </w:tcPr>
          <w:p w14:paraId="3D1C7DF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R1 recorded posting</w:t>
            </w:r>
          </w:p>
        </w:tc>
        <w:tc>
          <w:tcPr>
            <w:tcW w:w="909" w:type="dxa"/>
          </w:tcPr>
          <w:p w14:paraId="091947F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29EBBE4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53EE9B6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reached</w:t>
            </w:r>
          </w:p>
        </w:tc>
        <w:tc>
          <w:tcPr>
            <w:tcW w:w="909" w:type="dxa"/>
          </w:tcPr>
          <w:p w14:paraId="03CDA04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0.970</w:t>
            </w:r>
          </w:p>
        </w:tc>
        <w:tc>
          <w:tcPr>
            <w:tcW w:w="909" w:type="dxa"/>
          </w:tcPr>
          <w:p w14:paraId="028BA5E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0.925</w:t>
            </w:r>
          </w:p>
        </w:tc>
        <w:tc>
          <w:tcPr>
            <w:tcW w:w="909" w:type="dxa"/>
          </w:tcPr>
          <w:p w14:paraId="4268796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0.823</w:t>
            </w:r>
          </w:p>
        </w:tc>
        <w:tc>
          <w:tcPr>
            <w:tcW w:w="1170" w:type="dxa"/>
          </w:tcPr>
          <w:p w14:paraId="3D05CF7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60.7%</w:t>
            </w:r>
          </w:p>
        </w:tc>
      </w:tr>
      <w:tr w:rsidR="00801729" w:rsidRPr="00AB1AEB" w14:paraId="738B2F3A" w14:textId="77777777">
        <w:tc>
          <w:tcPr>
            <w:tcW w:w="2348" w:type="dxa"/>
          </w:tcPr>
          <w:p w14:paraId="0394DCB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R2 earliest plausible onset</w:t>
            </w:r>
          </w:p>
        </w:tc>
        <w:tc>
          <w:tcPr>
            <w:tcW w:w="909" w:type="dxa"/>
          </w:tcPr>
          <w:p w14:paraId="00E3A36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38019C16"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30CDCBC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reached</w:t>
            </w:r>
          </w:p>
        </w:tc>
        <w:tc>
          <w:tcPr>
            <w:tcW w:w="909" w:type="dxa"/>
          </w:tcPr>
          <w:p w14:paraId="620EDFF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0.988</w:t>
            </w:r>
          </w:p>
        </w:tc>
        <w:tc>
          <w:tcPr>
            <w:tcW w:w="909" w:type="dxa"/>
          </w:tcPr>
          <w:p w14:paraId="6FB3D92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0.970</w:t>
            </w:r>
          </w:p>
        </w:tc>
        <w:tc>
          <w:tcPr>
            <w:tcW w:w="909" w:type="dxa"/>
          </w:tcPr>
          <w:p w14:paraId="619FA5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0.840</w:t>
            </w:r>
          </w:p>
        </w:tc>
        <w:tc>
          <w:tcPr>
            <w:tcW w:w="1170" w:type="dxa"/>
          </w:tcPr>
          <w:p w14:paraId="44A11AB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57.8%</w:t>
            </w:r>
          </w:p>
        </w:tc>
      </w:tr>
      <w:tr w:rsidR="00801729" w:rsidRPr="00AB1AEB" w14:paraId="77F5481C" w14:textId="77777777">
        <w:tc>
          <w:tcPr>
            <w:tcW w:w="2348" w:type="dxa"/>
          </w:tcPr>
          <w:p w14:paraId="3D9FC63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R2 latest plausible onset</w:t>
            </w:r>
          </w:p>
        </w:tc>
        <w:tc>
          <w:tcPr>
            <w:tcW w:w="909" w:type="dxa"/>
          </w:tcPr>
          <w:p w14:paraId="35843FD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2D90F6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2D5B502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916 d</w:t>
            </w:r>
          </w:p>
        </w:tc>
        <w:tc>
          <w:tcPr>
            <w:tcW w:w="909" w:type="dxa"/>
          </w:tcPr>
          <w:p w14:paraId="231DE5A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0.933</w:t>
            </w:r>
          </w:p>
        </w:tc>
        <w:tc>
          <w:tcPr>
            <w:tcW w:w="909" w:type="dxa"/>
          </w:tcPr>
          <w:p w14:paraId="4CFFB4B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0.905</w:t>
            </w:r>
          </w:p>
        </w:tc>
        <w:tc>
          <w:tcPr>
            <w:tcW w:w="909" w:type="dxa"/>
          </w:tcPr>
          <w:p w14:paraId="08C5DA0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0.789</w:t>
            </w:r>
          </w:p>
        </w:tc>
        <w:tc>
          <w:tcPr>
            <w:tcW w:w="1170" w:type="dxa"/>
          </w:tcPr>
          <w:p w14:paraId="2949314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46.8%</w:t>
            </w:r>
          </w:p>
        </w:tc>
      </w:tr>
    </w:tbl>
    <w:p w14:paraId="17DC6504" w14:textId="77777777" w:rsidR="00801729" w:rsidRPr="00AB1AEB" w:rsidRDefault="00801729">
      <w:pPr>
        <w:spacing w:line="360" w:lineRule="auto"/>
        <w:jc w:val="both"/>
        <w:rPr>
          <w:rFonts w:ascii="Times New Roman" w:hAnsi="Times New Roman" w:cs="Times New Roman"/>
          <w:sz w:val="24"/>
          <w:szCs w:val="24"/>
        </w:rPr>
      </w:pPr>
    </w:p>
    <w:p w14:paraId="7D1C144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Aggregate persistence is stable across onset definitions (Table 5): survival at one year ranges from 0.79 to 0.84, and the median is reached only under the latest-onset scenario. The share of spells observed to exceed one year moves more (47–61%) because it is sensitive to the small number of drugs with large posting discrepancies. The three scenarios share the same subjects, events and censoring rule by construction, while their time-dependent risk sets differ with the onset shift; Kaplan–Meier curves are given in Supplementary Figure S1.</w:t>
      </w:r>
    </w:p>
    <w:p w14:paraId="3941FE9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Reconstructing at NDC level instead (R0) counts 1,037 rows and 224 nominal resolution events for these same 173 drugs and 51 events. Rows per drug have a median of 3 and a maximum of 60, and in 88 of the 129 multi-NDC drugs every row carries an identical duration and outcome. The NDC-level survival estimate at one year, 0.883, differs from the drug-level estimate, 0.823, not because the shortages differ but because the weighting does.</w:t>
      </w:r>
    </w:p>
    <w:p w14:paraId="33D0E62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4.5 Resolution classification</w:t>
      </w:r>
    </w:p>
    <w:p w14:paraId="701A7DA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Applying the shared exit rule to all 298 drugs reclassifies a fifth of the shortages that NDC-level coding would call resolved. Of 146 drugs with at least one NDC marked Resolved, 115 are resolved at drug level and 31 are ambiguous because other presentations remain listed. Of 152 drugs with no resolved NDC, 137 are ongoing and 15 disappeared from the archive without a Resolved mark (Table 6). The 31 ambiguous drugs here and the 11 in Table 3 have different denominators (all drugs versus the entry-identifiable cohort) and are not the same set.</w:t>
      </w:r>
    </w:p>
    <w:p w14:paraId="70D299DB" w14:textId="77777777" w:rsidR="00AB1AEB" w:rsidRPr="00AB1AEB" w:rsidRDefault="00AB1AEB">
      <w:pPr>
        <w:spacing w:line="360" w:lineRule="auto"/>
        <w:jc w:val="both"/>
        <w:rPr>
          <w:rFonts w:ascii="Times New Roman" w:hAnsi="Times New Roman" w:cs="Times New Roman"/>
          <w:b/>
          <w:sz w:val="24"/>
          <w:szCs w:val="24"/>
        </w:rPr>
      </w:pPr>
    </w:p>
    <w:p w14:paraId="0023ED02" w14:textId="77777777" w:rsidR="00AB1AEB" w:rsidRPr="00AB1AEB" w:rsidRDefault="00AB1AEB">
      <w:pPr>
        <w:spacing w:line="360" w:lineRule="auto"/>
        <w:jc w:val="both"/>
        <w:rPr>
          <w:rFonts w:ascii="Times New Roman" w:hAnsi="Times New Roman" w:cs="Times New Roman"/>
          <w:b/>
          <w:sz w:val="24"/>
          <w:szCs w:val="24"/>
        </w:rPr>
      </w:pPr>
    </w:p>
    <w:p w14:paraId="435413F7" w14:textId="5A656D6E"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6. Resolution status: NDC-level coding against the drug-level shared rule (298 drugs)</w:t>
      </w:r>
    </w:p>
    <w:tbl>
      <w:tblPr>
        <w:tblStyle w:val="TableGrid"/>
        <w:tblW w:w="0" w:type="auto"/>
        <w:tblLayout w:type="fixed"/>
        <w:tblLook w:val="0420" w:firstRow="1" w:lastRow="0" w:firstColumn="0" w:lastColumn="0" w:noHBand="0" w:noVBand="1"/>
      </w:tblPr>
      <w:tblGrid>
        <w:gridCol w:w="3879"/>
        <w:gridCol w:w="1263"/>
        <w:gridCol w:w="1480"/>
        <w:gridCol w:w="1136"/>
        <w:gridCol w:w="1600"/>
      </w:tblGrid>
      <w:tr w:rsidR="00801729" w:rsidRPr="00AB1AEB" w14:paraId="7EE9A414" w14:textId="77777777">
        <w:trPr>
          <w:tblHeader/>
        </w:trPr>
        <w:tc>
          <w:tcPr>
            <w:tcW w:w="3879" w:type="dxa"/>
            <w:shd w:val="clear" w:color="auto" w:fill="F2F2F2"/>
          </w:tcPr>
          <w:p w14:paraId="0B8EB48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lastRenderedPageBreak/>
              <w:t>NDC-level coding</w:t>
            </w:r>
          </w:p>
        </w:tc>
        <w:tc>
          <w:tcPr>
            <w:tcW w:w="1263" w:type="dxa"/>
            <w:shd w:val="clear" w:color="auto" w:fill="F2F2F2"/>
          </w:tcPr>
          <w:p w14:paraId="7CB0C26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Resolved</w:t>
            </w:r>
          </w:p>
        </w:tc>
        <w:tc>
          <w:tcPr>
            <w:tcW w:w="1480" w:type="dxa"/>
            <w:shd w:val="clear" w:color="auto" w:fill="F2F2F2"/>
          </w:tcPr>
          <w:p w14:paraId="241E28E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Ambiguous</w:t>
            </w:r>
          </w:p>
        </w:tc>
        <w:tc>
          <w:tcPr>
            <w:tcW w:w="1136" w:type="dxa"/>
            <w:shd w:val="clear" w:color="auto" w:fill="F2F2F2"/>
          </w:tcPr>
          <w:p w14:paraId="3414172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Ongoing</w:t>
            </w:r>
          </w:p>
        </w:tc>
        <w:tc>
          <w:tcPr>
            <w:tcW w:w="1600" w:type="dxa"/>
            <w:shd w:val="clear" w:color="auto" w:fill="F2F2F2"/>
          </w:tcPr>
          <w:p w14:paraId="01C85EC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Disappeared</w:t>
            </w:r>
          </w:p>
        </w:tc>
      </w:tr>
      <w:tr w:rsidR="00801729" w:rsidRPr="00AB1AEB" w14:paraId="1455CD45" w14:textId="77777777">
        <w:tc>
          <w:tcPr>
            <w:tcW w:w="3879" w:type="dxa"/>
          </w:tcPr>
          <w:p w14:paraId="644889A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Any NDC marked Resolved (146)</w:t>
            </w:r>
          </w:p>
        </w:tc>
        <w:tc>
          <w:tcPr>
            <w:tcW w:w="1263" w:type="dxa"/>
          </w:tcPr>
          <w:p w14:paraId="4DD5BC2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115</w:t>
            </w:r>
          </w:p>
        </w:tc>
        <w:tc>
          <w:tcPr>
            <w:tcW w:w="1480" w:type="dxa"/>
          </w:tcPr>
          <w:p w14:paraId="1B9F56D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31</w:t>
            </w:r>
          </w:p>
        </w:tc>
        <w:tc>
          <w:tcPr>
            <w:tcW w:w="1136" w:type="dxa"/>
          </w:tcPr>
          <w:p w14:paraId="4AD364E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600" w:type="dxa"/>
          </w:tcPr>
          <w:p w14:paraId="2AD3A46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r>
      <w:tr w:rsidR="00801729" w:rsidRPr="00AB1AEB" w14:paraId="07219304" w14:textId="77777777">
        <w:tc>
          <w:tcPr>
            <w:tcW w:w="3879" w:type="dxa"/>
          </w:tcPr>
          <w:p w14:paraId="3AB0941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No NDC marked Resolved (152)</w:t>
            </w:r>
          </w:p>
        </w:tc>
        <w:tc>
          <w:tcPr>
            <w:tcW w:w="1263" w:type="dxa"/>
          </w:tcPr>
          <w:p w14:paraId="232E809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480" w:type="dxa"/>
          </w:tcPr>
          <w:p w14:paraId="4A07DDD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136" w:type="dxa"/>
          </w:tcPr>
          <w:p w14:paraId="2AD6A221"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137</w:t>
            </w:r>
          </w:p>
        </w:tc>
        <w:tc>
          <w:tcPr>
            <w:tcW w:w="1600" w:type="dxa"/>
          </w:tcPr>
          <w:p w14:paraId="07168CB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15</w:t>
            </w:r>
          </w:p>
        </w:tc>
      </w:tr>
    </w:tbl>
    <w:p w14:paraId="2E11B2F5"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4.6 Ranking stability</w:t>
      </w:r>
    </w:p>
    <w:p w14:paraId="780B24D0" w14:textId="77777777" w:rsidR="00801729" w:rsidRPr="00AB1AEB" w:rsidRDefault="000000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8F6498" wp14:editId="3812DC2F">
            <wp:extent cx="5486400" cy="4267200"/>
            <wp:effectExtent l="0" t="0" r="0" b="0"/>
            <wp:docPr id="102" name="Figure 3"/>
            <wp:cNvGraphicFramePr/>
            <a:graphic xmlns:a="http://schemas.openxmlformats.org/drawingml/2006/main">
              <a:graphicData uri="http://schemas.openxmlformats.org/drawingml/2006/picture">
                <pic:pic xmlns:pic="http://schemas.openxmlformats.org/drawingml/2006/picture">
                  <pic:nvPicPr>
                    <pic:cNvPr id="102" name="fig3_rank_stability.png"/>
                    <pic:cNvPicPr/>
                  </pic:nvPicPr>
                  <pic:blipFill>
                    <a:blip r:embed="rId9"/>
                    <a:stretch>
                      <a:fillRect/>
                    </a:stretch>
                  </pic:blipFill>
                  <pic:spPr>
                    <a:xfrm>
                      <a:off x="0" y="0"/>
                      <a:ext cx="5486400" cy="4267200"/>
                    </a:xfrm>
                    <a:prstGeom prst="rect">
                      <a:avLst/>
                    </a:prstGeom>
                  </pic:spPr>
                </pic:pic>
              </a:graphicData>
            </a:graphic>
          </wp:inline>
        </w:drawing>
      </w:r>
    </w:p>
    <w:p w14:paraId="5E90282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3. Top-20 persistence membership under three onset definitions. Filled dot: in the top 20 under that scenario. Universe: 173 drugs with a decidable exit; 11 ambiguous-exit drugs are outside the universe. Durations shown are R1 / R2-latest.</w:t>
      </w:r>
    </w:p>
    <w:p w14:paraId="5B619C9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20 longest-lasting shortages were identified under each onset scenario within the 173-drug universe. The union of the three top-20 lists contains 24 drugs: 16 appear in all three (DEFINITE) and 8 in some (POSSIBLE); the 11 ambiguous-exit drugs lie outside the universe and are UNRANKABLE. Spearman rank correlation between R1 and R2 durations is 0.83 (latest onset) and 0.82 (earliest). Four drugs leave the top 20 when onset is taken from the archive rather than the recorded posting (atropine sulfate injection, 23.4% sodium chloride injection, </w:t>
        <w:lastRenderedPageBreak/>
        <w:t xml:space="preserve">dexmedetomidine injection and sulfasalazine tablets), each because its own recorded duration exceeds the archive-supported value by more than a year. Four drugs enter (azacitidine, rifampin injection, trimethobenzamide capsules and valproate sodium injection) by relative movement only: their own durations change by 18–30 days between scenarios, and they rise because the four above fall. Under the Orange Book point estimate, 4 of the R1 top-20 and 3 of the R2-latest top-20 are sole-source products (Appendix C).</w:t>
      </w:r>
    </w:p>
    <w:p w14:paraId="4AC2063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 a sensitivity analysis, 11 reviewed pairs of duplicate FDA headings were consolidated into harmonized pharmaceutical identities, with shortage spells combined only where their observation windows overlapped. This reduced the number of administrative units from 298 to 287 and the analytical sample from 173 to 164, while preserving the shared resolution rule. Aggregate persistence estimates changed minimally, with one-year survival under recorded posting dates shifting from 0.823 to 0.821. The number of shortages consistently appearing in the top 20 increased from 16 to 18, and rank agreement between scenarios rose from 0.83 to 0.86. Only one of the four drugs displaced under archive-observed onset involved a duplicate heading; the two that remain displaced after harmonization, atropine sulfate injection and 23.4% sodium chloride injection, are the cases the posting-date diagnostic flags. These findings suggest that the principal ranking-stability result is not driven by duplicate administrative headings and that the primary heading-level estimate is conservative relative to the reviewed harmonization (Supplementary Table S3; crosswalk and adjudication decisions in the repository).</w:t>
      </w:r>
    </w:p>
    <w:p w14:paraId="1074EA8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4.7 FDA–ASHP linkage</w:t>
      </w:r>
    </w:p>
    <w:p w14:paraId="7057387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Of 958 ASHP resolved bulletins, 479 were active during the archive window and 166 have at least one FDA identity candidate; 418 bulletin-by-record pairs were evaluated (327 HIGH, 17 MEDIUM, 74 LOW identity). At spell level, 27 bulletins are CONFIRMED same-spell links (26 FDA drugs), 70 PROBABLE and 69 AMBIGUOUS, the last chiefly because a bulletin maps to several FDA presentations, an FDA resolution precedes the bulletin's creation (5), or the FDA record shows recurrence inside the bulletin (6) (Table 7). Among confirmed links, 11 have an FDA-determined resolution. Within the analytical cohort, 23 of 173 drugs have a confirmed ASHP link and 8 of those an event.</w:t>
      </w:r>
    </w:p>
    <w:p w14:paraId="5D1E99E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Table 7. FDA–ASHP record-linkage yield by stage</w:t>
      </w:r>
    </w:p>
    <w:tbl>
      <w:tblPr>
        <w:tblStyle w:val="TableGrid"/>
        <w:tblW w:w="0" w:type="auto"/>
        <w:jc w:val="center"/>
        <w:tblLook w:val="04A0" w:firstRow="1" w:lastRow="0" w:firstColumn="1" w:lastColumn="0" w:noHBand="0" w:noVBand="1"/>
      </w:tblPr>
      <w:tblGrid>
        <w:gridCol w:w="3120"/>
        <w:gridCol w:w="3120"/>
        <w:gridCol w:w="3120"/>
      </w:tblGrid>
      <w:tr w:rsidR="00801729" w:rsidRPr="00AB1AEB" w14:paraId="18AD8DD5" w14:textId="77777777">
        <w:trPr>
          <w:jc w:val="center"/>
        </w:trPr>
        <w:tc>
          <w:tcPr>
            <w:tcW w:w="3120" w:type="dxa"/>
          </w:tcPr>
          <w:p w14:paraId="7A0411C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lastRenderedPageBreak/>
              <w:t>Stage / unit</w:t>
            </w:r>
          </w:p>
        </w:tc>
        <w:tc>
          <w:tcPr>
            <w:tcW w:w="3120" w:type="dxa"/>
          </w:tcPr>
          <w:p w14:paraId="092BFD9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Count</w:t>
            </w:r>
          </w:p>
        </w:tc>
        <w:tc>
          <w:tcPr>
            <w:tcW w:w="3120" w:type="dxa"/>
          </w:tcPr>
          <w:p w14:paraId="77ABE64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Interpretation</w:t>
            </w:r>
          </w:p>
        </w:tc>
      </w:tr>
      <w:tr w:rsidR="00801729" w:rsidRPr="00AB1AEB" w14:paraId="49757769" w14:textId="77777777">
        <w:trPr>
          <w:jc w:val="center"/>
        </w:trPr>
        <w:tc>
          <w:tcPr>
            <w:tcW w:w="3120" w:type="dxa"/>
          </w:tcPr>
          <w:p w14:paraId="5526D0A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bulletins, full extract</w:t>
            </w:r>
          </w:p>
        </w:tc>
        <w:tc>
          <w:tcPr>
            <w:tcW w:w="3120" w:type="dxa"/>
          </w:tcPr>
          <w:p w14:paraId="4D1FCAA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958</w:t>
            </w:r>
          </w:p>
        </w:tc>
        <w:tc>
          <w:tcPr>
            <w:tcW w:w="3120" w:type="dxa"/>
          </w:tcPr>
          <w:p w14:paraId="57AE01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Resolved-bulletin source records</w:t>
            </w:r>
          </w:p>
        </w:tc>
      </w:tr>
      <w:tr w:rsidR="00801729" w:rsidRPr="00AB1AEB" w14:paraId="2D5B9EC1" w14:textId="77777777">
        <w:trPr>
          <w:jc w:val="center"/>
        </w:trPr>
        <w:tc>
          <w:tcPr>
            <w:tcW w:w="3120" w:type="dxa"/>
          </w:tcPr>
          <w:p w14:paraId="3A72E21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bulletins overlapping FDA window</w:t>
            </w:r>
          </w:p>
        </w:tc>
        <w:tc>
          <w:tcPr>
            <w:tcW w:w="3120" w:type="dxa"/>
          </w:tcPr>
          <w:p w14:paraId="645787B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479</w:t>
            </w:r>
          </w:p>
        </w:tc>
        <w:tc>
          <w:tcPr>
            <w:tcW w:w="3120" w:type="dxa"/>
          </w:tcPr>
          <w:p w14:paraId="0CFEFDC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Temporal eligibility</w:t>
            </w:r>
          </w:p>
        </w:tc>
      </w:tr>
      <w:tr w:rsidR="00801729" w:rsidRPr="00AB1AEB" w14:paraId="47CF188C" w14:textId="77777777">
        <w:trPr>
          <w:jc w:val="center"/>
        </w:trPr>
        <w:tc>
          <w:tcPr>
            <w:tcW w:w="3120" w:type="dxa"/>
          </w:tcPr>
          <w:p w14:paraId="2EE6209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Bulletins with any FDA identity candidate</w:t>
            </w:r>
          </w:p>
        </w:tc>
        <w:tc>
          <w:tcPr>
            <w:tcW w:w="3120" w:type="dxa"/>
          </w:tcPr>
          <w:p w14:paraId="4D7C14F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166</w:t>
            </w:r>
          </w:p>
        </w:tc>
        <w:tc>
          <w:tcPr>
            <w:tcW w:w="3120" w:type="dxa"/>
          </w:tcPr>
          <w:p w14:paraId="2C3D541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Identity candidate coverage</w:t>
            </w:r>
          </w:p>
        </w:tc>
      </w:tr>
      <w:tr w:rsidR="00801729" w:rsidRPr="00AB1AEB" w14:paraId="3713681C" w14:textId="77777777">
        <w:trPr>
          <w:jc w:val="center"/>
        </w:trPr>
        <w:tc>
          <w:tcPr>
            <w:tcW w:w="3120" w:type="dxa"/>
          </w:tcPr>
          <w:p w14:paraId="6EED7CD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 by FDA record candidate pairs</w:t>
            </w:r>
          </w:p>
        </w:tc>
        <w:tc>
          <w:tcPr>
            <w:tcW w:w="3120" w:type="dxa"/>
          </w:tcPr>
          <w:p w14:paraId="27DA1C1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418</w:t>
            </w:r>
          </w:p>
        </w:tc>
        <w:tc>
          <w:tcPr>
            <w:tcW w:w="3120" w:type="dxa"/>
          </w:tcPr>
          <w:p w14:paraId="75757B9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327 HIGH; 17 MEDIUM; 74 LOW</w:t>
            </w:r>
          </w:p>
        </w:tc>
      </w:tr>
      <w:tr w:rsidR="00801729" w:rsidRPr="00AB1AEB" w14:paraId="1D5CC165" w14:textId="77777777">
        <w:trPr>
          <w:jc w:val="center"/>
        </w:trPr>
        <w:tc>
          <w:tcPr>
            <w:tcW w:w="3120" w:type="dxa"/>
          </w:tcPr>
          <w:p w14:paraId="7E8DD7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Confirmed same-spell links</w:t>
            </w:r>
          </w:p>
        </w:tc>
        <w:tc>
          <w:tcPr>
            <w:tcW w:w="3120" w:type="dxa"/>
          </w:tcPr>
          <w:p w14:paraId="2295428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27</w:t>
            </w:r>
          </w:p>
        </w:tc>
        <w:tc>
          <w:tcPr>
            <w:tcW w:w="3120" w:type="dxa"/>
          </w:tcPr>
          <w:p w14:paraId="532714F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26 distinct FDA headings; 11 FDA resolutions</w:t>
            </w:r>
          </w:p>
        </w:tc>
      </w:tr>
      <w:tr w:rsidR="00801729" w:rsidRPr="00AB1AEB" w14:paraId="0F6FEAF7" w14:textId="77777777">
        <w:trPr>
          <w:jc w:val="center"/>
        </w:trPr>
        <w:tc>
          <w:tcPr>
            <w:tcW w:w="3120" w:type="dxa"/>
          </w:tcPr>
          <w:p w14:paraId="0A73FB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Probable spell links</w:t>
            </w:r>
          </w:p>
        </w:tc>
        <w:tc>
          <w:tcPr>
            <w:tcW w:w="3120" w:type="dxa"/>
          </w:tcPr>
          <w:p w14:paraId="1E91FB4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70</w:t>
            </w:r>
          </w:p>
        </w:tc>
        <w:tc>
          <w:tcPr>
            <w:tcW w:w="3120" w:type="dxa"/>
          </w:tcPr>
          <w:p w14:paraId="616233F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primary verified events</w:t>
            </w:r>
          </w:p>
        </w:tc>
      </w:tr>
      <w:tr w:rsidR="00801729" w:rsidRPr="00AB1AEB" w14:paraId="7917C003" w14:textId="77777777">
        <w:trPr>
          <w:jc w:val="center"/>
        </w:trPr>
        <w:tc>
          <w:tcPr>
            <w:tcW w:w="3120" w:type="dxa"/>
          </w:tcPr>
          <w:p w14:paraId="5395B8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Ambiguous spell links</w:t>
            </w:r>
          </w:p>
        </w:tc>
        <w:tc>
          <w:tcPr>
            <w:tcW w:w="3120" w:type="dxa"/>
          </w:tcPr>
          <w:p w14:paraId="31D7F8F6"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69</w:t>
            </w:r>
          </w:p>
        </w:tc>
        <w:tc>
          <w:tcPr>
            <w:tcW w:w="3120" w:type="dxa"/>
          </w:tcPr>
          <w:p w14:paraId="4576C95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Excluded from confirmed links</w:t>
            </w:r>
          </w:p>
        </w:tc>
      </w:tr>
    </w:tbl>
    <w:p w14:paraId="1F2E1B05" w14:textId="77777777" w:rsidR="00801729" w:rsidRPr="00AB1AEB" w:rsidRDefault="00801729">
      <w:pPr>
        <w:spacing w:line="360" w:lineRule="auto"/>
        <w:jc w:val="both"/>
        <w:rPr>
          <w:rFonts w:ascii="Times New Roman" w:hAnsi="Times New Roman" w:cs="Times New Roman"/>
          <w:sz w:val="24"/>
          <w:szCs w:val="24"/>
        </w:rPr>
      </w:pPr>
    </w:p>
    <w:p w14:paraId="46CF3FE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On 125 paired spells where both entries are observable, ASHP bulletin creation and FDA posting differ by a median of 10 days, with 44 within 30 days and 68 within 90; disagreements beyond 90 days concentrate in fluid and dextrose products that ASHP lists by presentation. On 130 paired spells with an FDA Resolved determination, the bulletin's last revision falls a median of 395 days after it, with only 12 within 30 days (Table 8). Consistent with ASHP's documentation, which distinguishes bulletin update dates from the separate date of transfer to the resolved list (ASHP, n.d.), the last-revision timestamp is an update-history field and cannot be read as the date the shortage ended; 262 bulletins remain open for more than two years and 91 for more than four, spanning what the FDA archive records as resolve-and-recur cycles.</w:t>
      </w:r>
    </w:p>
    <w:p w14:paraId="17D30D0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8. Administrative dating differences on paired spells</w:t>
      </w:r>
    </w:p>
    <w:tbl>
      <w:tblPr>
        <w:tblStyle w:val="TableGrid"/>
        <w:tblW w:w="0" w:type="auto"/>
        <w:jc w:val="center"/>
        <w:tblLayout w:type="fixed"/>
        <w:tblLook w:val="0420" w:firstRow="1" w:lastRow="0" w:firstColumn="0" w:lastColumn="0" w:noHBand="0" w:noVBand="1"/>
      </w:tblPr>
      <w:tblGrid>
        <w:gridCol w:w="4145"/>
        <w:gridCol w:w="790"/>
        <w:gridCol w:w="1561"/>
        <w:gridCol w:w="1431"/>
        <w:gridCol w:w="1431"/>
      </w:tblGrid>
      <w:tr w:rsidR="00801729" w:rsidRPr="00AB1AEB" w14:paraId="64F02504" w14:textId="77777777">
        <w:trPr>
          <w:tblHeader/>
          <w:jc w:val="center"/>
        </w:trPr>
        <w:tc>
          <w:tcPr>
            <w:tcW w:w="4145" w:type="dxa"/>
            <w:shd w:val="clear" w:color="auto" w:fill="F2F2F2"/>
          </w:tcPr>
          <w:p w14:paraId="16A8BC4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Comparison</w:t>
            </w:r>
          </w:p>
        </w:tc>
        <w:tc>
          <w:tcPr>
            <w:tcW w:w="790" w:type="dxa"/>
            <w:shd w:val="clear" w:color="auto" w:fill="F2F2F2"/>
          </w:tcPr>
          <w:p w14:paraId="624B189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Pairs</w:t>
            </w:r>
          </w:p>
        </w:tc>
        <w:tc>
          <w:tcPr>
            <w:tcW w:w="1561" w:type="dxa"/>
            <w:shd w:val="clear" w:color="auto" w:fill="F2F2F2"/>
          </w:tcPr>
          <w:p w14:paraId="75FAAF1E"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Median gap</w:t>
            </w:r>
          </w:p>
        </w:tc>
        <w:tc>
          <w:tcPr>
            <w:tcW w:w="1431" w:type="dxa"/>
            <w:shd w:val="clear" w:color="auto" w:fill="F2F2F2"/>
          </w:tcPr>
          <w:p w14:paraId="2D1D0B6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Within 30 d</w:t>
            </w:r>
          </w:p>
        </w:tc>
        <w:tc>
          <w:tcPr>
            <w:tcW w:w="1431" w:type="dxa"/>
            <w:shd w:val="clear" w:color="auto" w:fill="F2F2F2"/>
          </w:tcPr>
          <w:p w14:paraId="4E4C6CA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Within 90 d</w:t>
            </w:r>
          </w:p>
        </w:tc>
      </w:tr>
      <w:tr w:rsidR="00801729" w:rsidRPr="00AB1AEB" w14:paraId="4D5732C5" w14:textId="77777777">
        <w:trPr>
          <w:jc w:val="center"/>
        </w:trPr>
        <w:tc>
          <w:tcPr>
            <w:tcW w:w="4145" w:type="dxa"/>
          </w:tcPr>
          <w:p w14:paraId="6BC9040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posting − ASHP creation (onset)</w:t>
            </w:r>
          </w:p>
        </w:tc>
        <w:tc>
          <w:tcPr>
            <w:tcW w:w="790" w:type="dxa"/>
          </w:tcPr>
          <w:p w14:paraId="19ADAC1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125</w:t>
            </w:r>
          </w:p>
        </w:tc>
        <w:tc>
          <w:tcPr>
            <w:tcW w:w="1561" w:type="dxa"/>
          </w:tcPr>
          <w:p w14:paraId="36AF8C6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10 d</w:t>
            </w:r>
          </w:p>
        </w:tc>
        <w:tc>
          <w:tcPr>
            <w:tcW w:w="1431" w:type="dxa"/>
          </w:tcPr>
          <w:p w14:paraId="07AA1F0B"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44</w:t>
            </w:r>
          </w:p>
        </w:tc>
        <w:tc>
          <w:tcPr>
            <w:tcW w:w="1431" w:type="dxa"/>
          </w:tcPr>
          <w:p w14:paraId="24759162"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68</w:t>
            </w:r>
          </w:p>
        </w:tc>
      </w:tr>
      <w:tr w:rsidR="00801729" w:rsidRPr="00AB1AEB" w14:paraId="5B4F61B6" w14:textId="77777777">
        <w:trPr>
          <w:jc w:val="center"/>
        </w:trPr>
        <w:tc>
          <w:tcPr>
            <w:tcW w:w="4145" w:type="dxa"/>
          </w:tcPr>
          <w:p w14:paraId="2543851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Resolved determination − ASHP last revision (exit)</w:t>
            </w:r>
          </w:p>
        </w:tc>
        <w:tc>
          <w:tcPr>
            <w:tcW w:w="790" w:type="dxa"/>
          </w:tcPr>
          <w:p w14:paraId="2A5473F5"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130</w:t>
            </w:r>
          </w:p>
        </w:tc>
        <w:tc>
          <w:tcPr>
            <w:tcW w:w="1561" w:type="dxa"/>
          </w:tcPr>
          <w:p w14:paraId="04F139E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−395 d (ASHP later)</w:t>
            </w:r>
          </w:p>
        </w:tc>
        <w:tc>
          <w:tcPr>
            <w:tcW w:w="1431" w:type="dxa"/>
          </w:tcPr>
          <w:p w14:paraId="3545FED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12</w:t>
            </w:r>
          </w:p>
        </w:tc>
        <w:tc>
          <w:tcPr>
            <w:tcW w:w="1431" w:type="dxa"/>
          </w:tcPr>
          <w:p w14:paraId="594F893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23</w:t>
            </w:r>
          </w:p>
        </w:tc>
      </w:tr>
    </w:tbl>
    <w:p w14:paraId="0F646A72"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5. Discussion</w:t>
      </w:r>
    </w:p>
    <w:p w14:paraId="1A545D66"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5.1 What is robust and what is not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central finding is a division, not a verdict. Aggregate persistence is robust: one-year survival moves within five percentage points across onset definitions, and the median recorded posting lies within one capture interval of the observed entry. A researcher estimating how long pharmaceutical shortages typically last from the FDA archive would reach much the same answer under any of the defensible rules. The identification of </w:t>
      </w:r>
      <w:r>
        <w:rPr>
          <w:rFonts w:ascii="Times New Roman" w:hAnsi="Times New Roman" w:cs="Times New Roman"/>
          <w:sz w:val="24"/>
          <w:szCs w:val="24"/>
          <w:i/>
        </w:rPr>
        <w:t xml:space="preserve">which</w:t>
      </w:r>
      <w:r>
        <w:rPr>
          <w:rFonts w:ascii="Times New Roman" w:hAnsi="Times New Roman" w:cs="Times New Roman"/>
          <w:sz w:val="24"/>
          <w:szCs w:val="24"/>
        </w:rPr>
        <w:t xml:space="preserve"> shortages are most persistent is not robust in the same way. One in five of the longest-lasting shortages under the recorded-posting rule is displaced when onset is taken from observation, and every displaced case shares one signature: an ongoing shortage whose recorded posting precedes its first archival appearance by more than a year. That signature is detectable in advance, from the archive alone, without reference to any external source. The pattern parallels what Behzadi et al. (2020) and Ivanov (2025) report for resilience indicators, where aggregate assessments converge while rankings of alternatives diverge, and extends it one level down: here the divergence arises not from the indicator chosen but from how the dates feeding the indicator were reconstructed.</w:t>
      </w:r>
    </w:p>
    <w:p w14:paraId="7759D8E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mechanism is administrative rather than statistical. FDA posts shortages as drug entries and lists NDCs beneath them, and an NDC added to an entry inherits the entry's posting date; this is confirmed in the data. The second pattern, a drug entry first observed years after its recorded posting with no intervening capture showing it, is consistent with a recurring shortage being re-listed under its original entry, but missed captures could account for part of it, and the archive alone cannot settle which. Both behaviours would be sensible for the agency's purpose of telling clinicians what is short now, and both corrupt the posting date as a measure of when the current spell began. The HHS/ASPE analysis (ERG, 2025) noted the later addition of NDCs; the present results quantify it (18% of NDCs, median lag over a year) and identify the second pattern as a candidate mechanism affecting the drug level as well.</w:t>
      </w:r>
    </w:p>
    <w:p w14:paraId="4CE23423"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5.2 The exit side matters as much as the onset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Most attention in duration measurement falls on onset. The results show the exit is at least as consequential. A fifth of the drugs that NDC-level coding would call resolved have presentations still listed; whether those are "resolved" depends on a rule the analyst must choose and state. Disappearance from the archive, which a naive reconstruction treats as resolution, is indistinguishable from a missed capture or a retention-period removal. And the two national registers' exit timestamps diverge far more than their onset dates. ASHP's last bulletin revision falls a median of 395 days after the FDA's resolution determination. ASHP documents three distinct dates (last revision, transfer to the resolved list, and the underlying hospital-level recovery; ASHP, n.d.), and only the first is available in bulk; the 395-day figure therefore compares a maintenance timestamp with a regulatory determination and does not establish when hospital-level supply recovered. What it does establish is that these timestamps are not interchangeable recovery events, which is consistent with ASHP's own account of how its parameters differ from FDA's (ASHP, 2014). A study that used ASHP's last revision as a recovery date would measure something other than recovery.</w:t>
      </w:r>
    </w:p>
    <w:p w14:paraId="4A0A27D8"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5.3 Implications for operations research and practice</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researchers, the implication is procedural, and it is the one the record-linkage literature has drawn for health data (Harron, Doidge et al., 2017): recovery-time measures from administrative registers should report the unit of record and the unit of inference separately, state the onset and exit rules, carry an observation interval rather than a point where the data are periodic, report linkage confidence by stratum, and keep ambiguous dispositions visible rather than resolving them silently. The 11 ambiguous-exit drugs in this study are not noise to be cleaned; they are a finding about what the register can and cannot say. Where two registers cover the same events, their disagreement is itself informative and should be measured before either is used as ground truth. For resilience measurement more broadly, the results suggest that the sensitivity analyses Behzadi et al. (2020) recommend across indicators should be extended to the reconstruction of the event dates themselves.</w:t>
      </w:r>
    </w:p>
    <w:p w14:paraId="6B62D65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practitioners (hospital pharmacy, group purchasing organisations, public-health agencies that prioritise shortages for intervention) the implication is a diagnostic rather than a priority list. A posting date far older than any observed listing is a flag that the recorded duration describes an entry's history, not the current spell's. Four of the twenty shortages that would head a persistence-ranked list under the recorded dates carry that flag; the remaining sixteen are stable under every reconstruction tested. Persistence is one input to prioritisation among several, and the rankings here are analytical, not validated intervention priorities; but any prioritisation that depends on persistence should either exclude flagged cases or re-date them from observation.</w:t>
      </w:r>
    </w:p>
    <w:p w14:paraId="49C4CD40"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5.4 Limitations</w:t>
      </w:r>
    </w:p>
    <w:p w14:paraId="1E02E95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archive is a sample of captures, not a complete record; 2022 is nearly unobserved, and the longest gap is 308 days. Entry intervals are reported as bounds, but the bounds are only as tight as the captures allow. Entry reuse is inferred from the absence of intermediate observations and is consistent with, but not proven by, the available evidence; the 38 archived captures themselves would be needed to distinguish it definitively from missed observation. The shared exit rule is one defensible choice among several; a presentation-level rule would classify differently. The ASHP–FDA linkage is conservative by design, and the 27 confirmed same-spell pairs are too few to support survival comparison; the hybrid rule is reported as coverage only. Market-structure measures in Appendix C derive from current Orange Book and NDC Directory files </w:t>
        <w:lastRenderedPageBreak/>
        <w:t>and have not been historically validated. The study is confined to the United States and to 2018–2023.</w:t>
      </w:r>
    </w:p>
    <w:p w14:paraId="70BE8751"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6. Conclusion</w:t>
      </w:r>
    </w:p>
    <w:p w14:paraId="585A310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Aggregate measures of pharmaceutical shortage persistence are robust to reconstruction assumptions, but administrative posting-date artefacts can substantially alter the identification of the longest-lasting shortages. Explicit treatment of product aggregation, uncertain onset and ambiguous resolution, reporting each rather than resolving it silently, improves the reliability of supply-chain recovery measurement without requiring new data. The reconstruction framework, its rules and its audit trail are released for reuse; its central practical output is a single diagnostic, computable from the archive alone, that identifies the cases where recorded duration should not be trusted.</w:t>
      </w:r>
    </w:p>
    <w:p w14:paraId="00FF22A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References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(n.d.). </w:t>
      </w:r>
      <w:r>
        <w:rPr>
          <w:rFonts w:ascii="Times New Roman" w:hAnsi="Times New Roman" w:cs="Times New Roman"/>
          <w:sz w:val="24"/>
          <w:szCs w:val="24"/>
          <w:i/>
        </w:rPr>
        <w:t xml:space="preserve">Drug shortages FAQs</w:t>
      </w:r>
      <w:r>
        <w:rPr>
          <w:rFonts w:ascii="Times New Roman" w:hAnsi="Times New Roman" w:cs="Times New Roman"/>
          <w:sz w:val="24"/>
          <w:szCs w:val="24"/>
        </w:rPr>
        <w:t xml:space="preserve">. Retrieved October 23, 2026, from https://www.ashp.org/drug-shortages/current-shortages/drug-shortages-faqs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(2014, August). </w:t>
      </w:r>
      <w:r>
        <w:rPr>
          <w:rFonts w:ascii="Times New Roman" w:hAnsi="Times New Roman" w:cs="Times New Roman"/>
          <w:sz w:val="24"/>
          <w:szCs w:val="24"/>
          <w:i/>
        </w:rPr>
        <w:t xml:space="preserve">FDA and ASHP shortage parameters</w:t>
      </w:r>
      <w:r>
        <w:rPr>
          <w:rFonts w:ascii="Times New Roman" w:hAnsi="Times New Roman" w:cs="Times New Roman"/>
          <w:sz w:val="24"/>
          <w:szCs w:val="24"/>
        </w:rPr>
        <w:t xml:space="preserve">. https://www.ashp.org/drug-shortages/current-shortages/fda-and-ashp-shortage-parameters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Behzadi, G., O'Sullivan, M. J., &amp; Olsen, T. L. (2020). On metrics for supply chain resilience. </w:t>
      </w:r>
      <w:r>
        <w:rPr>
          <w:rFonts w:ascii="Times New Roman" w:hAnsi="Times New Roman" w:cs="Times New Roman"/>
          <w:sz w:val="24"/>
          <w:szCs w:val="24"/>
          <w:i/>
        </w:rPr>
        <w:t xml:space="preserve">European Journal of Operational Research, 287</w:t>
      </w:r>
      <w:r>
        <w:rPr>
          <w:rFonts w:ascii="Times New Roman" w:hAnsi="Times New Roman" w:cs="Times New Roman"/>
          <w:sz w:val="24"/>
          <w:szCs w:val="24"/>
        </w:rPr>
        <w:t xml:space="preserve">(1), 145–158. https://doi.org/10.1016/j.ejor.2020.04.040</w:t>
      </w:r>
    </w:p>
    <w:p w14:paraId="1EBE632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Bode, C., &amp; Macdonald, J. R. (2017). Stages of supply chain disruption response: Direct, constraining, and mediating factors for impact mitigation. </w:t>
      </w:r>
      <w:r>
        <w:rPr>
          <w:rFonts w:ascii="Times New Roman" w:hAnsi="Times New Roman" w:cs="Times New Roman"/>
          <w:i/>
          <w:sz w:val="24"/>
          <w:szCs w:val="24"/>
        </w:rPr>
        <w:t>Decision Sciences, 48</w:t>
      </w:r>
      <w:r>
        <w:rPr>
          <w:rFonts w:ascii="Times New Roman" w:hAnsi="Times New Roman" w:cs="Times New Roman"/>
          <w:sz w:val="24"/>
          <w:szCs w:val="24"/>
        </w:rPr>
        <w:t>(5), 836–874. https://doi.org/10.1111/deci.12245</w:t>
      </w:r>
    </w:p>
    <w:p w14:paraId="08EE9BE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Choi, T.-M., Wallace, S. W., &amp; Wang, Y. (2018). Big data analytics in operations management. </w:t>
      </w:r>
      <w:r>
        <w:rPr>
          <w:rFonts w:ascii="Times New Roman" w:hAnsi="Times New Roman" w:cs="Times New Roman"/>
          <w:i/>
          <w:sz w:val="24"/>
          <w:szCs w:val="24"/>
        </w:rPr>
        <w:t>Production and Operations Management, 27</w:t>
      </w:r>
      <w:r>
        <w:rPr>
          <w:rFonts w:ascii="Times New Roman" w:hAnsi="Times New Roman" w:cs="Times New Roman"/>
          <w:sz w:val="24"/>
          <w:szCs w:val="24"/>
        </w:rPr>
        <w:t>(10), 1868–1883. https://doi.org/10.1111/poms.12838</w:t>
      </w:r>
    </w:p>
    <w:p w14:paraId="44DF7A0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Eastern Research Group, Inc. (2025). </w:t>
      </w:r>
      <w:r>
        <w:rPr>
          <w:rFonts w:ascii="Times New Roman" w:hAnsi="Times New Roman" w:cs="Times New Roman"/>
          <w:i/>
          <w:sz w:val="24"/>
          <w:szCs w:val="24"/>
        </w:rPr>
        <w:t>Analysis of drug shortages, 2018–2023</w:t>
      </w:r>
      <w:r>
        <w:rPr>
          <w:rFonts w:ascii="Times New Roman" w:hAnsi="Times New Roman" w:cs="Times New Roman"/>
          <w:sz w:val="24"/>
          <w:szCs w:val="24"/>
        </w:rPr>
        <w:t>. Office of the Assistant Secretary for Planning and Evaluation, U.S. Department of Health and Human Services. https://aspe.hhs.gov/reports/drug-shortages-2018-2023</w:t>
      </w:r>
    </w:p>
    <w:p w14:paraId="4C595694"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Fox, E. R., Sweet, B. V., &amp; Jensen, V. (2014). Drug shortages: A complex health care crisis. </w:t>
      </w:r>
      <w:r>
        <w:rPr>
          <w:rFonts w:ascii="Times New Roman" w:hAnsi="Times New Roman" w:cs="Times New Roman"/>
          <w:i/>
          <w:sz w:val="24"/>
          <w:szCs w:val="24"/>
        </w:rPr>
        <w:t>Mayo Clinic Proceedings, 89</w:t>
      </w:r>
      <w:r>
        <w:rPr>
          <w:rFonts w:ascii="Times New Roman" w:hAnsi="Times New Roman" w:cs="Times New Roman"/>
          <w:sz w:val="24"/>
          <w:szCs w:val="24"/>
        </w:rPr>
        <w:t>(3), 361–373. https://doi.org/10.1016/j.mayocp.2013.11.014</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Dibben, C., Boyd, J., Hjern, A., Azimaee, M., Barreto, M. L., &amp; Goldstein, H. (2017). Challenges in administrative data linkage for research. </w:t>
      </w:r>
      <w:r>
        <w:rPr>
          <w:rFonts w:ascii="Times New Roman" w:hAnsi="Times New Roman" w:cs="Times New Roman"/>
          <w:sz w:val="24"/>
          <w:szCs w:val="24"/>
          <w:i/>
        </w:rPr>
        <w:t xml:space="preserve">Big Data &amp; Society, 4</w:t>
      </w:r>
      <w:r>
        <w:rPr>
          <w:rFonts w:ascii="Times New Roman" w:hAnsi="Times New Roman" w:cs="Times New Roman"/>
          <w:sz w:val="24"/>
          <w:szCs w:val="24"/>
        </w:rPr>
        <w:t xml:space="preserve">(2), Article 2053951717745678. https://doi.org/10.1177/2053951717745678</w:t>
      </w:r>
    </w:p>
    <w:p w14:paraId="3A78DDC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Goldstein, H., &amp; Dibben, C. (Eds.). (2015). </w:t>
      </w:r>
      <w:r>
        <w:rPr>
          <w:rFonts w:ascii="Times New Roman" w:hAnsi="Times New Roman" w:cs="Times New Roman"/>
          <w:i/>
          <w:sz w:val="24"/>
          <w:szCs w:val="24"/>
        </w:rPr>
        <w:t>Methodological developments in data linkage</w:t>
      </w:r>
      <w:r>
        <w:rPr>
          <w:rFonts w:ascii="Times New Roman" w:hAnsi="Times New Roman" w:cs="Times New Roman"/>
          <w:sz w:val="24"/>
          <w:szCs w:val="24"/>
        </w:rPr>
        <w:t>. Wiley. https://doi.org/10.1002/9781119072454</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L., Doidge, J. C., Knight, H. E., Gilbert, R. E., Goldstein, H., Cromwell, D. A., &amp; van der Meulen, J. H. (2017). A guide to evaluating linkage quality for the analysis of linked data. </w:t>
      </w:r>
      <w:r>
        <w:rPr>
          <w:rFonts w:ascii="Times New Roman" w:hAnsi="Times New Roman" w:cs="Times New Roman"/>
          <w:sz w:val="24"/>
          <w:szCs w:val="24"/>
          <w:i/>
        </w:rPr>
        <w:t xml:space="preserve">International Journal of Epidemiology, 46</w:t>
      </w:r>
      <w:r>
        <w:rPr>
          <w:rFonts w:ascii="Times New Roman" w:hAnsi="Times New Roman" w:cs="Times New Roman"/>
          <w:sz w:val="24"/>
          <w:szCs w:val="24"/>
        </w:rPr>
        <w:t xml:space="preserve">(5), 1699–1710. https://doi.org/10.1093/ije/dyx177</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Hosseini, S., Ivanov, D., &amp; Blackhurst, J. (2022). Conceptualization and measurement of supply chain resilience in an open-system context. </w:t>
      </w:r>
      <w:r>
        <w:rPr>
          <w:rFonts w:ascii="Times New Roman" w:hAnsi="Times New Roman" w:cs="Times New Roman"/>
          <w:sz w:val="24"/>
          <w:szCs w:val="24"/>
          <w:i/>
        </w:rPr>
        <w:t xml:space="preserve">IEEE Transactions on Engineering Management, 69</w:t>
      </w:r>
      <w:r>
        <w:rPr>
          <w:rFonts w:ascii="Times New Roman" w:hAnsi="Times New Roman" w:cs="Times New Roman"/>
          <w:sz w:val="24"/>
          <w:szCs w:val="24"/>
        </w:rPr>
        <w:t xml:space="preserve">(6), 3111–3126. https://doi.org/10.1109/TEM.2020.3026465</w:t>
      </w:r>
    </w:p>
    <w:p w14:paraId="49E0273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Ivanov, D. (2020). Predicting the impacts of epidemic outbreaks on global supply chains: A simulation-based analysis on the coronavirus outbreak (COVID-19/SARS-CoV-2) case. </w:t>
      </w:r>
      <w:r>
        <w:rPr>
          <w:rFonts w:ascii="Times New Roman" w:hAnsi="Times New Roman" w:cs="Times New Roman"/>
          <w:i/>
          <w:sz w:val="24"/>
          <w:szCs w:val="24"/>
        </w:rPr>
        <w:t>Transportation Research Part E: Logistics and Transportation Review, 136</w:t>
      </w:r>
      <w:r>
        <w:rPr>
          <w:rFonts w:ascii="Times New Roman" w:hAnsi="Times New Roman" w:cs="Times New Roman"/>
          <w:sz w:val="24"/>
          <w:szCs w:val="24"/>
        </w:rPr>
        <w:t>, 101922. https://doi.org/10.1016/j.tre.2020.101922</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Ivanov, D. (2025). When is the supply chain resilient? Customer and operational perspectives. </w:t>
      </w:r>
      <w:r>
        <w:rPr>
          <w:rFonts w:ascii="Times New Roman" w:hAnsi="Times New Roman" w:cs="Times New Roman"/>
          <w:sz w:val="24"/>
          <w:szCs w:val="24"/>
          <w:i/>
        </w:rPr>
        <w:t xml:space="preserve">International Journal of Production Research, 63</w:t>
      </w:r>
      <w:r>
        <w:rPr>
          <w:rFonts w:ascii="Times New Roman" w:hAnsi="Times New Roman" w:cs="Times New Roman"/>
          <w:sz w:val="24"/>
          <w:szCs w:val="24"/>
        </w:rPr>
        <w:t xml:space="preserve">(15), 5512–5527. https://doi.org/10.1080/00207543.2025.2454331</w:t>
      </w:r>
    </w:p>
    <w:p w14:paraId="374DCE6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Melnyk, S. A., Closs, D. J., Griffis, S. E., Zobel, C. W., &amp; Macdonald, J. R. (2014). Understanding supply chain resilience. </w:t>
      </w:r>
      <w:r>
        <w:rPr>
          <w:rFonts w:ascii="Times New Roman" w:hAnsi="Times New Roman" w:cs="Times New Roman"/>
          <w:i/>
          <w:sz w:val="24"/>
          <w:szCs w:val="24"/>
        </w:rPr>
        <w:t>Supply Chain Management Review</w:t>
      </w:r>
      <w:r>
        <w:rPr>
          <w:rFonts w:ascii="Times New Roman" w:hAnsi="Times New Roman" w:cs="Times New Roman"/>
          <w:sz w:val="24"/>
          <w:szCs w:val="24"/>
        </w:rPr>
        <w:t>. https://www.scmr.com/article/understanding_supply_chain_resilience</w:t>
      </w:r>
    </w:p>
    <w:p w14:paraId="3EF4730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Melnyk, S. A., Stewart, D. M., &amp; Swink, M. (2004). Metrics and performance measurement in operations management: Dealing with the metrics maze. </w:t>
      </w:r>
      <w:r>
        <w:rPr>
          <w:rFonts w:ascii="Times New Roman" w:hAnsi="Times New Roman" w:cs="Times New Roman"/>
          <w:i/>
          <w:sz w:val="24"/>
          <w:szCs w:val="24"/>
        </w:rPr>
        <w:t>Journal of Operations Management, 22</w:t>
      </w:r>
      <w:r>
        <w:rPr>
          <w:rFonts w:ascii="Times New Roman" w:hAnsi="Times New Roman" w:cs="Times New Roman"/>
          <w:sz w:val="24"/>
          <w:szCs w:val="24"/>
        </w:rPr>
        <w:t>(3), 209–218. https://doi.org/10.1016/j.jom.2004.01.004</w:t>
      </w:r>
    </w:p>
    <w:p w14:paraId="42EDA810"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Neely, A. (2005). The evolution of performance measurement research: Developments in the last decade and a research agenda for the next. </w:t>
      </w:r>
      <w:r>
        <w:rPr>
          <w:rFonts w:ascii="Times New Roman" w:hAnsi="Times New Roman" w:cs="Times New Roman"/>
          <w:i/>
          <w:sz w:val="24"/>
          <w:szCs w:val="24"/>
        </w:rPr>
        <w:t>International Journal of Operations &amp; Production Management, 25</w:t>
      </w:r>
      <w:r>
        <w:rPr>
          <w:rFonts w:ascii="Times New Roman" w:hAnsi="Times New Roman" w:cs="Times New Roman"/>
          <w:sz w:val="24"/>
          <w:szCs w:val="24"/>
        </w:rPr>
        <w:t>(12), 1264–1277. https://doi.org/10.1108/01443570510633648</w:t>
      </w:r>
    </w:p>
    <w:p w14:paraId="32554375" w14:textId="77777777" w:rsidR="00801729" w:rsidRPr="00AB1AEB"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Rana, R., Sauser, B., Gligor, D., Prybutok, V., &amp; Hiatt, B. (2026). A systematic review of systems thinking in supply chain research to manage complexity, resilience and sustainability. Systems Research and Behavioral Science, 43(2), 789–809. https://doi.org/10.1002/sres.3220</w:t>
      </w:r>
    </w:p>
    <w:p w14:paraId="0C09AA9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Roe, H. S., Ko, D. E., Nam, S. Y., Oh, J. E., Park, S. M., Lee, S. H., &amp; Lee, J. H. (2026). Drug shortage in South Korea: Machine learning-based prediction models and analysis of duration and causal factors. </w:t>
      </w:r>
      <w:r>
        <w:rPr>
          <w:rFonts w:ascii="Times New Roman" w:hAnsi="Times New Roman" w:cs="Times New Roman"/>
          <w:i/>
          <w:sz w:val="24"/>
          <w:szCs w:val="24"/>
        </w:rPr>
        <w:t>Frontiers in Pharmacology, 16</w:t>
      </w:r>
      <w:r>
        <w:rPr>
          <w:rFonts w:ascii="Times New Roman" w:hAnsi="Times New Roman" w:cs="Times New Roman"/>
          <w:sz w:val="24"/>
          <w:szCs w:val="24"/>
        </w:rPr>
        <w:t>, 1608843. https://doi.org/10.3389/fphar.2025.1608843</w:t>
      </w:r>
    </w:p>
    <w:p w14:paraId="69E1F01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Sheffi, Y., &amp; Rice, J. B., Jr. (2005). A supply chain view of the resilient enterprise. </w:t>
      </w:r>
      <w:r>
        <w:rPr>
          <w:rFonts w:ascii="Times New Roman" w:hAnsi="Times New Roman" w:cs="Times New Roman"/>
          <w:i/>
          <w:sz w:val="24"/>
          <w:szCs w:val="24"/>
        </w:rPr>
        <w:t>MIT Sloan Management Review, 47</w:t>
      </w:r>
      <w:r>
        <w:rPr>
          <w:rFonts w:ascii="Times New Roman" w:hAnsi="Times New Roman" w:cs="Times New Roman"/>
          <w:sz w:val="24"/>
          <w:szCs w:val="24"/>
        </w:rPr>
        <w:t>(1), 41–48.</w:t>
      </w:r>
    </w:p>
    <w:p w14:paraId="1BC58E8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Tucker, E. L., Cao, Y., Fox, E. R., &amp; Sweet, B. V. (2020). The drug shortage era: A scoping review of the literature 2001–2019. </w:t>
      </w:r>
      <w:r>
        <w:rPr>
          <w:rFonts w:ascii="Times New Roman" w:hAnsi="Times New Roman" w:cs="Times New Roman"/>
          <w:i/>
          <w:sz w:val="24"/>
          <w:szCs w:val="24"/>
        </w:rPr>
        <w:t>Clinical Pharmacology &amp; Therapeutics, 108</w:t>
      </w:r>
      <w:r>
        <w:rPr>
          <w:rFonts w:ascii="Times New Roman" w:hAnsi="Times New Roman" w:cs="Times New Roman"/>
          <w:sz w:val="24"/>
          <w:szCs w:val="24"/>
        </w:rPr>
        <w:t>(6), 1150–1155. https://doi.org/10.1002/cpt.1934</w:t>
      </w:r>
    </w:p>
    <w:p w14:paraId="04F8E26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 Food and Drug Administration. (2024, December 18). </w:t>
      </w:r>
      <w:r>
        <w:rPr>
          <w:rFonts w:ascii="Times New Roman" w:hAnsi="Times New Roman" w:cs="Times New Roman"/>
          <w:i/>
          <w:sz w:val="24"/>
          <w:szCs w:val="24"/>
        </w:rPr>
        <w:t>Frequently asked questions about drug shortages</w:t>
      </w:r>
      <w:r>
        <w:rPr>
          <w:rFonts w:ascii="Times New Roman" w:hAnsi="Times New Roman" w:cs="Times New Roman"/>
          <w:sz w:val="24"/>
          <w:szCs w:val="24"/>
        </w:rPr>
        <w:t>. https://www.fda.gov/drugs/drug-shortages/frequently-asked-questions-about-drug-shortages</w:t>
      </w:r>
    </w:p>
    <w:p w14:paraId="5B114BD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Yurukoglu, A., Liebman, E., &amp; Ridley, D. B. (2017). The role of government reimbursement in drug shortages. </w:t>
      </w:r>
      <w:r>
        <w:rPr>
          <w:rFonts w:ascii="Times New Roman" w:hAnsi="Times New Roman" w:cs="Times New Roman"/>
          <w:i/>
          <w:sz w:val="24"/>
          <w:szCs w:val="24"/>
        </w:rPr>
        <w:t>American Economic Journal: Economic Policy, 9</w:t>
      </w:r>
      <w:r>
        <w:rPr>
          <w:rFonts w:ascii="Times New Roman" w:hAnsi="Times New Roman" w:cs="Times New Roman"/>
          <w:sz w:val="24"/>
          <w:szCs w:val="24"/>
        </w:rPr>
        <w:t>(2), 348–382. https://doi.org/10.1257/pol.20160035</w:t>
      </w:r>
    </w:p>
    <w:p w14:paraId="4197AEE8"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A. Reconstruction rules</w:t>
      </w:r>
    </w:p>
    <w:p w14:paraId="731DC36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Let a drug heading </w:t>
      </w:r>
      <w:r>
        <w:rPr>
          <w:rFonts w:ascii="Times New Roman" w:hAnsi="Times New Roman" w:cs="Times New Roman"/>
          <w:i/>
          <w:sz w:val="24"/>
          <w:szCs w:val="24"/>
        </w:rPr>
        <w:t>h</w:t>
      </w:r>
      <w:r>
        <w:rPr>
          <w:rFonts w:ascii="Times New Roman" w:hAnsi="Times New Roman" w:cs="Times New Roman"/>
          <w:sz w:val="24"/>
          <w:szCs w:val="24"/>
        </w:rPr>
        <w:t xml:space="preserve"> have NDC episodes </w:t>
      </w:r>
      <w:r>
        <w:rPr>
          <w:rFonts w:ascii="Times New Roman" w:hAnsi="Times New Roman" w:cs="Times New Roman"/>
          <w:i/>
          <w:sz w:val="24"/>
          <w:szCs w:val="24"/>
        </w:rPr>
        <w:t>i</w:t>
      </w:r>
      <w:r>
        <w:rPr>
          <w:rFonts w:ascii="Times New Roman" w:hAnsi="Times New Roman" w:cs="Times New Roman"/>
          <w:sz w:val="24"/>
          <w:szCs w:val="24"/>
        </w:rPr>
        <w:t xml:space="preserve"> = 1..</w:t>
      </w:r>
      <w:r>
        <w:rPr>
          <w:rFonts w:ascii="Times New Roman" w:hAnsi="Times New Roman" w:cs="Times New Roman"/>
          <w:i/>
          <w:sz w:val="24"/>
          <w:szCs w:val="24"/>
        </w:rPr>
        <w:t>n</w:t>
      </w:r>
      <w:r>
        <w:rPr>
          <w:rFonts w:ascii="Times New Roman" w:hAnsi="Times New Roman" w:cs="Times New Roman"/>
          <w:sz w:val="24"/>
          <w:szCs w:val="24"/>
        </w:rPr>
        <w:t xml:space="preserve">, each with recorded posting </w:t>
      </w:r>
      <w:r>
        <w:rPr>
          <w:rFonts w:ascii="Times New Roman" w:hAnsi="Times New Roman" w:cs="Times New Roman"/>
          <w:i/>
          <w:sz w:val="24"/>
          <w:szCs w:val="24"/>
        </w:rPr>
        <w:t>p_i</w:t>
      </w:r>
      <w:r>
        <w:rPr>
          <w:rFonts w:ascii="Times New Roman" w:hAnsi="Times New Roman" w:cs="Times New Roman"/>
          <w:sz w:val="24"/>
          <w:szCs w:val="24"/>
        </w:rPr>
        <w:t xml:space="preserve">, first and last archive sighting </w:t>
      </w:r>
      <w:r>
        <w:rPr>
          <w:rFonts w:ascii="Times New Roman" w:hAnsi="Times New Roman" w:cs="Times New Roman"/>
          <w:i/>
          <w:sz w:val="24"/>
          <w:szCs w:val="24"/>
        </w:rPr>
        <w:t>f_i</w:t>
      </w:r>
      <w:r>
        <w:rPr>
          <w:rFonts w:ascii="Times New Roman" w:hAnsi="Times New Roman" w:cs="Times New Roman"/>
          <w:sz w:val="24"/>
          <w:szCs w:val="24"/>
        </w:rPr>
        <w:t xml:space="preserve"> and </w:t>
      </w:r>
      <w:r>
        <w:rPr>
          <w:rFonts w:ascii="Times New Roman" w:hAnsi="Times New Roman" w:cs="Times New Roman"/>
          <w:i/>
          <w:sz w:val="24"/>
          <w:szCs w:val="24"/>
        </w:rPr>
        <w:t>l_i</w:t>
      </w:r>
      <w:r>
        <w:rPr>
          <w:rFonts w:ascii="Times New Roman" w:hAnsi="Times New Roman" w:cs="Times New Roman"/>
          <w:sz w:val="24"/>
          <w:szCs w:val="24"/>
        </w:rPr>
        <w:t xml:space="preserve">, and, where marked Resolved, an FDA resolution date </w:t>
      </w:r>
      <w:r>
        <w:rPr>
          <w:rFonts w:ascii="Times New Roman" w:hAnsi="Times New Roman" w:cs="Times New Roman"/>
          <w:i/>
          <w:sz w:val="24"/>
          <w:szCs w:val="24"/>
        </w:rPr>
        <w:t>r_i</w:t>
      </w:r>
      <w:r>
        <w:rPr>
          <w:rFonts w:ascii="Times New Roman" w:hAnsi="Times New Roman" w:cs="Times New Roman"/>
          <w:sz w:val="24"/>
          <w:szCs w:val="24"/>
        </w:rPr>
        <w:t xml:space="preserve">. Captures are </w:t>
      </w:r>
      <w:r>
        <w:rPr>
          <w:rFonts w:ascii="Times New Roman" w:hAnsi="Times New Roman" w:cs="Times New Roman"/>
          <w:i/>
          <w:sz w:val="24"/>
          <w:szCs w:val="24"/>
        </w:rPr>
        <w:t>c_1</w:t>
      </w:r>
      <w:r>
        <w:rPr>
          <w:rFonts w:ascii="Times New Roman" w:hAnsi="Times New Roman" w:cs="Times New Roman"/>
          <w:sz w:val="24"/>
          <w:szCs w:val="24"/>
        </w:rPr>
        <w:t xml:space="preserve"> &lt; ... &lt; </w:t>
      </w:r>
      <w:r>
        <w:rPr>
          <w:rFonts w:ascii="Times New Roman" w:hAnsi="Times New Roman" w:cs="Times New Roman"/>
          <w:i/>
          <w:sz w:val="24"/>
          <w:szCs w:val="24"/>
        </w:rPr>
        <w:t>c_38</w:t>
      </w:r>
      <w:r>
        <w:rPr>
          <w:rFonts w:ascii="Times New Roman" w:hAnsi="Times New Roman" w:cs="Times New Roman"/>
          <w:sz w:val="24"/>
          <w:szCs w:val="24"/>
        </w:rPr>
        <w:t>.</w:t>
      </w:r>
    </w:p>
    <w:p w14:paraId="57DE77C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Shared exit rule (R1, R2).</w:t>
      </w:r>
      <w:r>
        <w:rPr>
          <w:rFonts w:ascii="Times New Roman" w:hAnsi="Times New Roman" w:cs="Times New Roman"/>
          <w:sz w:val="24"/>
          <w:szCs w:val="24"/>
        </w:rPr>
        <w:t xml:space="preserve"> Status is RESOLVED if every </w:t>
      </w:r>
      <w:r>
        <w:rPr>
          <w:rFonts w:ascii="Times New Roman" w:hAnsi="Times New Roman" w:cs="Times New Roman"/>
          <w:i/>
          <w:sz w:val="24"/>
          <w:szCs w:val="24"/>
        </w:rPr>
        <w:t>i</w:t>
      </w:r>
      <w:r>
        <w:rPr>
          <w:rFonts w:ascii="Times New Roman" w:hAnsi="Times New Roman" w:cs="Times New Roman"/>
          <w:sz w:val="24"/>
          <w:szCs w:val="24"/>
        </w:rPr>
        <w:t xml:space="preserve"> has </w:t>
      </w:r>
      <w:r>
        <w:rPr>
          <w:rFonts w:ascii="Times New Roman" w:hAnsi="Times New Roman" w:cs="Times New Roman"/>
          <w:i/>
          <w:sz w:val="24"/>
          <w:szCs w:val="24"/>
        </w:rPr>
        <w:t>r_i</w:t>
      </w:r>
      <w:r>
        <w:rPr>
          <w:rFonts w:ascii="Times New Roman" w:hAnsi="Times New Roman" w:cs="Times New Roman"/>
          <w:sz w:val="24"/>
          <w:szCs w:val="24"/>
        </w:rPr>
        <w:t xml:space="preserve">, with exit max </w:t>
      </w:r>
      <w:r>
        <w:rPr>
          <w:rFonts w:ascii="Times New Roman" w:hAnsi="Times New Roman" w:cs="Times New Roman"/>
          <w:i/>
          <w:sz w:val="24"/>
          <w:szCs w:val="24"/>
        </w:rPr>
        <w:t>r_i</w:t>
      </w:r>
      <w:r>
        <w:rPr>
          <w:rFonts w:ascii="Times New Roman" w:hAnsi="Times New Roman" w:cs="Times New Roman"/>
          <w:sz w:val="24"/>
          <w:szCs w:val="24"/>
        </w:rPr>
        <w:t xml:space="preserve">; AMBIGUOUS if some but not all have </w:t>
      </w:r>
      <w:r>
        <w:rPr>
          <w:rFonts w:ascii="Times New Roman" w:hAnsi="Times New Roman" w:cs="Times New Roman"/>
          <w:i/>
          <w:sz w:val="24"/>
          <w:szCs w:val="24"/>
        </w:rPr>
        <w:t>r_i</w:t>
      </w:r>
      <w:r>
        <w:rPr>
          <w:rFonts w:ascii="Times New Roman" w:hAnsi="Times New Roman" w:cs="Times New Roman"/>
          <w:sz w:val="24"/>
          <w:szCs w:val="24"/>
        </w:rPr>
        <w:t xml:space="preserve">; ONGOING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 </w:t>
      </w:r>
      <w:r>
        <w:rPr>
          <w:rFonts w:ascii="Times New Roman" w:hAnsi="Times New Roman" w:cs="Times New Roman"/>
          <w:i/>
          <w:sz w:val="24"/>
          <w:szCs w:val="24"/>
        </w:rPr>
        <w:t>c_38</w:t>
      </w:r>
      <w:r>
        <w:rPr>
          <w:rFonts w:ascii="Times New Roman" w:hAnsi="Times New Roman" w:cs="Times New Roman"/>
          <w:sz w:val="24"/>
          <w:szCs w:val="24"/>
        </w:rPr>
        <w:t xml:space="preserve">; DISAPPEARED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&lt; </w:t>
      </w:r>
      <w:r>
        <w:rPr>
          <w:rFonts w:ascii="Times New Roman" w:hAnsi="Times New Roman" w:cs="Times New Roman"/>
          <w:i/>
          <w:sz w:val="24"/>
          <w:szCs w:val="24"/>
        </w:rPr>
        <w:t>c_38</w:t>
      </w:r>
      <w:r>
        <w:rPr>
          <w:rFonts w:ascii="Times New Roman" w:hAnsi="Times New Roman" w:cs="Times New Roman"/>
          <w:sz w:val="24"/>
          <w:szCs w:val="24"/>
        </w:rPr>
        <w:t xml:space="preserve">, censored at max </w:t>
      </w:r>
      <w:r>
        <w:rPr>
          <w:rFonts w:ascii="Times New Roman" w:hAnsi="Times New Roman" w:cs="Times New Roman"/>
          <w:i/>
          <w:sz w:val="24"/>
          <w:szCs w:val="24"/>
        </w:rPr>
        <w:t>l_i</w:t>
      </w:r>
      <w:r>
        <w:rPr>
          <w:rFonts w:ascii="Times New Roman" w:hAnsi="Times New Roman" w:cs="Times New Roman"/>
          <w:sz w:val="24"/>
          <w:szCs w:val="24"/>
        </w:rPr>
        <w:t>. AMBIGUOUS headings are reported but excluded from survival summaries.</w:t>
      </w:r>
    </w:p>
    <w:p w14:paraId="0CA5BEA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R0.</w:t>
      </w:r>
      <w:r>
        <w:rPr>
          <w:rFonts w:ascii="Times New Roman" w:hAnsi="Times New Roman" w:cs="Times New Roman"/>
          <w:sz w:val="24"/>
          <w:szCs w:val="24"/>
        </w:rPr>
        <w:t xml:space="preserve"> Unit = NDC episode. Onset </w:t>
      </w:r>
      <w:r>
        <w:rPr>
          <w:rFonts w:ascii="Times New Roman" w:hAnsi="Times New Roman" w:cs="Times New Roman"/>
          <w:i/>
          <w:sz w:val="24"/>
          <w:szCs w:val="24"/>
        </w:rPr>
        <w:t>p_i</w:t>
      </w:r>
      <w:r>
        <w:rPr>
          <w:rFonts w:ascii="Times New Roman" w:hAnsi="Times New Roman" w:cs="Times New Roman"/>
          <w:sz w:val="24"/>
          <w:szCs w:val="24"/>
        </w:rPr>
        <w:t xml:space="preserve">; exit </w:t>
      </w:r>
      <w:r>
        <w:rPr>
          <w:rFonts w:ascii="Times New Roman" w:hAnsi="Times New Roman" w:cs="Times New Roman"/>
          <w:i/>
          <w:sz w:val="24"/>
          <w:szCs w:val="24"/>
        </w:rPr>
        <w:t>r_i</w:t>
      </w:r>
      <w:r>
        <w:rPr>
          <w:rFonts w:ascii="Times New Roman" w:hAnsi="Times New Roman" w:cs="Times New Roman"/>
          <w:sz w:val="24"/>
          <w:szCs w:val="24"/>
        </w:rPr>
        <w:t xml:space="preserve"> if present, else censored at </w:t>
      </w:r>
      <w:r>
        <w:rPr>
          <w:rFonts w:ascii="Times New Roman" w:hAnsi="Times New Roman" w:cs="Times New Roman"/>
          <w:i/>
          <w:sz w:val="24"/>
          <w:szCs w:val="24"/>
        </w:rPr>
        <w:t>l_i</w:t>
      </w:r>
      <w:r>
        <w:rPr>
          <w:rFonts w:ascii="Times New Roman" w:hAnsi="Times New Roman" w:cs="Times New Roman"/>
          <w:sz w:val="24"/>
          <w:szCs w:val="24"/>
        </w:rPr>
        <w:t>.</w:t>
      </w:r>
    </w:p>
    <w:p w14:paraId="4D909AD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R1.</w:t>
      </w:r>
      <w:r>
        <w:rPr>
          <w:rFonts w:ascii="Times New Roman" w:hAnsi="Times New Roman" w:cs="Times New Roman"/>
          <w:sz w:val="24"/>
          <w:szCs w:val="24"/>
        </w:rPr>
        <w:t xml:space="preserve"> Unit = heading. Onset min </w:t>
      </w:r>
      <w:r>
        <w:rPr>
          <w:rFonts w:ascii="Times New Roman" w:hAnsi="Times New Roman" w:cs="Times New Roman"/>
          <w:i/>
          <w:sz w:val="24"/>
          <w:szCs w:val="24"/>
        </w:rPr>
        <w:t>p_i</w:t>
      </w:r>
      <w:r>
        <w:rPr>
          <w:rFonts w:ascii="Times New Roman" w:hAnsi="Times New Roman" w:cs="Times New Roman"/>
          <w:sz w:val="24"/>
          <w:szCs w:val="24"/>
        </w:rPr>
        <w:t>; exit by the shared rule.</w:t>
      </w:r>
    </w:p>
    <w:p w14:paraId="3F91C39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R2.</w:t>
      </w:r>
      <w:r>
        <w:rPr>
          <w:rFonts w:ascii="Times New Roman" w:hAnsi="Times New Roman" w:cs="Times New Roman"/>
          <w:sz w:val="24"/>
          <w:szCs w:val="24"/>
        </w:rPr>
        <w:t xml:space="preserve"> Unit = heading. Eligible if min </w:t>
      </w:r>
      <w:r>
        <w:rPr>
          <w:rFonts w:ascii="Times New Roman" w:hAnsi="Times New Roman" w:cs="Times New Roman"/>
          <w:i/>
          <w:sz w:val="24"/>
          <w:szCs w:val="24"/>
        </w:rPr>
        <w:t>p_i</w:t>
      </w:r>
      <w:r>
        <w:rPr>
          <w:rFonts w:ascii="Times New Roman" w:hAnsi="Times New Roman" w:cs="Times New Roman"/>
          <w:sz w:val="24"/>
          <w:szCs w:val="24"/>
        </w:rPr>
        <w:t xml:space="preserve"> ≥ </w:t>
      </w:r>
      <w:r>
        <w:rPr>
          <w:rFonts w:ascii="Times New Roman" w:hAnsi="Times New Roman" w:cs="Times New Roman"/>
          <w:i/>
          <w:sz w:val="24"/>
          <w:szCs w:val="24"/>
        </w:rPr>
        <w:t>c_1</w:t>
      </w:r>
      <w:r>
        <w:rPr>
          <w:rFonts w:ascii="Times New Roman" w:hAnsi="Times New Roman" w:cs="Times New Roman"/>
          <w:sz w:val="24"/>
          <w:szCs w:val="24"/>
        </w:rPr>
        <w:t xml:space="preserve"> and </w:t>
      </w:r>
      <w:r>
        <w:rPr>
          <w:rFonts w:ascii="Times New Roman" w:hAnsi="Times New Roman" w:cs="Times New Roman"/>
          <w:i/>
          <w:sz w:val="24"/>
          <w:szCs w:val="24"/>
        </w:rPr>
        <w:t>F</w:t>
      </w:r>
      <w:r>
        <w:rPr>
          <w:rFonts w:ascii="Times New Roman" w:hAnsi="Times New Roman" w:cs="Times New Roman"/>
          <w:sz w:val="24"/>
          <w:szCs w:val="24"/>
        </w:rPr>
        <w:t xml:space="preserve"> = min </w:t>
      </w:r>
      <w:r>
        <w:rPr>
          <w:rFonts w:ascii="Times New Roman" w:hAnsi="Times New Roman" w:cs="Times New Roman"/>
          <w:i/>
          <w:sz w:val="24"/>
          <w:szCs w:val="24"/>
        </w:rPr>
        <w:t>f_i</w:t>
      </w:r>
      <w:r>
        <w:rPr>
          <w:rFonts w:ascii="Times New Roman" w:hAnsi="Times New Roman" w:cs="Times New Roman"/>
          <w:sz w:val="24"/>
          <w:szCs w:val="24"/>
        </w:rPr>
        <w:t xml:space="preserve"> &gt; </w:t>
      </w:r>
      <w:r>
        <w:rPr>
          <w:rFonts w:ascii="Times New Roman" w:hAnsi="Times New Roman" w:cs="Times New Roman"/>
          <w:i/>
          <w:sz w:val="24"/>
          <w:szCs w:val="24"/>
        </w:rPr>
        <w:t>c_1</w:t>
      </w:r>
      <w:r>
        <w:rPr>
          <w:rFonts w:ascii="Times New Roman" w:hAnsi="Times New Roman" w:cs="Times New Roman"/>
          <w:sz w:val="24"/>
          <w:szCs w:val="24"/>
        </w:rPr>
        <w:t>. Onset lies in (</w:t>
      </w:r>
      <w:r>
        <w:rPr>
          <w:rFonts w:ascii="Times New Roman" w:hAnsi="Times New Roman" w:cs="Times New Roman"/>
          <w:i/>
          <w:sz w:val="24"/>
          <w:szCs w:val="24"/>
        </w:rPr>
        <w:t>c_k</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 xml:space="preserve">] where </w:t>
      </w:r>
      <w:r>
        <w:rPr>
          <w:rFonts w:ascii="Times New Roman" w:hAnsi="Times New Roman" w:cs="Times New Roman"/>
          <w:i/>
          <w:sz w:val="24"/>
          <w:szCs w:val="24"/>
        </w:rPr>
        <w:t>c_k</w:t>
      </w:r>
      <w:r>
        <w:rPr>
          <w:rFonts w:ascii="Times New Roman" w:hAnsi="Times New Roman" w:cs="Times New Roman"/>
          <w:sz w:val="24"/>
          <w:szCs w:val="24"/>
        </w:rPr>
        <w:t xml:space="preserve"> is the capture preceding </w:t>
      </w:r>
      <w:r>
        <w:rPr>
          <w:rFonts w:ascii="Times New Roman" w:hAnsi="Times New Roman" w:cs="Times New Roman"/>
          <w:i/>
          <w:sz w:val="24"/>
          <w:szCs w:val="24"/>
        </w:rPr>
        <w:t>F</w:t>
      </w:r>
      <w:r>
        <w:rPr>
          <w:rFonts w:ascii="Times New Roman" w:hAnsi="Times New Roman" w:cs="Times New Roman"/>
          <w:sz w:val="24"/>
          <w:szCs w:val="24"/>
        </w:rPr>
        <w:t xml:space="preserve">; earliest bound </w:t>
      </w:r>
      <w:r>
        <w:rPr>
          <w:rFonts w:ascii="Times New Roman" w:hAnsi="Times New Roman" w:cs="Times New Roman"/>
          <w:i/>
          <w:sz w:val="24"/>
          <w:szCs w:val="24"/>
        </w:rPr>
        <w:t>c_k</w:t>
      </w:r>
      <w:r>
        <w:rPr>
          <w:rFonts w:ascii="Times New Roman" w:hAnsi="Times New Roman" w:cs="Times New Roman"/>
          <w:sz w:val="24"/>
          <w:szCs w:val="24"/>
        </w:rPr>
        <w:t xml:space="preserve">; latest bound min(</w:t>
      </w:r>
      <w:r>
        <w:rPr>
          <w:rFonts w:ascii="Times New Roman" w:hAnsi="Times New Roman" w:cs="Times New Roman"/>
          <w:i/>
          <w:sz w:val="24"/>
          <w:szCs w:val="24"/>
        </w:rPr>
        <w:t>F</w:t>
      </w:r>
      <w:r>
        <w:rPr>
          <w:rFonts w:ascii="Times New Roman" w:hAnsi="Times New Roman" w:cs="Times New Roman"/>
          <w:sz w:val="24"/>
          <w:szCs w:val="24"/>
        </w:rPr>
        <w:t xml:space="preserve">, exit) for RESOLVED headings, </w:t>
      </w:r>
      <w:r>
        <w:rPr>
          <w:rFonts w:ascii="Times New Roman" w:hAnsi="Times New Roman" w:cs="Times New Roman"/>
          <w:i/>
          <w:sz w:val="24"/>
          <w:szCs w:val="24"/>
        </w:rPr>
        <w:t>F</w:t>
      </w:r>
      <w:r>
        <w:rPr>
          <w:rFonts w:ascii="Times New Roman" w:hAnsi="Times New Roman" w:cs="Times New Roman"/>
          <w:sz w:val="24"/>
          <w:szCs w:val="24"/>
        </w:rPr>
        <w:t xml:space="preserve"> otherwise. Exit by the shared rule. Durations are computed at both bounds and reported as scenarios.</w:t>
      </w:r>
    </w:p>
    <w:p w14:paraId="560A21C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R3.</w:t>
      </w:r>
      <w:r>
        <w:rPr>
          <w:rFonts w:ascii="Times New Roman" w:hAnsi="Times New Roman" w:cs="Times New Roman"/>
          <w:sz w:val="24"/>
          <w:szCs w:val="24"/>
        </w:rPr>
        <w:t xml:space="preserve"> Unit = heading linked to an ASHP bulletin at CONFIRMED spell confidence. Onset = bulletin creation; exit = FDA resolution by the shared rule. Reported as linkage coverage only.</w:t>
      </w:r>
    </w:p>
    <w:p w14:paraId="5DBE643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Identity and spell confidence.</w:t>
      </w:r>
      <w:r>
        <w:rPr>
          <w:rFonts w:ascii="Times New Roman" w:hAnsi="Times New Roman" w:cs="Times New Roman"/>
          <w:sz w:val="24"/>
          <w:szCs w:val="24"/>
        </w:rPr>
        <w:t xml:space="preserve"> Level-1 identity (HIGH, MEDIUM, LOW) from ingredient base, family, formulation, release and presentation agreement, salts never merged; Level-2 spell </w:t>
        <w:lastRenderedPageBreak/>
        <w:t>confidence (CONFIRMED, PROBABLE, AMBIGUOUS) requires the FDA entry inside the ASHP spell and no FDA recurrence within it. Full parsing vocabulary, the 304-label form/route map with reviewer decisions, and the legacy-injectable hierarchy are in Supplementary Material S1.</w:t>
      </w:r>
    </w:p>
    <w:p w14:paraId="6C16C600"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Duplicate headings.</w:t>
      </w:r>
      <w:r>
        <w:rPr>
          <w:rFonts w:ascii="Times New Roman" w:hAnsi="Times New Roman" w:cs="Times New Roman"/>
          <w:sz w:val="24"/>
          <w:szCs w:val="24"/>
        </w:rPr>
        <w:t xml:space="preserve"> Candidate pairs by deterministic normalisation of ingredient phrase, family, formulation and release; classified MERGE, KEEP_SEPARATE or REVIEW on salt, strength, presentation, shared NDC and window overlap; 11 pairs approved on review; merged only where windows overlap (Supplementary Material S3).</w:t>
      </w:r>
    </w:p>
    <w:p w14:paraId="40B6E72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B. Reproducibility and provenance</w:t>
      </w:r>
    </w:p>
    <w:p w14:paraId="43CEDEC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Scripts, audit outputs and adjudication decisions are documented in the supplementary material and an anonymized review package. The original FDA archive captures are not redistributed, but their retrieval locations and hashes are recorded in Supplementary Table S2. Derived episode data and the ASHP extract are described in the reproducibility manifest; current FDA data files can be obtained from official sources. The episode file was initially developed as a timescale benchmark for separate simulation research. The present analyses examine measurement validity and record reconstruction and are distinct from those earlier analyses. Full repository and related-manuscript details have been supplied separately to the editor.</w:t>
      </w:r>
    </w:p>
    <w:p w14:paraId="7245F5D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C. Market-structure illustration</w:t>
      </w:r>
    </w:p>
    <w:p w14:paraId="00F57973" w14:textId="4DD2B9CF"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173-drug cohort, each heading's product was placed in a harmonized Orange Book market (ingredient; administration family and formulation; release) and the number of distinct applicants approved on or before the recorded posting was counted under three specifications: confirmed-formulation applicants only (lower bound), confirmed plus provisional (point), and point plus formulation-unresolved applicants in the same ingredient and family (upper bound). Under the point estimate, 4 of the 20 longest shortages by recorded posting and 3 of the 20 by archive-observed onset are sole-source (one approved applicant). These counts derive from current Orange Book and NDC Directory files and describe regulatory approval status, not historically observed market participation; they have not been validated against historical editions and are offered as illustration only.</w:t>
      </w:r>
    </w:p>
    <w:sectPr w:rsidR="00801729" w:rsidRPr="00AB1AEB">
      <w:footerReference w:type="even"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104FB2" w14:textId="77777777" w:rsidR="00294BEA" w:rsidRDefault="00294BEA">
      <w:pPr>
        <w:spacing w:after="0" w:line="240" w:lineRule="auto"/>
      </w:pPr>
      <w:r>
        <w:separator/>
      </w:r>
    </w:p>
  </w:endnote>
  <w:endnote w:type="continuationSeparator" w:id="0">
    <w:p w14:paraId="0A0D32AC" w14:textId="77777777" w:rsidR="00294BEA" w:rsidRDefault="00294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26694977"/>
      <w:docPartObj>
        <w:docPartGallery w:val="Page Numbers (Bottom of Page)"/>
        <w:docPartUnique/>
      </w:docPartObj>
    </w:sdtPr>
    <w:sdtContent>
      <w:p w14:paraId="1A718C35" w14:textId="77777777" w:rsidR="0080172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1CA06D" w14:textId="77777777" w:rsidR="00801729" w:rsidRDefault="008017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21282083"/>
      <w:docPartObj>
        <w:docPartGallery w:val="Page Numbers (Bottom of Page)"/>
        <w:docPartUnique/>
      </w:docPartObj>
    </w:sdtPr>
    <w:sdtContent>
      <w:p w14:paraId="391DA673" w14:textId="77777777" w:rsidR="0080172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75D06" w14:textId="77777777" w:rsidR="00801729" w:rsidRDefault="00801729">
    <w:pPr>
      <w:pStyle w:val="Footer"/>
      <w:ind w:right="360"/>
    </w:pPr>
  </w:p>
  <w:p w14:paraId="01088175" w14:textId="77777777" w:rsidR="00801729" w:rsidRDefault="008017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C79EC2" w14:textId="77777777" w:rsidR="00294BEA" w:rsidRDefault="00294BEA">
      <w:pPr>
        <w:spacing w:after="0" w:line="240" w:lineRule="auto"/>
      </w:pPr>
      <w:r>
        <w:separator/>
      </w:r>
    </w:p>
  </w:footnote>
  <w:footnote w:type="continuationSeparator" w:id="0">
    <w:p w14:paraId="1C55F1CC" w14:textId="77777777" w:rsidR="00294BEA" w:rsidRDefault="00294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346FB"/>
    <w:multiLevelType w:val="hybridMultilevel"/>
    <w:tmpl w:val="7C703A36"/>
    <w:lvl w:ilvl="0" w:tplc="AC3CFAB0">
      <w:start w:val="1"/>
      <w:numFmt w:val="bullet"/>
      <w:lvlText w:val="•"/>
      <w:lvlJc w:val="left"/>
      <w:pPr>
        <w:ind w:left="720" w:hanging="360"/>
      </w:pPr>
    </w:lvl>
    <w:lvl w:ilvl="1" w:tplc="DD942AB8">
      <w:start w:val="1"/>
      <w:numFmt w:val="bullet"/>
      <w:lvlText w:val="o"/>
      <w:lvlJc w:val="left"/>
      <w:pPr>
        <w:ind w:left="1440" w:hanging="360"/>
      </w:pPr>
    </w:lvl>
    <w:lvl w:ilvl="2" w:tplc="527AA420">
      <w:start w:val="1"/>
      <w:numFmt w:val="bullet"/>
      <w:lvlText w:val="▪"/>
      <w:lvlJc w:val="left"/>
      <w:pPr>
        <w:ind w:left="2160" w:hanging="360"/>
      </w:pPr>
    </w:lvl>
    <w:lvl w:ilvl="3" w:tplc="E918DDA2">
      <w:start w:val="1"/>
      <w:numFmt w:val="bullet"/>
      <w:lvlText w:val="•"/>
      <w:lvlJc w:val="left"/>
      <w:pPr>
        <w:ind w:left="2880" w:hanging="360"/>
      </w:pPr>
    </w:lvl>
    <w:lvl w:ilvl="4" w:tplc="437EBE22">
      <w:start w:val="1"/>
      <w:numFmt w:val="bullet"/>
      <w:lvlText w:val="o"/>
      <w:lvlJc w:val="left"/>
      <w:pPr>
        <w:ind w:left="3600" w:hanging="360"/>
      </w:pPr>
    </w:lvl>
    <w:lvl w:ilvl="5" w:tplc="A5E01CE0">
      <w:start w:val="1"/>
      <w:numFmt w:val="bullet"/>
      <w:lvlText w:val="▪"/>
      <w:lvlJc w:val="left"/>
      <w:pPr>
        <w:ind w:left="4320" w:hanging="360"/>
      </w:pPr>
    </w:lvl>
    <w:lvl w:ilvl="6" w:tplc="12A23886">
      <w:start w:val="1"/>
      <w:numFmt w:val="bullet"/>
      <w:lvlText w:val="•"/>
      <w:lvlJc w:val="left"/>
      <w:pPr>
        <w:ind w:left="5040" w:hanging="360"/>
      </w:pPr>
    </w:lvl>
    <w:lvl w:ilvl="7" w:tplc="BDE44846">
      <w:start w:val="1"/>
      <w:numFmt w:val="bullet"/>
      <w:lvlText w:val="o"/>
      <w:lvlJc w:val="left"/>
      <w:pPr>
        <w:ind w:left="5760" w:hanging="360"/>
      </w:pPr>
    </w:lvl>
    <w:lvl w:ilvl="8" w:tplc="1F2AF620">
      <w:start w:val="1"/>
      <w:numFmt w:val="bullet"/>
      <w:lvlText w:val="▪"/>
      <w:lvlJc w:val="left"/>
      <w:pPr>
        <w:ind w:left="6480" w:hanging="360"/>
      </w:pPr>
    </w:lvl>
  </w:abstractNum>
  <w:abstractNum w:abstractNumId="1" w15:restartNumberingAfterBreak="0">
    <w:nsid w:val="31C21875"/>
    <w:multiLevelType w:val="hybridMultilevel"/>
    <w:tmpl w:val="0A20C3E2"/>
    <w:lvl w:ilvl="0" w:tplc="51DCEFEC">
      <w:start w:val="1"/>
      <w:numFmt w:val="decimal"/>
      <w:lvlText w:val="%1."/>
      <w:lvlJc w:val="left"/>
      <w:pPr>
        <w:ind w:left="720" w:hanging="360"/>
      </w:pPr>
    </w:lvl>
    <w:lvl w:ilvl="1" w:tplc="ED0C648A">
      <w:start w:val="1"/>
      <w:numFmt w:val="lowerLetter"/>
      <w:lvlText w:val="%2."/>
      <w:lvlJc w:val="left"/>
      <w:pPr>
        <w:ind w:left="1440" w:hanging="360"/>
      </w:pPr>
    </w:lvl>
    <w:lvl w:ilvl="2" w:tplc="5C500610">
      <w:start w:val="1"/>
      <w:numFmt w:val="lowerRoman"/>
      <w:lvlText w:val="%3."/>
      <w:lvlJc w:val="left"/>
      <w:pPr>
        <w:ind w:left="2160" w:hanging="360"/>
      </w:pPr>
    </w:lvl>
    <w:lvl w:ilvl="3" w:tplc="FBE87850">
      <w:start w:val="1"/>
      <w:numFmt w:val="decimal"/>
      <w:lvlText w:val="%4."/>
      <w:lvlJc w:val="left"/>
      <w:pPr>
        <w:ind w:left="2880" w:hanging="360"/>
      </w:pPr>
    </w:lvl>
    <w:lvl w:ilvl="4" w:tplc="138668F0">
      <w:start w:val="1"/>
      <w:numFmt w:val="lowerLetter"/>
      <w:lvlText w:val="%5."/>
      <w:lvlJc w:val="left"/>
      <w:pPr>
        <w:ind w:left="3600" w:hanging="360"/>
      </w:pPr>
    </w:lvl>
    <w:lvl w:ilvl="5" w:tplc="1814FB0A">
      <w:start w:val="1"/>
      <w:numFmt w:val="lowerRoman"/>
      <w:lvlText w:val="%6."/>
      <w:lvlJc w:val="left"/>
      <w:pPr>
        <w:ind w:left="4320" w:hanging="360"/>
      </w:pPr>
    </w:lvl>
    <w:lvl w:ilvl="6" w:tplc="53D23510">
      <w:start w:val="1"/>
      <w:numFmt w:val="decimal"/>
      <w:lvlText w:val="%7."/>
      <w:lvlJc w:val="left"/>
      <w:pPr>
        <w:ind w:left="5040" w:hanging="360"/>
      </w:pPr>
    </w:lvl>
    <w:lvl w:ilvl="7" w:tplc="F2A8D9E8">
      <w:start w:val="1"/>
      <w:numFmt w:val="lowerLetter"/>
      <w:lvlText w:val="%8."/>
      <w:lvlJc w:val="left"/>
      <w:pPr>
        <w:ind w:left="5760" w:hanging="360"/>
      </w:pPr>
    </w:lvl>
    <w:lvl w:ilvl="8" w:tplc="1298A55C">
      <w:start w:val="1"/>
      <w:numFmt w:val="lowerRoman"/>
      <w:lvlText w:val="%9."/>
      <w:lvlJc w:val="left"/>
      <w:pPr>
        <w:ind w:left="6480" w:hanging="360"/>
      </w:pPr>
    </w:lvl>
  </w:abstractNum>
  <w:num w:numId="1" w16cid:durableId="1811550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2979"/>
    <w:rsid w:val="00064C89"/>
    <w:rsid w:val="000C76D1"/>
    <w:rsid w:val="001A2FF6"/>
    <w:rsid w:val="002215ED"/>
    <w:rsid w:val="00294BEA"/>
    <w:rsid w:val="00331222"/>
    <w:rsid w:val="005452EF"/>
    <w:rsid w:val="00703904"/>
    <w:rsid w:val="007A192F"/>
    <w:rsid w:val="00801729"/>
    <w:rsid w:val="00802979"/>
    <w:rsid w:val="00904B5B"/>
    <w:rsid w:val="00AB1AEB"/>
    <w:rsid w:val="00C821CE"/>
    <w:rsid w:val="00CD09DD"/>
    <w:rsid w:val="00E54358"/>
    <w:rsid w:val="00F2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9928"/>
  <w15:docId w15:val="{12022502-0D4D-0342-85B9-B48D6058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3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04"/>
  </w:style>
  <w:style w:type="paragraph" w:styleId="Footer">
    <w:name w:val="footer"/>
    <w:basedOn w:val="Normal"/>
    <w:link w:val="FooterChar"/>
    <w:uiPriority w:val="99"/>
    <w:unhideWhenUsed/>
    <w:rsid w:val="00703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904"/>
  </w:style>
  <w:style w:type="character" w:styleId="PageNumber">
    <w:name w:val="page number"/>
    <w:basedOn w:val="DefaultParagraphFont"/>
    <w:uiPriority w:val="99"/>
    <w:semiHidden/>
    <w:unhideWhenUsed/>
    <w:rsid w:val="00703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23</Pages>
  <Words>7155</Words>
  <Characters>40784</Characters>
  <Application>Microsoft Office Word</Application>
  <DocSecurity>0</DocSecurity>
  <Lines>339</Lines>
  <Paragraphs>95</Paragraphs>
  <ScaleCrop>false</ScaleCrop>
  <Company/>
  <LinksUpToDate>false</LinksUpToDate>
  <CharactersWithSpaces>47844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Supply Chain Recovery Data Disagree</dc:title>
  <dc:subject>Anonymized submission</dc:subject>
  <dc:creator/>
  <cp:keywords/>
  <dc:description>Claude Docs node/a4b5430e-289d@44 docx-w7</dc:description>
  <cp:lastModifiedBy>Rana, Rishabh</cp:lastModifiedBy>
  <cp:revision>59</cp:revision>
  <dcterms:created xsi:type="dcterms:W3CDTF">2026-10-23T20:50:00Z</dcterms:created>
  <dcterms:modified xsi:type="dcterms:W3CDTF">2026-10-23T21:30:00Z</dcterms:modified>
</cp:coreProperties>
</file>