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4089"/>
        <w:jc w:val="both"/>
        <w:rPr/>
      </w:pPr>
      <w:r w:rsidDel="00000000" w:rsidR="00000000" w:rsidRPr="00000000">
        <w:rPr>
          <w:rtl w:val="0"/>
        </w:rPr>
        <w:t xml:space="preserve">Abstract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sz w:val="32"/>
          <w:szCs w:val="32"/>
          <w:rtl w:val="0"/>
        </w:rPr>
        <w:t xml:space="preserve">In today's fast-paced world, where urbanization is rapidly increasing and green spaces are diminishing, there is a growing need for individuals to bring nature into their homes and workplaces.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This project involves developing an e-commerce website dedicated to selling plants and gardening supplies. The platform offers a diverse range of indoor and outdoor plants, seeds, pots, and gardening tools, catering to both novice and experienced gardeners. Users can browse products, read detailed descriptions, and receive personalized recommendations based on their preferences and climate. The site also features a blog with tips on plant care and landscaping. With a focus on sustainability and eco-friendly practices, the website aims to promote greenery and nature-friendly lifestyles, making gardening accessible to all.</w:t>
      </w:r>
    </w:p>
    <w:sectPr>
      <w:pgSz w:h="15840" w:w="12240" w:orient="portrait"/>
      <w:pgMar w:bottom="280" w:top="1380" w:left="1340" w:right="15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4089" w:right="3870"/>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