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108" w:type="dxa"/>
        <w:tblLayout w:type="fixed"/>
        <w:tblLook w:val="01E0" w:firstRow="1" w:lastRow="1" w:firstColumn="1" w:lastColumn="1" w:noHBand="0" w:noVBand="0"/>
      </w:tblPr>
      <w:tblGrid>
        <w:gridCol w:w="4513"/>
        <w:gridCol w:w="4337"/>
        <w:gridCol w:w="506"/>
      </w:tblGrid>
      <w:tr w:rsidR="00154638" w:rsidRPr="00DA428E" w:rsidTr="00125149">
        <w:tc>
          <w:tcPr>
            <w:tcW w:w="4513" w:type="dxa"/>
            <w:tcBorders>
              <w:bottom w:val="single" w:sz="4" w:space="0" w:color="auto"/>
            </w:tcBorders>
            <w:tcMar>
              <w:bottom w:w="170" w:type="dxa"/>
            </w:tcMar>
          </w:tcPr>
          <w:p w:rsidR="00154638" w:rsidRPr="008B2CC1" w:rsidRDefault="00154638" w:rsidP="007666B5">
            <w:bookmarkStart w:id="0" w:name="_Toc292715060"/>
            <w:bookmarkStart w:id="1" w:name="_GoBack"/>
            <w:bookmarkEnd w:id="1"/>
          </w:p>
        </w:tc>
        <w:tc>
          <w:tcPr>
            <w:tcW w:w="4337" w:type="dxa"/>
            <w:tcBorders>
              <w:bottom w:val="single" w:sz="4" w:space="0" w:color="auto"/>
            </w:tcBorders>
            <w:tcMar>
              <w:left w:w="0" w:type="dxa"/>
              <w:right w:w="0" w:type="dxa"/>
            </w:tcMar>
          </w:tcPr>
          <w:p w:rsidR="00154638" w:rsidRPr="008B2CC1" w:rsidRDefault="00BC7CD6" w:rsidP="007666B5">
            <w:r>
              <w:rPr>
                <w:noProof/>
              </w:rPr>
              <w:drawing>
                <wp:inline distT="0" distB="0" distL="0" distR="0" wp14:anchorId="227D9A0E" wp14:editId="478BDE08">
                  <wp:extent cx="1857375" cy="1323975"/>
                  <wp:effectExtent l="0" t="0" r="9525" b="9525"/>
                  <wp:docPr id="1" name="Picture 1" descr="Description: WIP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IPO-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323975"/>
                          </a:xfrm>
                          <a:prstGeom prst="rect">
                            <a:avLst/>
                          </a:prstGeom>
                          <a:noFill/>
                          <a:ln>
                            <a:noFill/>
                          </a:ln>
                        </pic:spPr>
                      </pic:pic>
                    </a:graphicData>
                  </a:graphic>
                </wp:inline>
              </w:drawing>
            </w:r>
          </w:p>
        </w:tc>
        <w:tc>
          <w:tcPr>
            <w:tcW w:w="506" w:type="dxa"/>
            <w:tcBorders>
              <w:bottom w:val="single" w:sz="4" w:space="0" w:color="auto"/>
            </w:tcBorders>
            <w:tcMar>
              <w:left w:w="0" w:type="dxa"/>
              <w:right w:w="0" w:type="dxa"/>
            </w:tcMar>
          </w:tcPr>
          <w:p w:rsidR="00154638" w:rsidRPr="00DA428E" w:rsidRDefault="00154638" w:rsidP="007666B5">
            <w:pPr>
              <w:jc w:val="right"/>
              <w:rPr>
                <w:rFonts w:ascii="Arial" w:hAnsi="Arial" w:cs="Arial"/>
              </w:rPr>
            </w:pPr>
            <w:r w:rsidRPr="00DA428E">
              <w:rPr>
                <w:rFonts w:ascii="Arial" w:hAnsi="Arial" w:cs="Arial"/>
                <w:b/>
                <w:sz w:val="40"/>
                <w:szCs w:val="40"/>
              </w:rPr>
              <w:t>E</w:t>
            </w:r>
          </w:p>
        </w:tc>
      </w:tr>
      <w:tr w:rsidR="00154638" w:rsidRPr="001832A6" w:rsidTr="007666B5">
        <w:trPr>
          <w:trHeight w:hRule="exact" w:val="340"/>
        </w:trPr>
        <w:tc>
          <w:tcPr>
            <w:tcW w:w="9356" w:type="dxa"/>
            <w:gridSpan w:val="3"/>
            <w:tcBorders>
              <w:top w:val="single" w:sz="4" w:space="0" w:color="auto"/>
            </w:tcBorders>
            <w:tcMar>
              <w:top w:w="170" w:type="dxa"/>
              <w:left w:w="0" w:type="dxa"/>
              <w:right w:w="0" w:type="dxa"/>
            </w:tcMar>
            <w:vAlign w:val="bottom"/>
          </w:tcPr>
          <w:p w:rsidR="00154638" w:rsidRPr="0090731E" w:rsidRDefault="00154638" w:rsidP="007666B5">
            <w:pPr>
              <w:jc w:val="right"/>
              <w:rPr>
                <w:rFonts w:ascii="Arial Black" w:hAnsi="Arial Black"/>
                <w:caps/>
                <w:sz w:val="15"/>
              </w:rPr>
            </w:pPr>
            <w:r w:rsidRPr="00DB1F46">
              <w:rPr>
                <w:rFonts w:ascii="Arial Black" w:hAnsi="Arial Black"/>
                <w:caps/>
                <w:sz w:val="15"/>
              </w:rPr>
              <w:t>WO/PBC/21</w:t>
            </w:r>
            <w:r>
              <w:rPr>
                <w:rFonts w:ascii="Arial Black" w:hAnsi="Arial Black"/>
                <w:caps/>
                <w:sz w:val="15"/>
              </w:rPr>
              <w:t>/</w:t>
            </w:r>
            <w:bookmarkStart w:id="2" w:name="Code"/>
            <w:bookmarkEnd w:id="2"/>
            <w:r>
              <w:rPr>
                <w:rFonts w:ascii="Arial Black" w:hAnsi="Arial Black"/>
                <w:caps/>
                <w:sz w:val="15"/>
              </w:rPr>
              <w:t xml:space="preserve">4 </w:t>
            </w:r>
            <w:r w:rsidRPr="0090731E">
              <w:rPr>
                <w:rFonts w:ascii="Arial Black" w:hAnsi="Arial Black"/>
                <w:caps/>
                <w:sz w:val="15"/>
              </w:rPr>
              <w:t xml:space="preserve">   </w:t>
            </w:r>
          </w:p>
        </w:tc>
      </w:tr>
      <w:tr w:rsidR="00154638" w:rsidRPr="001832A6" w:rsidTr="007666B5">
        <w:trPr>
          <w:trHeight w:hRule="exact" w:val="170"/>
        </w:trPr>
        <w:tc>
          <w:tcPr>
            <w:tcW w:w="9356" w:type="dxa"/>
            <w:gridSpan w:val="3"/>
            <w:noWrap/>
            <w:tcMar>
              <w:left w:w="0" w:type="dxa"/>
              <w:right w:w="0" w:type="dxa"/>
            </w:tcMar>
            <w:vAlign w:val="bottom"/>
          </w:tcPr>
          <w:p w:rsidR="00154638" w:rsidRPr="0090731E" w:rsidRDefault="00154638" w:rsidP="007666B5">
            <w:pPr>
              <w:jc w:val="right"/>
              <w:rPr>
                <w:rFonts w:ascii="Arial Black" w:hAnsi="Arial Black"/>
                <w:caps/>
                <w:sz w:val="15"/>
              </w:rPr>
            </w:pPr>
            <w:r w:rsidRPr="0090731E">
              <w:rPr>
                <w:rFonts w:ascii="Arial Black" w:hAnsi="Arial Black"/>
                <w:caps/>
                <w:sz w:val="15"/>
              </w:rPr>
              <w:t>ORIGINAL:</w:t>
            </w:r>
            <w:r>
              <w:rPr>
                <w:rFonts w:ascii="Arial Black" w:hAnsi="Arial Black"/>
                <w:caps/>
                <w:sz w:val="15"/>
              </w:rPr>
              <w:t xml:space="preserve"> </w:t>
            </w:r>
            <w:r w:rsidRPr="0090731E">
              <w:rPr>
                <w:rFonts w:ascii="Arial Black" w:hAnsi="Arial Black"/>
                <w:caps/>
                <w:sz w:val="15"/>
              </w:rPr>
              <w:t xml:space="preserve"> </w:t>
            </w:r>
            <w:bookmarkStart w:id="3" w:name="Original"/>
            <w:bookmarkEnd w:id="3"/>
            <w:r>
              <w:rPr>
                <w:rFonts w:ascii="Arial Black" w:hAnsi="Arial Black"/>
                <w:caps/>
                <w:sz w:val="15"/>
              </w:rPr>
              <w:t>ENGLISH</w:t>
            </w:r>
          </w:p>
        </w:tc>
      </w:tr>
      <w:tr w:rsidR="00154638" w:rsidRPr="001832A6" w:rsidTr="007666B5">
        <w:trPr>
          <w:trHeight w:hRule="exact" w:val="198"/>
        </w:trPr>
        <w:tc>
          <w:tcPr>
            <w:tcW w:w="9356" w:type="dxa"/>
            <w:gridSpan w:val="3"/>
            <w:tcMar>
              <w:left w:w="0" w:type="dxa"/>
              <w:right w:w="0" w:type="dxa"/>
            </w:tcMar>
            <w:vAlign w:val="bottom"/>
          </w:tcPr>
          <w:p w:rsidR="00154638" w:rsidRPr="0090731E" w:rsidRDefault="00154638" w:rsidP="007666B5">
            <w:pPr>
              <w:jc w:val="right"/>
              <w:rPr>
                <w:rFonts w:ascii="Arial Black" w:hAnsi="Arial Black"/>
                <w:caps/>
                <w:sz w:val="15"/>
              </w:rPr>
            </w:pPr>
            <w:r w:rsidRPr="0090731E">
              <w:rPr>
                <w:rFonts w:ascii="Arial Black" w:hAnsi="Arial Black"/>
                <w:caps/>
                <w:sz w:val="15"/>
              </w:rPr>
              <w:t>DATE:</w:t>
            </w:r>
            <w:r w:rsidR="006B19CD">
              <w:rPr>
                <w:rFonts w:ascii="Arial Black" w:hAnsi="Arial Black"/>
                <w:caps/>
                <w:sz w:val="15"/>
              </w:rPr>
              <w:t xml:space="preserve">  july 15</w:t>
            </w:r>
            <w:r w:rsidR="00AD7D0B">
              <w:rPr>
                <w:rFonts w:ascii="Arial Black" w:hAnsi="Arial Black"/>
                <w:caps/>
                <w:sz w:val="15"/>
              </w:rPr>
              <w:t>, 2013</w:t>
            </w:r>
            <w:r>
              <w:rPr>
                <w:rFonts w:ascii="Arial Black" w:hAnsi="Arial Black"/>
                <w:caps/>
                <w:sz w:val="15"/>
              </w:rPr>
              <w:t xml:space="preserve"> </w:t>
            </w:r>
            <w:r w:rsidRPr="0090731E">
              <w:rPr>
                <w:rFonts w:ascii="Arial Black" w:hAnsi="Arial Black"/>
                <w:caps/>
                <w:sz w:val="15"/>
              </w:rPr>
              <w:t xml:space="preserve"> </w:t>
            </w:r>
            <w:bookmarkStart w:id="4" w:name="Date"/>
            <w:bookmarkEnd w:id="4"/>
          </w:p>
        </w:tc>
      </w:tr>
    </w:tbl>
    <w:p w:rsidR="00154638" w:rsidRPr="006428D6" w:rsidRDefault="00154638" w:rsidP="00154638">
      <w:pPr>
        <w:rPr>
          <w:rFonts w:ascii="Arial" w:hAnsi="Arial" w:cs="Arial"/>
        </w:rPr>
      </w:pPr>
    </w:p>
    <w:p w:rsidR="00154638" w:rsidRPr="006428D6" w:rsidRDefault="00154638" w:rsidP="00154638">
      <w:pPr>
        <w:rPr>
          <w:rFonts w:ascii="Arial" w:hAnsi="Arial" w:cs="Arial"/>
        </w:rPr>
      </w:pPr>
    </w:p>
    <w:p w:rsidR="00154638" w:rsidRPr="006428D6" w:rsidRDefault="00154638" w:rsidP="00154638">
      <w:pPr>
        <w:rPr>
          <w:rFonts w:ascii="Arial" w:hAnsi="Arial" w:cs="Arial"/>
        </w:rPr>
      </w:pPr>
    </w:p>
    <w:p w:rsidR="00154638" w:rsidRPr="006428D6" w:rsidRDefault="00154638" w:rsidP="00154638">
      <w:pPr>
        <w:rPr>
          <w:rFonts w:ascii="Arial" w:hAnsi="Arial" w:cs="Arial"/>
        </w:rPr>
      </w:pPr>
    </w:p>
    <w:p w:rsidR="00154638" w:rsidRPr="006428D6" w:rsidRDefault="00154638" w:rsidP="00154638">
      <w:pPr>
        <w:rPr>
          <w:rFonts w:ascii="Arial" w:hAnsi="Arial" w:cs="Arial"/>
        </w:rPr>
      </w:pPr>
    </w:p>
    <w:p w:rsidR="00154638" w:rsidRPr="00C851D1" w:rsidRDefault="00154638" w:rsidP="00154638">
      <w:pPr>
        <w:rPr>
          <w:rFonts w:ascii="Arial" w:hAnsi="Arial" w:cs="Arial"/>
          <w:b/>
          <w:sz w:val="28"/>
          <w:szCs w:val="28"/>
        </w:rPr>
      </w:pPr>
      <w:r w:rsidRPr="00C851D1">
        <w:rPr>
          <w:rFonts w:ascii="Arial" w:hAnsi="Arial" w:cs="Arial"/>
          <w:b/>
          <w:sz w:val="28"/>
          <w:szCs w:val="28"/>
        </w:rPr>
        <w:t>Program and Budget Committee</w:t>
      </w:r>
    </w:p>
    <w:p w:rsidR="00154638" w:rsidRPr="00C851D1" w:rsidRDefault="00154638" w:rsidP="00154638">
      <w:pPr>
        <w:rPr>
          <w:rFonts w:ascii="Arial" w:hAnsi="Arial" w:cs="Arial"/>
        </w:rPr>
      </w:pPr>
    </w:p>
    <w:p w:rsidR="00154638" w:rsidRPr="00C851D1" w:rsidRDefault="00154638" w:rsidP="00154638">
      <w:pPr>
        <w:rPr>
          <w:rFonts w:ascii="Arial" w:hAnsi="Arial" w:cs="Arial"/>
        </w:rPr>
      </w:pPr>
    </w:p>
    <w:p w:rsidR="00154638" w:rsidRPr="00C851D1" w:rsidRDefault="00154638" w:rsidP="00154638">
      <w:pPr>
        <w:rPr>
          <w:rFonts w:ascii="Arial" w:hAnsi="Arial" w:cs="Arial"/>
          <w:b/>
        </w:rPr>
      </w:pPr>
      <w:r w:rsidRPr="00C851D1">
        <w:rPr>
          <w:rFonts w:ascii="Arial" w:hAnsi="Arial" w:cs="Arial"/>
          <w:b/>
        </w:rPr>
        <w:t xml:space="preserve">Twenty-First </w:t>
      </w:r>
      <w:proofErr w:type="gramStart"/>
      <w:r w:rsidRPr="00C851D1">
        <w:rPr>
          <w:rFonts w:ascii="Arial" w:hAnsi="Arial" w:cs="Arial"/>
          <w:b/>
        </w:rPr>
        <w:t>Session</w:t>
      </w:r>
      <w:proofErr w:type="gramEnd"/>
    </w:p>
    <w:p w:rsidR="00154638" w:rsidRPr="00C851D1" w:rsidRDefault="00154638" w:rsidP="00154638">
      <w:pPr>
        <w:rPr>
          <w:rFonts w:ascii="Arial" w:hAnsi="Arial" w:cs="Arial"/>
          <w:b/>
        </w:rPr>
      </w:pPr>
      <w:r w:rsidRPr="00C851D1">
        <w:rPr>
          <w:rFonts w:ascii="Arial" w:hAnsi="Arial" w:cs="Arial"/>
          <w:b/>
        </w:rPr>
        <w:t>Geneva, September 9 to 13, 2013</w:t>
      </w:r>
    </w:p>
    <w:p w:rsidR="00154638" w:rsidRPr="00C851D1" w:rsidRDefault="00154638" w:rsidP="00154638">
      <w:pPr>
        <w:rPr>
          <w:rFonts w:ascii="Arial" w:hAnsi="Arial" w:cs="Arial"/>
        </w:rPr>
      </w:pPr>
    </w:p>
    <w:p w:rsidR="00154638" w:rsidRPr="00C851D1" w:rsidRDefault="00154638" w:rsidP="00154638">
      <w:pPr>
        <w:rPr>
          <w:rFonts w:ascii="Arial" w:hAnsi="Arial" w:cs="Arial"/>
        </w:rPr>
      </w:pPr>
    </w:p>
    <w:p w:rsidR="00154638" w:rsidRPr="00C851D1" w:rsidRDefault="00154638" w:rsidP="00154638">
      <w:pPr>
        <w:rPr>
          <w:rFonts w:ascii="Arial" w:hAnsi="Arial" w:cs="Arial"/>
        </w:rPr>
      </w:pPr>
    </w:p>
    <w:p w:rsidR="00154638" w:rsidRPr="00C851D1" w:rsidRDefault="00154638" w:rsidP="00154638">
      <w:pPr>
        <w:rPr>
          <w:rFonts w:ascii="Arial" w:hAnsi="Arial" w:cs="Arial"/>
          <w:caps/>
        </w:rPr>
      </w:pPr>
      <w:bookmarkStart w:id="5" w:name="TitleOfDoc"/>
      <w:bookmarkEnd w:id="5"/>
      <w:r w:rsidRPr="00C851D1">
        <w:rPr>
          <w:rFonts w:ascii="Arial" w:hAnsi="Arial" w:cs="Arial"/>
          <w:caps/>
        </w:rPr>
        <w:t>Annual Financial Report and Financial Statements 2012</w:t>
      </w:r>
    </w:p>
    <w:p w:rsidR="00154638" w:rsidRPr="00C851D1" w:rsidRDefault="00154638" w:rsidP="00154638">
      <w:pPr>
        <w:rPr>
          <w:rFonts w:ascii="Arial" w:hAnsi="Arial" w:cs="Arial"/>
        </w:rPr>
      </w:pPr>
    </w:p>
    <w:p w:rsidR="00154638" w:rsidRPr="006428D6" w:rsidRDefault="006428D6" w:rsidP="00154638">
      <w:pPr>
        <w:rPr>
          <w:rFonts w:ascii="Arial" w:hAnsi="Arial" w:cs="Arial"/>
          <w:i/>
          <w:sz w:val="22"/>
          <w:szCs w:val="22"/>
        </w:rPr>
      </w:pPr>
      <w:bookmarkStart w:id="6" w:name="Prepared"/>
      <w:bookmarkEnd w:id="6"/>
      <w:proofErr w:type="gramStart"/>
      <w:r w:rsidRPr="006428D6">
        <w:rPr>
          <w:rFonts w:ascii="Arial" w:hAnsi="Arial" w:cs="Arial"/>
          <w:i/>
          <w:sz w:val="22"/>
          <w:szCs w:val="22"/>
        </w:rPr>
        <w:t>p</w:t>
      </w:r>
      <w:r w:rsidR="00154638" w:rsidRPr="006428D6">
        <w:rPr>
          <w:rFonts w:ascii="Arial" w:hAnsi="Arial" w:cs="Arial"/>
          <w:i/>
          <w:sz w:val="22"/>
          <w:szCs w:val="22"/>
        </w:rPr>
        <w:t>repared</w:t>
      </w:r>
      <w:proofErr w:type="gramEnd"/>
      <w:r w:rsidR="00154638" w:rsidRPr="006428D6">
        <w:rPr>
          <w:rFonts w:ascii="Arial" w:hAnsi="Arial" w:cs="Arial"/>
          <w:i/>
          <w:sz w:val="22"/>
          <w:szCs w:val="22"/>
        </w:rPr>
        <w:t xml:space="preserve"> by the Secretariat</w:t>
      </w:r>
    </w:p>
    <w:p w:rsidR="00154638" w:rsidRDefault="00154638" w:rsidP="00154638">
      <w:pPr>
        <w:rPr>
          <w:rFonts w:ascii="Arial" w:hAnsi="Arial" w:cs="Arial"/>
        </w:rPr>
      </w:pPr>
    </w:p>
    <w:p w:rsidR="00AC66E1" w:rsidRDefault="00AC66E1" w:rsidP="00AC66E1">
      <w:pPr>
        <w:pStyle w:val="ONUME"/>
      </w:pPr>
      <w:r>
        <w:t xml:space="preserve">The Financial Statements of the World Intellectual Property Organization (WIPO) for the year ended December 31, 2012 are transmitted to the Program and Budget Committee (PBC) in accordance with </w:t>
      </w:r>
      <w:r w:rsidRPr="00476695">
        <w:t>Regulation 8.11</w:t>
      </w:r>
      <w:r>
        <w:t xml:space="preserve"> of the Financial Regulations and Rules which requires that </w:t>
      </w:r>
      <w:r>
        <w:rPr>
          <w:sz w:val="23"/>
          <w:szCs w:val="23"/>
        </w:rPr>
        <w:t>the PBC examines the financial statements and the audit reports thereon and forwards them to the General Assembly with comments and recommendations, as appropriate.</w:t>
      </w:r>
    </w:p>
    <w:p w:rsidR="00AC66E1" w:rsidRDefault="00AC66E1" w:rsidP="00AC66E1">
      <w:pPr>
        <w:pStyle w:val="ONUME"/>
      </w:pPr>
      <w:r w:rsidRPr="0017568D">
        <w:t>T</w:t>
      </w:r>
      <w:r>
        <w:rPr>
          <w:szCs w:val="22"/>
        </w:rPr>
        <w:t>he 2012 Financial Statements have been prepared in accordance with the International Public Sector Accounting Standards (IPSAS).  At the forty-third session of the Assemblies from September 24 to October 3, 2007, the Member States agreed in principle to the adoption by WIPO of I</w:t>
      </w:r>
      <w:r w:rsidR="006F7E9D">
        <w:rPr>
          <w:szCs w:val="22"/>
        </w:rPr>
        <w:t>PSAS by 2010 (A/43/5).  The 2012</w:t>
      </w:r>
      <w:r>
        <w:rPr>
          <w:szCs w:val="22"/>
        </w:rPr>
        <w:t xml:space="preserve"> Financial Statements constitute the third set of financial statements to have been prepared in accordance with IPSAS.</w:t>
      </w:r>
    </w:p>
    <w:p w:rsidR="00AC66E1" w:rsidRPr="00866B94" w:rsidRDefault="00AC66E1" w:rsidP="00AC66E1">
      <w:pPr>
        <w:pStyle w:val="ONUME"/>
        <w:rPr>
          <w:szCs w:val="22"/>
        </w:rPr>
      </w:pPr>
      <w:r w:rsidRPr="0017568D">
        <w:t>The</w:t>
      </w:r>
      <w:r>
        <w:rPr>
          <w:szCs w:val="22"/>
        </w:rPr>
        <w:t xml:space="preserve"> report of the External Auditor on the audit of the 2012 Financial Statements, together with his recommendations and the Secretariat’s responses thereto, are contained in document WO/PBC/21/6.</w:t>
      </w:r>
    </w:p>
    <w:p w:rsidR="00AC66E1" w:rsidRPr="007673E3" w:rsidRDefault="00AC66E1" w:rsidP="003370AE">
      <w:pPr>
        <w:tabs>
          <w:tab w:val="left" w:pos="5390"/>
        </w:tabs>
        <w:ind w:left="5670" w:hanging="11"/>
        <w:rPr>
          <w:rFonts w:ascii="Arial" w:hAnsi="Arial" w:cs="Arial"/>
          <w:i/>
          <w:sz w:val="22"/>
          <w:szCs w:val="22"/>
        </w:rPr>
      </w:pPr>
      <w:r w:rsidRPr="007673E3">
        <w:rPr>
          <w:rFonts w:ascii="Arial" w:hAnsi="Arial" w:cs="Arial"/>
          <w:i/>
          <w:sz w:val="22"/>
          <w:szCs w:val="22"/>
        </w:rPr>
        <w:t>4.</w:t>
      </w:r>
      <w:r w:rsidRPr="007673E3">
        <w:rPr>
          <w:rFonts w:ascii="Arial" w:hAnsi="Arial" w:cs="Arial"/>
          <w:i/>
          <w:sz w:val="22"/>
          <w:szCs w:val="22"/>
        </w:rPr>
        <w:tab/>
        <w:t xml:space="preserve">The Program and Budget Committee is </w:t>
      </w:r>
      <w:r w:rsidR="003370AE">
        <w:rPr>
          <w:rFonts w:ascii="Arial" w:hAnsi="Arial" w:cs="Arial"/>
          <w:i/>
          <w:sz w:val="22"/>
          <w:szCs w:val="22"/>
        </w:rPr>
        <w:t>invited to recommend to the</w:t>
      </w:r>
      <w:r w:rsidR="00E4244B">
        <w:rPr>
          <w:rFonts w:ascii="Arial" w:hAnsi="Arial" w:cs="Arial"/>
          <w:i/>
          <w:sz w:val="22"/>
          <w:szCs w:val="22"/>
        </w:rPr>
        <w:t xml:space="preserve"> WIPO General Assembly</w:t>
      </w:r>
      <w:r w:rsidR="003370AE">
        <w:rPr>
          <w:rFonts w:ascii="Arial" w:hAnsi="Arial" w:cs="Arial"/>
          <w:i/>
          <w:sz w:val="22"/>
          <w:szCs w:val="22"/>
        </w:rPr>
        <w:t xml:space="preserve"> </w:t>
      </w:r>
      <w:r w:rsidRPr="007673E3">
        <w:rPr>
          <w:rFonts w:ascii="Arial" w:hAnsi="Arial" w:cs="Arial"/>
          <w:i/>
          <w:sz w:val="22"/>
          <w:szCs w:val="22"/>
        </w:rPr>
        <w:t>the ap</w:t>
      </w:r>
      <w:r>
        <w:rPr>
          <w:rFonts w:ascii="Arial" w:hAnsi="Arial" w:cs="Arial"/>
          <w:i/>
          <w:sz w:val="22"/>
          <w:szCs w:val="22"/>
        </w:rPr>
        <w:t>proval of the 2012</w:t>
      </w:r>
      <w:r w:rsidRPr="007673E3">
        <w:rPr>
          <w:rFonts w:ascii="Arial" w:hAnsi="Arial" w:cs="Arial"/>
          <w:i/>
          <w:sz w:val="22"/>
          <w:szCs w:val="22"/>
        </w:rPr>
        <w:t> Financial Statements contained in this document.</w:t>
      </w:r>
    </w:p>
    <w:p w:rsidR="00AC66E1" w:rsidRPr="007673E3" w:rsidRDefault="00AC66E1" w:rsidP="00AC66E1">
      <w:pPr>
        <w:tabs>
          <w:tab w:val="left" w:pos="5940"/>
        </w:tabs>
        <w:ind w:left="5390"/>
        <w:jc w:val="both"/>
        <w:rPr>
          <w:rFonts w:ascii="Arial" w:hAnsi="Arial" w:cs="Arial"/>
          <w:i/>
          <w:szCs w:val="22"/>
        </w:rPr>
      </w:pPr>
    </w:p>
    <w:p w:rsidR="00AC66E1" w:rsidRPr="007673E3" w:rsidRDefault="00AC66E1" w:rsidP="00AC66E1">
      <w:pPr>
        <w:tabs>
          <w:tab w:val="left" w:pos="5940"/>
        </w:tabs>
        <w:ind w:left="5390"/>
        <w:jc w:val="both"/>
        <w:rPr>
          <w:rFonts w:ascii="Arial" w:hAnsi="Arial" w:cs="Arial"/>
          <w:i/>
          <w:szCs w:val="22"/>
        </w:rPr>
      </w:pPr>
    </w:p>
    <w:p w:rsidR="00AC66E1" w:rsidRPr="002373F7" w:rsidRDefault="00AC66E1" w:rsidP="006F7E9D">
      <w:pPr>
        <w:pStyle w:val="Endofdocument-Annex"/>
        <w:ind w:left="5681" w:hanging="11"/>
      </w:pPr>
      <w:r>
        <w:t>[2012 Financial Statements follow]</w:t>
      </w:r>
    </w:p>
    <w:p w:rsidR="00AC66E1" w:rsidRPr="00C851D1" w:rsidRDefault="00AC66E1" w:rsidP="00154638">
      <w:pPr>
        <w:rPr>
          <w:rFonts w:ascii="Arial" w:hAnsi="Arial" w:cs="Arial"/>
        </w:rPr>
      </w:pPr>
    </w:p>
    <w:p w:rsidR="00154638" w:rsidRDefault="00154638" w:rsidP="00154638">
      <w:pPr>
        <w:sectPr w:rsidR="00154638" w:rsidSect="007666B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567" w:right="1134" w:bottom="1418" w:left="1418" w:header="510" w:footer="1021" w:gutter="0"/>
          <w:cols w:space="720"/>
          <w:docGrid w:linePitch="299"/>
        </w:sectPr>
      </w:pPr>
    </w:p>
    <w:p w:rsidR="00154638" w:rsidRDefault="00154638" w:rsidP="00154638"/>
    <w:p w:rsidR="005670A3" w:rsidRPr="008B2CC1" w:rsidRDefault="005670A3" w:rsidP="005670A3"/>
    <w:p w:rsidR="005670A3" w:rsidRPr="008B2CC1" w:rsidRDefault="005670A3" w:rsidP="005670A3"/>
    <w:p w:rsidR="00D256FA" w:rsidRDefault="00D256FA"/>
    <w:p w:rsidR="00CA655B" w:rsidRDefault="00CA655B" w:rsidP="00D256FA"/>
    <w:p w:rsidR="00CA655B" w:rsidRDefault="00CA655B" w:rsidP="00D256FA"/>
    <w:p w:rsidR="00CA655B" w:rsidRDefault="00CA655B" w:rsidP="00D256FA"/>
    <w:p w:rsidR="00CA655B" w:rsidRDefault="00CA655B" w:rsidP="00DD7624">
      <w:pPr>
        <w:pStyle w:val="StyleHeading1"/>
        <w:rPr>
          <w:sz w:val="28"/>
          <w:szCs w:val="28"/>
          <w:lang w:val="en-US"/>
        </w:rPr>
      </w:pPr>
    </w:p>
    <w:p w:rsidR="00D245E9" w:rsidRPr="00CA655B" w:rsidRDefault="00D245E9" w:rsidP="00DD7624">
      <w:pPr>
        <w:pStyle w:val="StyleHeading1"/>
        <w:rPr>
          <w:sz w:val="28"/>
          <w:szCs w:val="28"/>
          <w:lang w:val="en-US"/>
        </w:rPr>
      </w:pPr>
      <w:r w:rsidRPr="00CA655B">
        <w:rPr>
          <w:sz w:val="28"/>
          <w:szCs w:val="28"/>
          <w:lang w:val="en-US"/>
        </w:rPr>
        <w:t>World Intellectual Property Organization</w:t>
      </w:r>
      <w:bookmarkEnd w:id="0"/>
    </w:p>
    <w:p w:rsidR="00D245E9" w:rsidRPr="00E87EAD" w:rsidRDefault="00D245E9" w:rsidP="007C6D77">
      <w:pPr>
        <w:tabs>
          <w:tab w:val="left" w:pos="0"/>
        </w:tabs>
        <w:jc w:val="center"/>
        <w:rPr>
          <w:rFonts w:ascii="Arial" w:hAnsi="Arial" w:cs="Arial"/>
          <w:lang w:val="en-GB"/>
        </w:rPr>
      </w:pPr>
    </w:p>
    <w:p w:rsidR="00D245E9" w:rsidRPr="00E87EAD" w:rsidRDefault="00D245E9" w:rsidP="007C6D77">
      <w:pPr>
        <w:tabs>
          <w:tab w:val="left" w:pos="0"/>
        </w:tabs>
        <w:jc w:val="center"/>
        <w:rPr>
          <w:rFonts w:ascii="Arial" w:hAnsi="Arial" w:cs="Arial"/>
          <w:lang w:val="en-GB"/>
        </w:rPr>
      </w:pPr>
    </w:p>
    <w:p w:rsidR="00D245E9" w:rsidRPr="00E87EAD" w:rsidRDefault="00866AA9" w:rsidP="007C6D77">
      <w:pPr>
        <w:tabs>
          <w:tab w:val="left" w:pos="0"/>
        </w:tabs>
        <w:jc w:val="center"/>
        <w:rPr>
          <w:rFonts w:ascii="Arial" w:hAnsi="Arial" w:cs="Arial"/>
          <w:lang w:val="en-GB"/>
        </w:rPr>
      </w:pPr>
      <w:r>
        <w:rPr>
          <w:rFonts w:ascii="Arial" w:hAnsi="Arial" w:cs="Arial"/>
          <w:lang w:val="en-GB"/>
        </w:rPr>
        <w:t>Annual Financial Report and Financial Statements</w:t>
      </w:r>
    </w:p>
    <w:p w:rsidR="00D245E9" w:rsidRPr="00E87EAD" w:rsidRDefault="00D245E9" w:rsidP="007C6D77">
      <w:pPr>
        <w:tabs>
          <w:tab w:val="left" w:pos="0"/>
        </w:tabs>
        <w:jc w:val="center"/>
        <w:rPr>
          <w:rFonts w:ascii="Arial" w:hAnsi="Arial" w:cs="Arial"/>
          <w:lang w:val="en-GB"/>
        </w:rPr>
      </w:pPr>
    </w:p>
    <w:p w:rsidR="000C6F21" w:rsidRDefault="00D245E9" w:rsidP="007C6D77">
      <w:pPr>
        <w:tabs>
          <w:tab w:val="left" w:pos="0"/>
        </w:tabs>
        <w:jc w:val="center"/>
        <w:rPr>
          <w:rFonts w:ascii="Arial" w:hAnsi="Arial" w:cs="Arial"/>
          <w:lang w:val="en-GB"/>
        </w:rPr>
      </w:pPr>
      <w:r>
        <w:rPr>
          <w:rFonts w:ascii="Arial" w:hAnsi="Arial" w:cs="Arial"/>
          <w:lang w:val="en-GB"/>
        </w:rPr>
        <w:t>Year to December 31, 201</w:t>
      </w:r>
      <w:r w:rsidR="00D52E2A">
        <w:rPr>
          <w:rFonts w:ascii="Arial" w:hAnsi="Arial" w:cs="Arial"/>
          <w:lang w:val="en-GB"/>
        </w:rPr>
        <w:t>2</w:t>
      </w:r>
    </w:p>
    <w:p w:rsidR="0039791C" w:rsidRDefault="0039791C" w:rsidP="007C6D77">
      <w:pPr>
        <w:tabs>
          <w:tab w:val="left" w:pos="0"/>
        </w:tabs>
        <w:jc w:val="center"/>
        <w:rPr>
          <w:rFonts w:ascii="Arial" w:hAnsi="Arial" w:cs="Arial"/>
          <w:lang w:val="en-GB"/>
        </w:rPr>
      </w:pPr>
    </w:p>
    <w:p w:rsidR="0039791C" w:rsidRDefault="0039791C" w:rsidP="007C6D77">
      <w:pPr>
        <w:tabs>
          <w:tab w:val="left" w:pos="0"/>
        </w:tabs>
        <w:jc w:val="center"/>
        <w:rPr>
          <w:rFonts w:ascii="Arial" w:hAnsi="Arial" w:cs="Arial"/>
          <w:lang w:val="en-GB"/>
        </w:rPr>
      </w:pPr>
    </w:p>
    <w:p w:rsidR="0039791C" w:rsidRDefault="0039791C" w:rsidP="007C6D77">
      <w:pPr>
        <w:tabs>
          <w:tab w:val="left" w:pos="0"/>
        </w:tabs>
        <w:jc w:val="center"/>
        <w:rPr>
          <w:rFonts w:ascii="Arial" w:hAnsi="Arial" w:cs="Arial"/>
          <w:lang w:val="en-GB"/>
        </w:rPr>
      </w:pPr>
    </w:p>
    <w:p w:rsidR="0039791C" w:rsidRDefault="0039791C" w:rsidP="007C6D77">
      <w:pPr>
        <w:tabs>
          <w:tab w:val="left" w:pos="0"/>
        </w:tabs>
        <w:jc w:val="center"/>
        <w:rPr>
          <w:rFonts w:ascii="Arial" w:hAnsi="Arial" w:cs="Arial"/>
          <w:lang w:val="en-GB"/>
        </w:rPr>
      </w:pPr>
    </w:p>
    <w:p w:rsidR="000C6F21" w:rsidRDefault="000C6F21" w:rsidP="007C6D77">
      <w:pPr>
        <w:tabs>
          <w:tab w:val="left" w:pos="0"/>
        </w:tabs>
        <w:jc w:val="center"/>
        <w:rPr>
          <w:rFonts w:ascii="Arial" w:hAnsi="Arial" w:cs="Arial"/>
          <w:lang w:val="en-GB"/>
        </w:rPr>
      </w:pPr>
    </w:p>
    <w:p w:rsidR="000C6F21" w:rsidRDefault="000C6F21" w:rsidP="007C6D77">
      <w:pPr>
        <w:tabs>
          <w:tab w:val="left" w:pos="0"/>
        </w:tabs>
        <w:jc w:val="center"/>
        <w:rPr>
          <w:rFonts w:ascii="Arial" w:hAnsi="Arial" w:cs="Arial"/>
          <w:lang w:val="en-GB"/>
        </w:rPr>
      </w:pPr>
    </w:p>
    <w:p w:rsidR="000C6F21" w:rsidRDefault="000C6F21" w:rsidP="007C6D77">
      <w:pPr>
        <w:tabs>
          <w:tab w:val="left" w:pos="0"/>
        </w:tabs>
        <w:jc w:val="center"/>
        <w:rPr>
          <w:rFonts w:ascii="Arial" w:hAnsi="Arial" w:cs="Arial"/>
          <w:lang w:val="en-GB"/>
        </w:rPr>
      </w:pPr>
    </w:p>
    <w:p w:rsidR="000C6F21" w:rsidRDefault="000C6F21" w:rsidP="007C6D77">
      <w:pPr>
        <w:tabs>
          <w:tab w:val="left" w:pos="0"/>
        </w:tabs>
        <w:jc w:val="center"/>
        <w:rPr>
          <w:rFonts w:ascii="Arial" w:hAnsi="Arial" w:cs="Arial"/>
          <w:lang w:val="en-GB"/>
        </w:rPr>
      </w:pPr>
    </w:p>
    <w:p w:rsidR="000C6F21" w:rsidRDefault="000C6F21" w:rsidP="007C6D77">
      <w:pPr>
        <w:tabs>
          <w:tab w:val="left" w:pos="0"/>
        </w:tabs>
        <w:jc w:val="center"/>
        <w:rPr>
          <w:rFonts w:ascii="Arial" w:hAnsi="Arial" w:cs="Arial"/>
          <w:lang w:val="en-GB"/>
        </w:rPr>
      </w:pPr>
    </w:p>
    <w:p w:rsidR="00D245E9" w:rsidRDefault="00D245E9" w:rsidP="007C6D77">
      <w:pPr>
        <w:tabs>
          <w:tab w:val="left" w:pos="0"/>
        </w:tabs>
        <w:jc w:val="center"/>
        <w:rPr>
          <w:rFonts w:ascii="Arial" w:hAnsi="Arial" w:cs="Arial"/>
          <w:lang w:val="en-GB"/>
        </w:rPr>
      </w:pPr>
    </w:p>
    <w:p w:rsidR="00D245E9" w:rsidRDefault="00D245E9" w:rsidP="007C6D77">
      <w:pPr>
        <w:tabs>
          <w:tab w:val="left" w:pos="0"/>
        </w:tabs>
        <w:jc w:val="center"/>
        <w:rPr>
          <w:rFonts w:ascii="Arial" w:hAnsi="Arial" w:cs="Arial"/>
          <w:lang w:val="en-GB"/>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65501F" w:rsidRDefault="0065501F" w:rsidP="007C6D77">
      <w:pPr>
        <w:jc w:val="both"/>
        <w:rPr>
          <w:rFonts w:ascii="Arial Narrow" w:hAnsi="Arial Narrow"/>
          <w:sz w:val="18"/>
          <w:szCs w:val="18"/>
        </w:rPr>
      </w:pPr>
    </w:p>
    <w:p w:rsidR="00D245E9" w:rsidRDefault="00D245E9" w:rsidP="007C6D77">
      <w:pPr>
        <w:jc w:val="both"/>
        <w:rPr>
          <w:rFonts w:ascii="Arial Narrow" w:hAnsi="Arial Narrow"/>
          <w:sz w:val="18"/>
          <w:szCs w:val="18"/>
        </w:rPr>
      </w:pPr>
    </w:p>
    <w:p w:rsidR="00D245E9" w:rsidRDefault="00D245E9" w:rsidP="007C6D77">
      <w:pPr>
        <w:jc w:val="both"/>
        <w:rPr>
          <w:rFonts w:ascii="Arial Narrow" w:hAnsi="Arial Narrow"/>
          <w:sz w:val="18"/>
          <w:szCs w:val="18"/>
        </w:rPr>
      </w:pPr>
    </w:p>
    <w:p w:rsidR="0065501F" w:rsidRDefault="0065501F" w:rsidP="007C6D77">
      <w:pPr>
        <w:jc w:val="both"/>
        <w:rPr>
          <w:rFonts w:ascii="Arial Narrow" w:hAnsi="Arial Narrow"/>
          <w:sz w:val="18"/>
          <w:szCs w:val="18"/>
        </w:rPr>
        <w:sectPr w:rsidR="0065501F" w:rsidSect="007901FC">
          <w:headerReference w:type="even" r:id="rId15"/>
          <w:headerReference w:type="first" r:id="rId16"/>
          <w:pgSz w:w="11907" w:h="16840" w:code="9"/>
          <w:pgMar w:top="851" w:right="1247" w:bottom="1191" w:left="1247" w:header="709" w:footer="709" w:gutter="0"/>
          <w:cols w:space="708"/>
          <w:docGrid w:linePitch="360"/>
        </w:sectPr>
      </w:pPr>
    </w:p>
    <w:p w:rsidR="00D245E9" w:rsidRDefault="00D245E9" w:rsidP="007C469E">
      <w:pPr>
        <w:ind w:firstLine="540"/>
        <w:jc w:val="both"/>
        <w:rPr>
          <w:rFonts w:ascii="Arial Narrow" w:hAnsi="Arial Narrow"/>
          <w:sz w:val="18"/>
          <w:szCs w:val="18"/>
        </w:rPr>
      </w:pPr>
    </w:p>
    <w:p w:rsidR="008F3CD9" w:rsidRPr="00A320B0" w:rsidRDefault="007C469E" w:rsidP="00901633">
      <w:pPr>
        <w:jc w:val="center"/>
        <w:rPr>
          <w:rFonts w:ascii="Arial" w:hAnsi="Arial" w:cs="Arial"/>
          <w:b/>
          <w:sz w:val="22"/>
          <w:szCs w:val="22"/>
        </w:rPr>
      </w:pPr>
      <w:r w:rsidRPr="00A320B0">
        <w:rPr>
          <w:rFonts w:ascii="Arial" w:hAnsi="Arial" w:cs="Arial"/>
          <w:b/>
          <w:sz w:val="22"/>
          <w:szCs w:val="22"/>
        </w:rPr>
        <w:t>TABLE OF CONTENTS</w:t>
      </w:r>
    </w:p>
    <w:p w:rsidR="008F3CD9" w:rsidRDefault="008F3CD9" w:rsidP="0090163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68"/>
        <w:gridCol w:w="1061"/>
      </w:tblGrid>
      <w:tr w:rsidR="005850EF" w:rsidTr="00060024">
        <w:tc>
          <w:tcPr>
            <w:tcW w:w="8568" w:type="dxa"/>
            <w:shd w:val="clear" w:color="auto" w:fill="auto"/>
          </w:tcPr>
          <w:p w:rsidR="005850EF" w:rsidRPr="00060024" w:rsidRDefault="005850EF" w:rsidP="008F3CD9">
            <w:pPr>
              <w:rPr>
                <w:rFonts w:ascii="Arial" w:hAnsi="Arial" w:cs="Arial"/>
                <w:sz w:val="22"/>
                <w:szCs w:val="22"/>
              </w:rPr>
            </w:pPr>
          </w:p>
        </w:tc>
        <w:tc>
          <w:tcPr>
            <w:tcW w:w="1061" w:type="dxa"/>
            <w:shd w:val="clear" w:color="auto" w:fill="auto"/>
          </w:tcPr>
          <w:p w:rsidR="005850EF" w:rsidRPr="00060024" w:rsidRDefault="005850EF" w:rsidP="00060024">
            <w:pPr>
              <w:jc w:val="center"/>
              <w:rPr>
                <w:rFonts w:ascii="Arial" w:hAnsi="Arial" w:cs="Arial"/>
                <w:b/>
                <w:sz w:val="22"/>
                <w:szCs w:val="22"/>
              </w:rPr>
            </w:pPr>
            <w:r w:rsidRPr="00060024">
              <w:rPr>
                <w:rFonts w:ascii="Arial" w:hAnsi="Arial" w:cs="Arial"/>
                <w:b/>
                <w:sz w:val="22"/>
                <w:szCs w:val="22"/>
              </w:rPr>
              <w:t>Page Number</w:t>
            </w:r>
          </w:p>
        </w:tc>
      </w:tr>
      <w:tr w:rsidR="00866AA9" w:rsidTr="00060024">
        <w:tc>
          <w:tcPr>
            <w:tcW w:w="8568" w:type="dxa"/>
            <w:shd w:val="clear" w:color="auto" w:fill="auto"/>
          </w:tcPr>
          <w:p w:rsidR="00866AA9" w:rsidRPr="00060024" w:rsidRDefault="00CC185E" w:rsidP="008F3CD9">
            <w:pPr>
              <w:rPr>
                <w:rFonts w:ascii="Arial" w:hAnsi="Arial" w:cs="Arial"/>
                <w:b/>
                <w:sz w:val="22"/>
                <w:szCs w:val="22"/>
              </w:rPr>
            </w:pPr>
            <w:r w:rsidRPr="00060024">
              <w:rPr>
                <w:rFonts w:ascii="Arial" w:hAnsi="Arial" w:cs="Arial"/>
                <w:b/>
                <w:sz w:val="22"/>
                <w:szCs w:val="22"/>
              </w:rPr>
              <w:t xml:space="preserve">ANNUAL </w:t>
            </w:r>
            <w:r w:rsidR="00866AA9" w:rsidRPr="00060024">
              <w:rPr>
                <w:rFonts w:ascii="Arial" w:hAnsi="Arial" w:cs="Arial"/>
                <w:b/>
                <w:sz w:val="22"/>
                <w:szCs w:val="22"/>
              </w:rPr>
              <w:t>FINANCIAL REPORT</w:t>
            </w:r>
          </w:p>
        </w:tc>
        <w:tc>
          <w:tcPr>
            <w:tcW w:w="1061" w:type="dxa"/>
            <w:shd w:val="clear" w:color="auto" w:fill="auto"/>
          </w:tcPr>
          <w:p w:rsidR="00866AA9" w:rsidRPr="00060024" w:rsidRDefault="00866AA9" w:rsidP="00060024">
            <w:pPr>
              <w:jc w:val="right"/>
              <w:rPr>
                <w:rFonts w:ascii="Arial" w:hAnsi="Arial" w:cs="Arial"/>
                <w:sz w:val="22"/>
                <w:szCs w:val="22"/>
              </w:rPr>
            </w:pPr>
          </w:p>
        </w:tc>
      </w:tr>
      <w:tr w:rsidR="005850EF" w:rsidTr="00060024">
        <w:tc>
          <w:tcPr>
            <w:tcW w:w="8568" w:type="dxa"/>
            <w:shd w:val="clear" w:color="auto" w:fill="auto"/>
          </w:tcPr>
          <w:p w:rsidR="005850EF" w:rsidRPr="00060024" w:rsidRDefault="005850EF" w:rsidP="008F3CD9">
            <w:pPr>
              <w:rPr>
                <w:rFonts w:ascii="Arial" w:hAnsi="Arial" w:cs="Arial"/>
                <w:sz w:val="22"/>
                <w:szCs w:val="22"/>
              </w:rPr>
            </w:pPr>
            <w:r w:rsidRPr="00060024">
              <w:rPr>
                <w:rFonts w:ascii="Arial" w:hAnsi="Arial" w:cs="Arial"/>
                <w:sz w:val="22"/>
                <w:szCs w:val="22"/>
              </w:rPr>
              <w:t>INTRODUCTION</w:t>
            </w:r>
          </w:p>
        </w:tc>
        <w:tc>
          <w:tcPr>
            <w:tcW w:w="1061" w:type="dxa"/>
            <w:shd w:val="clear" w:color="auto" w:fill="auto"/>
          </w:tcPr>
          <w:p w:rsidR="005850EF" w:rsidRPr="00060024" w:rsidRDefault="005B2622" w:rsidP="00060024">
            <w:pPr>
              <w:jc w:val="right"/>
              <w:rPr>
                <w:rFonts w:ascii="Arial" w:hAnsi="Arial" w:cs="Arial"/>
                <w:sz w:val="22"/>
                <w:szCs w:val="22"/>
              </w:rPr>
            </w:pPr>
            <w:r w:rsidRPr="00060024">
              <w:rPr>
                <w:rFonts w:ascii="Arial" w:hAnsi="Arial" w:cs="Arial"/>
                <w:sz w:val="22"/>
                <w:szCs w:val="22"/>
              </w:rPr>
              <w:t>3</w:t>
            </w:r>
          </w:p>
        </w:tc>
      </w:tr>
      <w:tr w:rsidR="00F057F7" w:rsidTr="00060024">
        <w:tc>
          <w:tcPr>
            <w:tcW w:w="8568" w:type="dxa"/>
            <w:shd w:val="clear" w:color="auto" w:fill="auto"/>
          </w:tcPr>
          <w:p w:rsidR="00F057F7" w:rsidRPr="00060024" w:rsidRDefault="00F057F7" w:rsidP="008F3CD9">
            <w:pPr>
              <w:rPr>
                <w:rFonts w:ascii="Arial" w:hAnsi="Arial" w:cs="Arial"/>
                <w:sz w:val="22"/>
                <w:szCs w:val="22"/>
              </w:rPr>
            </w:pPr>
            <w:r w:rsidRPr="00060024">
              <w:rPr>
                <w:rFonts w:ascii="Arial" w:hAnsi="Arial" w:cs="Arial"/>
                <w:sz w:val="22"/>
                <w:szCs w:val="22"/>
              </w:rPr>
              <w:t>FINANCIAL STATEMENT DISCUSSION AND ANALYSIS</w:t>
            </w:r>
          </w:p>
        </w:tc>
        <w:tc>
          <w:tcPr>
            <w:tcW w:w="1061" w:type="dxa"/>
            <w:shd w:val="clear" w:color="auto" w:fill="auto"/>
          </w:tcPr>
          <w:p w:rsidR="00F057F7" w:rsidRPr="00060024" w:rsidRDefault="00F057F7" w:rsidP="00060024">
            <w:pPr>
              <w:jc w:val="right"/>
              <w:rPr>
                <w:rFonts w:ascii="Arial" w:hAnsi="Arial" w:cs="Arial"/>
                <w:sz w:val="22"/>
                <w:szCs w:val="22"/>
              </w:rPr>
            </w:pPr>
            <w:r w:rsidRPr="00060024">
              <w:rPr>
                <w:rFonts w:ascii="Arial" w:hAnsi="Arial" w:cs="Arial"/>
                <w:sz w:val="22"/>
                <w:szCs w:val="22"/>
              </w:rPr>
              <w:t>3</w:t>
            </w:r>
          </w:p>
        </w:tc>
      </w:tr>
      <w:tr w:rsidR="00F057F7" w:rsidTr="00060024">
        <w:tc>
          <w:tcPr>
            <w:tcW w:w="8568" w:type="dxa"/>
            <w:shd w:val="clear" w:color="auto" w:fill="auto"/>
          </w:tcPr>
          <w:p w:rsidR="00F057F7" w:rsidRPr="00060024" w:rsidRDefault="00F057F7" w:rsidP="008F3CD9">
            <w:pPr>
              <w:rPr>
                <w:rFonts w:ascii="Arial" w:hAnsi="Arial" w:cs="Arial"/>
                <w:b/>
                <w:sz w:val="22"/>
                <w:szCs w:val="22"/>
              </w:rPr>
            </w:pPr>
            <w:r w:rsidRPr="00060024">
              <w:rPr>
                <w:rFonts w:ascii="Arial" w:hAnsi="Arial" w:cs="Arial"/>
                <w:b/>
                <w:sz w:val="22"/>
                <w:szCs w:val="22"/>
              </w:rPr>
              <w:t>FINANCIAL STATEMENTS</w:t>
            </w:r>
          </w:p>
        </w:tc>
        <w:tc>
          <w:tcPr>
            <w:tcW w:w="1061" w:type="dxa"/>
            <w:shd w:val="clear" w:color="auto" w:fill="auto"/>
          </w:tcPr>
          <w:p w:rsidR="00F057F7" w:rsidRPr="00060024" w:rsidRDefault="00F057F7" w:rsidP="00060024">
            <w:pPr>
              <w:jc w:val="right"/>
              <w:rPr>
                <w:rFonts w:ascii="Arial" w:hAnsi="Arial" w:cs="Arial"/>
                <w:sz w:val="22"/>
                <w:szCs w:val="22"/>
              </w:rPr>
            </w:pPr>
          </w:p>
        </w:tc>
      </w:tr>
      <w:tr w:rsidR="005850EF" w:rsidTr="00060024">
        <w:tc>
          <w:tcPr>
            <w:tcW w:w="8568" w:type="dxa"/>
            <w:shd w:val="clear" w:color="auto" w:fill="auto"/>
          </w:tcPr>
          <w:p w:rsidR="005850EF" w:rsidRPr="00060024" w:rsidRDefault="005850EF" w:rsidP="008F3CD9">
            <w:pPr>
              <w:rPr>
                <w:rFonts w:ascii="Arial" w:hAnsi="Arial" w:cs="Arial"/>
                <w:sz w:val="22"/>
                <w:szCs w:val="22"/>
              </w:rPr>
            </w:pPr>
            <w:r w:rsidRPr="00060024">
              <w:rPr>
                <w:rFonts w:ascii="Arial" w:hAnsi="Arial" w:cs="Arial"/>
                <w:sz w:val="22"/>
                <w:szCs w:val="22"/>
              </w:rPr>
              <w:t>STATEMENT I - Statement of Financial Position</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12</w:t>
            </w:r>
          </w:p>
        </w:tc>
      </w:tr>
      <w:tr w:rsidR="005850EF" w:rsidTr="00060024">
        <w:tc>
          <w:tcPr>
            <w:tcW w:w="8568" w:type="dxa"/>
            <w:shd w:val="clear" w:color="auto" w:fill="auto"/>
          </w:tcPr>
          <w:p w:rsidR="005850EF" w:rsidRPr="00060024" w:rsidRDefault="005850EF" w:rsidP="008F3CD9">
            <w:pPr>
              <w:rPr>
                <w:rFonts w:ascii="Arial" w:hAnsi="Arial" w:cs="Arial"/>
                <w:sz w:val="22"/>
                <w:szCs w:val="22"/>
              </w:rPr>
            </w:pPr>
            <w:r w:rsidRPr="00060024">
              <w:rPr>
                <w:rFonts w:ascii="Arial" w:hAnsi="Arial" w:cs="Arial"/>
                <w:sz w:val="22"/>
                <w:szCs w:val="22"/>
              </w:rPr>
              <w:t>STATEMENT II – Statement of Financial Performance</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13</w:t>
            </w:r>
          </w:p>
        </w:tc>
      </w:tr>
      <w:tr w:rsidR="005850EF" w:rsidTr="00060024">
        <w:tc>
          <w:tcPr>
            <w:tcW w:w="8568" w:type="dxa"/>
            <w:shd w:val="clear" w:color="auto" w:fill="auto"/>
          </w:tcPr>
          <w:p w:rsidR="005850EF" w:rsidRPr="00060024" w:rsidRDefault="005850EF" w:rsidP="008F3CD9">
            <w:pPr>
              <w:rPr>
                <w:rFonts w:ascii="Arial" w:hAnsi="Arial" w:cs="Arial"/>
                <w:sz w:val="22"/>
                <w:szCs w:val="22"/>
              </w:rPr>
            </w:pPr>
            <w:r w:rsidRPr="00060024">
              <w:rPr>
                <w:rFonts w:ascii="Arial" w:hAnsi="Arial" w:cs="Arial"/>
                <w:sz w:val="22"/>
                <w:szCs w:val="22"/>
              </w:rPr>
              <w:t>STATEMENT III – Statement of Changes in Net Assets</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14</w:t>
            </w:r>
          </w:p>
        </w:tc>
      </w:tr>
      <w:tr w:rsidR="005850EF" w:rsidTr="00060024">
        <w:tc>
          <w:tcPr>
            <w:tcW w:w="8568" w:type="dxa"/>
            <w:shd w:val="clear" w:color="auto" w:fill="auto"/>
          </w:tcPr>
          <w:p w:rsidR="005850EF" w:rsidRPr="00060024" w:rsidRDefault="005850EF" w:rsidP="008F3CD9">
            <w:pPr>
              <w:rPr>
                <w:rFonts w:ascii="Arial" w:hAnsi="Arial" w:cs="Arial"/>
                <w:sz w:val="22"/>
                <w:szCs w:val="22"/>
              </w:rPr>
            </w:pPr>
            <w:r w:rsidRPr="00060024">
              <w:rPr>
                <w:rFonts w:ascii="Arial" w:hAnsi="Arial" w:cs="Arial"/>
                <w:sz w:val="22"/>
                <w:szCs w:val="22"/>
              </w:rPr>
              <w:t>STATEMENT IV – Statement of Cash Flow</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15</w:t>
            </w:r>
          </w:p>
        </w:tc>
      </w:tr>
      <w:tr w:rsidR="005850EF" w:rsidTr="00060024">
        <w:tc>
          <w:tcPr>
            <w:tcW w:w="8568" w:type="dxa"/>
            <w:shd w:val="clear" w:color="auto" w:fill="auto"/>
          </w:tcPr>
          <w:p w:rsidR="005850EF" w:rsidRPr="00060024" w:rsidRDefault="005850EF" w:rsidP="008F3CD9">
            <w:pPr>
              <w:rPr>
                <w:rFonts w:ascii="Arial" w:hAnsi="Arial" w:cs="Arial"/>
                <w:sz w:val="22"/>
                <w:szCs w:val="22"/>
              </w:rPr>
            </w:pPr>
            <w:r w:rsidRPr="00060024">
              <w:rPr>
                <w:rFonts w:ascii="Arial" w:hAnsi="Arial" w:cs="Arial"/>
                <w:sz w:val="22"/>
                <w:szCs w:val="22"/>
              </w:rPr>
              <w:t>STATE</w:t>
            </w:r>
            <w:r w:rsidR="00071007" w:rsidRPr="00060024">
              <w:rPr>
                <w:rFonts w:ascii="Arial" w:hAnsi="Arial" w:cs="Arial"/>
                <w:sz w:val="22"/>
                <w:szCs w:val="22"/>
              </w:rPr>
              <w:t>MENT V</w:t>
            </w:r>
            <w:r w:rsidRPr="00060024">
              <w:rPr>
                <w:rFonts w:ascii="Arial" w:hAnsi="Arial" w:cs="Arial"/>
                <w:sz w:val="22"/>
                <w:szCs w:val="22"/>
              </w:rPr>
              <w:t xml:space="preserve"> – Statement of Comparison of Budget and Actual Amounts</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16</w:t>
            </w:r>
          </w:p>
        </w:tc>
      </w:tr>
      <w:tr w:rsidR="005850EF" w:rsidTr="00060024">
        <w:tc>
          <w:tcPr>
            <w:tcW w:w="8568" w:type="dxa"/>
            <w:shd w:val="clear" w:color="auto" w:fill="auto"/>
          </w:tcPr>
          <w:p w:rsidR="005850EF" w:rsidRPr="00060024" w:rsidRDefault="005850EF" w:rsidP="008F3CD9">
            <w:pPr>
              <w:rPr>
                <w:rFonts w:ascii="Arial" w:hAnsi="Arial" w:cs="Arial"/>
                <w:sz w:val="22"/>
                <w:szCs w:val="22"/>
              </w:rPr>
            </w:pPr>
            <w:r w:rsidRPr="00060024">
              <w:rPr>
                <w:rFonts w:ascii="Arial" w:hAnsi="Arial" w:cs="Arial"/>
                <w:sz w:val="22"/>
                <w:szCs w:val="22"/>
              </w:rPr>
              <w:t>NOTES TO THE FINANCIAL STATEMENTS</w:t>
            </w:r>
          </w:p>
        </w:tc>
        <w:tc>
          <w:tcPr>
            <w:tcW w:w="1061" w:type="dxa"/>
            <w:shd w:val="clear" w:color="auto" w:fill="auto"/>
          </w:tcPr>
          <w:p w:rsidR="005850EF" w:rsidRPr="00060024" w:rsidRDefault="00FA3AEA" w:rsidP="00060024">
            <w:pPr>
              <w:jc w:val="right"/>
              <w:rPr>
                <w:rFonts w:ascii="Arial" w:hAnsi="Arial" w:cs="Arial"/>
                <w:sz w:val="22"/>
                <w:szCs w:val="22"/>
              </w:rPr>
            </w:pPr>
            <w:r w:rsidRPr="00060024">
              <w:rPr>
                <w:rFonts w:ascii="Arial" w:hAnsi="Arial" w:cs="Arial"/>
                <w:sz w:val="22"/>
                <w:szCs w:val="22"/>
              </w:rPr>
              <w:t>1</w:t>
            </w:r>
            <w:r w:rsidR="004D30DB" w:rsidRPr="00060024">
              <w:rPr>
                <w:rFonts w:ascii="Arial" w:hAnsi="Arial" w:cs="Arial"/>
                <w:sz w:val="22"/>
                <w:szCs w:val="22"/>
              </w:rPr>
              <w:t>8</w:t>
            </w:r>
          </w:p>
        </w:tc>
      </w:tr>
      <w:tr w:rsidR="005850EF" w:rsidTr="00060024">
        <w:tc>
          <w:tcPr>
            <w:tcW w:w="8568" w:type="dxa"/>
            <w:shd w:val="clear" w:color="auto" w:fill="auto"/>
          </w:tcPr>
          <w:p w:rsidR="005850EF" w:rsidRPr="00060024" w:rsidRDefault="005850EF" w:rsidP="00060024">
            <w:pPr>
              <w:ind w:left="900"/>
              <w:rPr>
                <w:rFonts w:ascii="Arial" w:hAnsi="Arial" w:cs="Arial"/>
                <w:sz w:val="22"/>
                <w:szCs w:val="22"/>
              </w:rPr>
            </w:pPr>
            <w:r w:rsidRPr="00060024">
              <w:rPr>
                <w:rFonts w:ascii="Arial" w:hAnsi="Arial" w:cs="Arial"/>
                <w:sz w:val="22"/>
                <w:szCs w:val="22"/>
              </w:rPr>
              <w:t>Note 1: Objectives and Budget of the Organization</w:t>
            </w:r>
          </w:p>
        </w:tc>
        <w:tc>
          <w:tcPr>
            <w:tcW w:w="1061" w:type="dxa"/>
            <w:shd w:val="clear" w:color="auto" w:fill="auto"/>
          </w:tcPr>
          <w:p w:rsidR="005850EF" w:rsidRPr="00060024" w:rsidRDefault="00FA3AEA" w:rsidP="00060024">
            <w:pPr>
              <w:jc w:val="right"/>
              <w:rPr>
                <w:rFonts w:ascii="Arial" w:hAnsi="Arial" w:cs="Arial"/>
                <w:sz w:val="22"/>
                <w:szCs w:val="22"/>
              </w:rPr>
            </w:pPr>
            <w:r w:rsidRPr="00060024">
              <w:rPr>
                <w:rFonts w:ascii="Arial" w:hAnsi="Arial" w:cs="Arial"/>
                <w:sz w:val="22"/>
                <w:szCs w:val="22"/>
              </w:rPr>
              <w:t>1</w:t>
            </w:r>
            <w:r w:rsidR="004D30DB" w:rsidRPr="00060024">
              <w:rPr>
                <w:rFonts w:ascii="Arial" w:hAnsi="Arial" w:cs="Arial"/>
                <w:sz w:val="22"/>
                <w:szCs w:val="22"/>
              </w:rPr>
              <w:t>8</w:t>
            </w:r>
          </w:p>
        </w:tc>
      </w:tr>
      <w:tr w:rsidR="005850EF" w:rsidTr="00060024">
        <w:tc>
          <w:tcPr>
            <w:tcW w:w="8568" w:type="dxa"/>
            <w:shd w:val="clear" w:color="auto" w:fill="auto"/>
          </w:tcPr>
          <w:p w:rsidR="005850EF" w:rsidRPr="00060024" w:rsidRDefault="005850EF" w:rsidP="00060024">
            <w:pPr>
              <w:ind w:left="900"/>
              <w:rPr>
                <w:rFonts w:ascii="Arial" w:hAnsi="Arial" w:cs="Arial"/>
                <w:sz w:val="22"/>
                <w:szCs w:val="22"/>
              </w:rPr>
            </w:pPr>
            <w:r w:rsidRPr="00060024">
              <w:rPr>
                <w:rFonts w:ascii="Arial" w:hAnsi="Arial" w:cs="Arial"/>
                <w:sz w:val="22"/>
                <w:szCs w:val="22"/>
              </w:rPr>
              <w:t>Note 2: Significant Accounting Policies</w:t>
            </w:r>
          </w:p>
        </w:tc>
        <w:tc>
          <w:tcPr>
            <w:tcW w:w="1061" w:type="dxa"/>
            <w:shd w:val="clear" w:color="auto" w:fill="auto"/>
          </w:tcPr>
          <w:p w:rsidR="005850EF" w:rsidRPr="00060024" w:rsidRDefault="00FA3AEA" w:rsidP="00060024">
            <w:pPr>
              <w:jc w:val="right"/>
              <w:rPr>
                <w:rFonts w:ascii="Arial" w:hAnsi="Arial" w:cs="Arial"/>
                <w:sz w:val="22"/>
                <w:szCs w:val="22"/>
              </w:rPr>
            </w:pPr>
            <w:r w:rsidRPr="00060024">
              <w:rPr>
                <w:rFonts w:ascii="Arial" w:hAnsi="Arial" w:cs="Arial"/>
                <w:sz w:val="22"/>
                <w:szCs w:val="22"/>
              </w:rPr>
              <w:t>1</w:t>
            </w:r>
            <w:r w:rsidR="004D30DB" w:rsidRPr="00060024">
              <w:rPr>
                <w:rFonts w:ascii="Arial" w:hAnsi="Arial" w:cs="Arial"/>
                <w:sz w:val="22"/>
                <w:szCs w:val="22"/>
              </w:rPr>
              <w:t>9</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3: Cash and Cash Equivalents</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25</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4: Accounts Receivable, Advances and Prepayments</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26</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5: Inventories</w:t>
            </w:r>
          </w:p>
        </w:tc>
        <w:tc>
          <w:tcPr>
            <w:tcW w:w="1061" w:type="dxa"/>
            <w:shd w:val="clear" w:color="auto" w:fill="auto"/>
          </w:tcPr>
          <w:p w:rsidR="005850EF" w:rsidRPr="00060024" w:rsidRDefault="00FA3AEA" w:rsidP="00060024">
            <w:pPr>
              <w:jc w:val="right"/>
              <w:rPr>
                <w:rFonts w:ascii="Arial" w:hAnsi="Arial" w:cs="Arial"/>
                <w:sz w:val="22"/>
                <w:szCs w:val="22"/>
              </w:rPr>
            </w:pPr>
            <w:r w:rsidRPr="00060024">
              <w:rPr>
                <w:rFonts w:ascii="Arial" w:hAnsi="Arial" w:cs="Arial"/>
                <w:sz w:val="22"/>
                <w:szCs w:val="22"/>
              </w:rPr>
              <w:t>2</w:t>
            </w:r>
            <w:r w:rsidR="004D30DB" w:rsidRPr="00060024">
              <w:rPr>
                <w:rFonts w:ascii="Arial" w:hAnsi="Arial" w:cs="Arial"/>
                <w:sz w:val="22"/>
                <w:szCs w:val="22"/>
              </w:rPr>
              <w:t>7</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6: Equipment</w:t>
            </w:r>
          </w:p>
        </w:tc>
        <w:tc>
          <w:tcPr>
            <w:tcW w:w="1061" w:type="dxa"/>
            <w:shd w:val="clear" w:color="auto" w:fill="auto"/>
          </w:tcPr>
          <w:p w:rsidR="005850EF" w:rsidRPr="00060024" w:rsidRDefault="00FA3AEA" w:rsidP="00060024">
            <w:pPr>
              <w:jc w:val="right"/>
              <w:rPr>
                <w:rFonts w:ascii="Arial" w:hAnsi="Arial" w:cs="Arial"/>
                <w:sz w:val="22"/>
                <w:szCs w:val="22"/>
              </w:rPr>
            </w:pPr>
            <w:r w:rsidRPr="00060024">
              <w:rPr>
                <w:rFonts w:ascii="Arial" w:hAnsi="Arial" w:cs="Arial"/>
                <w:sz w:val="22"/>
                <w:szCs w:val="22"/>
              </w:rPr>
              <w:t>2</w:t>
            </w:r>
            <w:r w:rsidR="004D30DB" w:rsidRPr="00060024">
              <w:rPr>
                <w:rFonts w:ascii="Arial" w:hAnsi="Arial" w:cs="Arial"/>
                <w:sz w:val="22"/>
                <w:szCs w:val="22"/>
              </w:rPr>
              <w:t>8</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w:t>
            </w:r>
            <w:r w:rsidR="001C2DBC" w:rsidRPr="00060024">
              <w:rPr>
                <w:rFonts w:ascii="Arial" w:hAnsi="Arial" w:cs="Arial"/>
                <w:sz w:val="22"/>
                <w:szCs w:val="22"/>
              </w:rPr>
              <w:t xml:space="preserve"> </w:t>
            </w:r>
            <w:r w:rsidRPr="00060024">
              <w:rPr>
                <w:rFonts w:ascii="Arial" w:hAnsi="Arial" w:cs="Arial"/>
                <w:sz w:val="22"/>
                <w:szCs w:val="22"/>
              </w:rPr>
              <w:t>7: Investment Property – WIPO as Lessor</w:t>
            </w:r>
          </w:p>
        </w:tc>
        <w:tc>
          <w:tcPr>
            <w:tcW w:w="1061" w:type="dxa"/>
            <w:shd w:val="clear" w:color="auto" w:fill="auto"/>
          </w:tcPr>
          <w:p w:rsidR="005850EF" w:rsidRPr="00060024" w:rsidRDefault="00FA3AEA" w:rsidP="00060024">
            <w:pPr>
              <w:jc w:val="right"/>
              <w:rPr>
                <w:rFonts w:ascii="Arial" w:hAnsi="Arial" w:cs="Arial"/>
                <w:sz w:val="22"/>
                <w:szCs w:val="22"/>
              </w:rPr>
            </w:pPr>
            <w:r w:rsidRPr="00060024">
              <w:rPr>
                <w:rFonts w:ascii="Arial" w:hAnsi="Arial" w:cs="Arial"/>
                <w:sz w:val="22"/>
                <w:szCs w:val="22"/>
              </w:rPr>
              <w:t>2</w:t>
            </w:r>
            <w:r w:rsidR="004D30DB" w:rsidRPr="00060024">
              <w:rPr>
                <w:rFonts w:ascii="Arial" w:hAnsi="Arial" w:cs="Arial"/>
                <w:sz w:val="22"/>
                <w:szCs w:val="22"/>
              </w:rPr>
              <w:t>9</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8: Intangible Assets</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30</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9: Land and Buildings</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31</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10: Other Non-Current Assets</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34</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11: Accounts Payable</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34</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12: Employee Benefits</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34</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13: Transfers Payable</w:t>
            </w:r>
          </w:p>
        </w:tc>
        <w:tc>
          <w:tcPr>
            <w:tcW w:w="1061" w:type="dxa"/>
            <w:shd w:val="clear" w:color="auto" w:fill="auto"/>
          </w:tcPr>
          <w:p w:rsidR="005850EF" w:rsidRPr="00060024" w:rsidRDefault="00FA3AEA" w:rsidP="00060024">
            <w:pPr>
              <w:jc w:val="right"/>
              <w:rPr>
                <w:rFonts w:ascii="Arial" w:hAnsi="Arial" w:cs="Arial"/>
                <w:sz w:val="22"/>
                <w:szCs w:val="22"/>
              </w:rPr>
            </w:pPr>
            <w:r w:rsidRPr="00060024">
              <w:rPr>
                <w:rFonts w:ascii="Arial" w:hAnsi="Arial" w:cs="Arial"/>
                <w:sz w:val="22"/>
                <w:szCs w:val="22"/>
              </w:rPr>
              <w:t>3</w:t>
            </w:r>
            <w:r w:rsidR="004D30DB" w:rsidRPr="00060024">
              <w:rPr>
                <w:rFonts w:ascii="Arial" w:hAnsi="Arial" w:cs="Arial"/>
                <w:sz w:val="22"/>
                <w:szCs w:val="22"/>
              </w:rPr>
              <w:t>9</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14: Advance Receipts</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41</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15: Borrowings</w:t>
            </w:r>
          </w:p>
        </w:tc>
        <w:tc>
          <w:tcPr>
            <w:tcW w:w="1061" w:type="dxa"/>
            <w:shd w:val="clear" w:color="auto" w:fill="auto"/>
          </w:tcPr>
          <w:p w:rsidR="005850EF" w:rsidRPr="00060024" w:rsidRDefault="004D30DB" w:rsidP="00060024">
            <w:pPr>
              <w:jc w:val="right"/>
              <w:rPr>
                <w:rFonts w:ascii="Arial" w:hAnsi="Arial" w:cs="Arial"/>
                <w:sz w:val="22"/>
                <w:szCs w:val="22"/>
              </w:rPr>
            </w:pPr>
            <w:r w:rsidRPr="00060024">
              <w:rPr>
                <w:rFonts w:ascii="Arial" w:hAnsi="Arial" w:cs="Arial"/>
                <w:sz w:val="22"/>
                <w:szCs w:val="22"/>
              </w:rPr>
              <w:t>41</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16: Provisions</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42</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17: Other Current Liabilities – Current Accounts</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43</w:t>
            </w:r>
          </w:p>
        </w:tc>
      </w:tr>
      <w:tr w:rsidR="005850EF" w:rsidTr="00060024">
        <w:tc>
          <w:tcPr>
            <w:tcW w:w="8568" w:type="dxa"/>
            <w:shd w:val="clear" w:color="auto" w:fill="auto"/>
          </w:tcPr>
          <w:p w:rsidR="005850EF" w:rsidRPr="00060024" w:rsidRDefault="005B2622" w:rsidP="00060024">
            <w:pPr>
              <w:ind w:left="900"/>
              <w:rPr>
                <w:rFonts w:ascii="Arial" w:hAnsi="Arial" w:cs="Arial"/>
                <w:sz w:val="22"/>
                <w:szCs w:val="22"/>
              </w:rPr>
            </w:pPr>
            <w:r w:rsidRPr="00060024">
              <w:rPr>
                <w:rFonts w:ascii="Arial" w:hAnsi="Arial" w:cs="Arial"/>
                <w:sz w:val="22"/>
                <w:szCs w:val="22"/>
              </w:rPr>
              <w:t>Note 18: Contingent Assets and Liabilities</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43</w:t>
            </w:r>
          </w:p>
        </w:tc>
      </w:tr>
      <w:tr w:rsidR="005850EF" w:rsidTr="00060024">
        <w:tc>
          <w:tcPr>
            <w:tcW w:w="8568" w:type="dxa"/>
            <w:shd w:val="clear" w:color="auto" w:fill="auto"/>
          </w:tcPr>
          <w:p w:rsidR="005850EF" w:rsidRPr="00060024" w:rsidRDefault="000D688D" w:rsidP="00060024">
            <w:pPr>
              <w:ind w:left="900"/>
              <w:rPr>
                <w:rFonts w:ascii="Arial" w:hAnsi="Arial" w:cs="Arial"/>
                <w:sz w:val="22"/>
                <w:szCs w:val="22"/>
              </w:rPr>
            </w:pPr>
            <w:r w:rsidRPr="00060024">
              <w:rPr>
                <w:rFonts w:ascii="Arial" w:hAnsi="Arial" w:cs="Arial"/>
                <w:sz w:val="22"/>
                <w:szCs w:val="22"/>
              </w:rPr>
              <w:t>Note 19: Leases – WIPO as Lessee</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44</w:t>
            </w:r>
          </w:p>
        </w:tc>
      </w:tr>
      <w:tr w:rsidR="005850EF" w:rsidTr="00060024">
        <w:tc>
          <w:tcPr>
            <w:tcW w:w="8568" w:type="dxa"/>
            <w:shd w:val="clear" w:color="auto" w:fill="auto"/>
          </w:tcPr>
          <w:p w:rsidR="005850EF" w:rsidRPr="00060024" w:rsidRDefault="000D688D" w:rsidP="00060024">
            <w:pPr>
              <w:ind w:left="900"/>
              <w:rPr>
                <w:rFonts w:ascii="Arial" w:hAnsi="Arial" w:cs="Arial"/>
                <w:sz w:val="22"/>
                <w:szCs w:val="22"/>
              </w:rPr>
            </w:pPr>
            <w:r w:rsidRPr="00060024">
              <w:rPr>
                <w:rFonts w:ascii="Arial" w:hAnsi="Arial" w:cs="Arial"/>
                <w:sz w:val="22"/>
                <w:szCs w:val="22"/>
              </w:rPr>
              <w:t>Note 20: Related Party Transactions</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45</w:t>
            </w:r>
          </w:p>
        </w:tc>
      </w:tr>
      <w:tr w:rsidR="005850EF" w:rsidTr="00060024">
        <w:tc>
          <w:tcPr>
            <w:tcW w:w="8568" w:type="dxa"/>
            <w:shd w:val="clear" w:color="auto" w:fill="auto"/>
          </w:tcPr>
          <w:p w:rsidR="005850EF" w:rsidRPr="00060024" w:rsidRDefault="000D688D" w:rsidP="00060024">
            <w:pPr>
              <w:ind w:left="900"/>
              <w:rPr>
                <w:rFonts w:ascii="Arial" w:hAnsi="Arial" w:cs="Arial"/>
                <w:sz w:val="22"/>
                <w:szCs w:val="22"/>
              </w:rPr>
            </w:pPr>
            <w:r w:rsidRPr="00060024">
              <w:rPr>
                <w:rFonts w:ascii="Arial" w:hAnsi="Arial" w:cs="Arial"/>
                <w:sz w:val="22"/>
                <w:szCs w:val="22"/>
              </w:rPr>
              <w:t>Note 21: Reserves and Fund Balance</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46</w:t>
            </w:r>
          </w:p>
        </w:tc>
      </w:tr>
      <w:tr w:rsidR="005850EF" w:rsidTr="00060024">
        <w:tc>
          <w:tcPr>
            <w:tcW w:w="8568" w:type="dxa"/>
            <w:shd w:val="clear" w:color="auto" w:fill="auto"/>
          </w:tcPr>
          <w:p w:rsidR="005850EF" w:rsidRPr="00060024" w:rsidRDefault="000D688D" w:rsidP="00060024">
            <w:pPr>
              <w:ind w:left="900"/>
              <w:rPr>
                <w:rFonts w:ascii="Arial" w:hAnsi="Arial" w:cs="Arial"/>
                <w:sz w:val="22"/>
                <w:szCs w:val="22"/>
              </w:rPr>
            </w:pPr>
            <w:r w:rsidRPr="00060024">
              <w:rPr>
                <w:rFonts w:ascii="Arial" w:hAnsi="Arial" w:cs="Arial"/>
                <w:sz w:val="22"/>
                <w:szCs w:val="22"/>
              </w:rPr>
              <w:t>Note 22:</w:t>
            </w:r>
            <w:r w:rsidR="002D090F" w:rsidRPr="00060024">
              <w:rPr>
                <w:rFonts w:ascii="Arial" w:hAnsi="Arial" w:cs="Arial"/>
                <w:sz w:val="22"/>
                <w:szCs w:val="22"/>
              </w:rPr>
              <w:t xml:space="preserve"> </w:t>
            </w:r>
            <w:r w:rsidRPr="00060024">
              <w:rPr>
                <w:rFonts w:ascii="Arial" w:hAnsi="Arial" w:cs="Arial"/>
                <w:sz w:val="22"/>
                <w:szCs w:val="22"/>
              </w:rPr>
              <w:t>Reconciliation of Statement of Budgetary Comparison (Statement V) and Statement of Financial Performance (Statement II)</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46</w:t>
            </w:r>
          </w:p>
        </w:tc>
      </w:tr>
      <w:tr w:rsidR="005850EF" w:rsidTr="00060024">
        <w:tc>
          <w:tcPr>
            <w:tcW w:w="8568" w:type="dxa"/>
            <w:shd w:val="clear" w:color="auto" w:fill="auto"/>
          </w:tcPr>
          <w:p w:rsidR="005850EF" w:rsidRPr="00060024" w:rsidRDefault="00BD55F7" w:rsidP="00060024">
            <w:pPr>
              <w:ind w:left="900"/>
              <w:rPr>
                <w:rFonts w:ascii="Arial" w:hAnsi="Arial" w:cs="Arial"/>
                <w:sz w:val="22"/>
                <w:szCs w:val="22"/>
              </w:rPr>
            </w:pPr>
            <w:r w:rsidRPr="00060024">
              <w:rPr>
                <w:rFonts w:ascii="Arial" w:hAnsi="Arial" w:cs="Arial"/>
                <w:sz w:val="22"/>
                <w:szCs w:val="22"/>
              </w:rPr>
              <w:t>Note 23: Revenue</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48</w:t>
            </w:r>
          </w:p>
        </w:tc>
      </w:tr>
      <w:tr w:rsidR="005850EF" w:rsidTr="00060024">
        <w:tc>
          <w:tcPr>
            <w:tcW w:w="8568" w:type="dxa"/>
            <w:shd w:val="clear" w:color="auto" w:fill="auto"/>
          </w:tcPr>
          <w:p w:rsidR="005850EF" w:rsidRPr="00060024" w:rsidRDefault="00BD55F7" w:rsidP="00060024">
            <w:pPr>
              <w:ind w:left="900"/>
              <w:rPr>
                <w:rFonts w:ascii="Arial" w:hAnsi="Arial" w:cs="Arial"/>
                <w:sz w:val="22"/>
                <w:szCs w:val="22"/>
              </w:rPr>
            </w:pPr>
            <w:r w:rsidRPr="00060024">
              <w:rPr>
                <w:rFonts w:ascii="Arial" w:hAnsi="Arial" w:cs="Arial"/>
                <w:sz w:val="22"/>
                <w:szCs w:val="22"/>
              </w:rPr>
              <w:t>Note 24: Expense</w:t>
            </w:r>
            <w:r w:rsidR="00F30E22" w:rsidRPr="00060024">
              <w:rPr>
                <w:rFonts w:ascii="Arial" w:hAnsi="Arial" w:cs="Arial"/>
                <w:sz w:val="22"/>
                <w:szCs w:val="22"/>
              </w:rPr>
              <w:t>s</w:t>
            </w:r>
          </w:p>
        </w:tc>
        <w:tc>
          <w:tcPr>
            <w:tcW w:w="1061" w:type="dxa"/>
            <w:shd w:val="clear" w:color="auto" w:fill="auto"/>
          </w:tcPr>
          <w:p w:rsidR="005850EF" w:rsidRPr="00060024" w:rsidRDefault="00FA3AEA" w:rsidP="00060024">
            <w:pPr>
              <w:jc w:val="right"/>
              <w:rPr>
                <w:rFonts w:ascii="Arial" w:hAnsi="Arial" w:cs="Arial"/>
                <w:sz w:val="22"/>
                <w:szCs w:val="22"/>
              </w:rPr>
            </w:pPr>
            <w:r w:rsidRPr="00060024">
              <w:rPr>
                <w:rFonts w:ascii="Arial" w:hAnsi="Arial" w:cs="Arial"/>
                <w:sz w:val="22"/>
                <w:szCs w:val="22"/>
              </w:rPr>
              <w:t>4</w:t>
            </w:r>
            <w:r w:rsidR="002925D9" w:rsidRPr="00060024">
              <w:rPr>
                <w:rFonts w:ascii="Arial" w:hAnsi="Arial" w:cs="Arial"/>
                <w:sz w:val="22"/>
                <w:szCs w:val="22"/>
              </w:rPr>
              <w:t>9</w:t>
            </w:r>
          </w:p>
        </w:tc>
      </w:tr>
      <w:tr w:rsidR="005850EF" w:rsidTr="00060024">
        <w:tc>
          <w:tcPr>
            <w:tcW w:w="8568" w:type="dxa"/>
            <w:shd w:val="clear" w:color="auto" w:fill="auto"/>
          </w:tcPr>
          <w:p w:rsidR="005850EF" w:rsidRPr="00060024" w:rsidRDefault="00BD55F7" w:rsidP="00060024">
            <w:pPr>
              <w:ind w:left="900"/>
              <w:rPr>
                <w:rFonts w:ascii="Arial" w:hAnsi="Arial" w:cs="Arial"/>
                <w:sz w:val="22"/>
                <w:szCs w:val="22"/>
              </w:rPr>
            </w:pPr>
            <w:r w:rsidRPr="00060024">
              <w:rPr>
                <w:rFonts w:ascii="Arial" w:hAnsi="Arial" w:cs="Arial"/>
                <w:sz w:val="22"/>
                <w:szCs w:val="22"/>
              </w:rPr>
              <w:t>Note 25: Exchange Gain and Loss</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49</w:t>
            </w:r>
          </w:p>
        </w:tc>
      </w:tr>
      <w:tr w:rsidR="005850EF" w:rsidTr="00060024">
        <w:tc>
          <w:tcPr>
            <w:tcW w:w="8568" w:type="dxa"/>
            <w:shd w:val="clear" w:color="auto" w:fill="auto"/>
          </w:tcPr>
          <w:p w:rsidR="005850EF" w:rsidRPr="00060024" w:rsidRDefault="00BD55F7" w:rsidP="00060024">
            <w:pPr>
              <w:ind w:left="900"/>
              <w:rPr>
                <w:rFonts w:ascii="Arial" w:hAnsi="Arial" w:cs="Arial"/>
                <w:sz w:val="22"/>
                <w:szCs w:val="22"/>
              </w:rPr>
            </w:pPr>
            <w:r w:rsidRPr="00060024">
              <w:rPr>
                <w:rFonts w:ascii="Arial" w:hAnsi="Arial" w:cs="Arial"/>
                <w:sz w:val="22"/>
                <w:szCs w:val="22"/>
              </w:rPr>
              <w:t>Note 26: Events After the Reporting Date</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50</w:t>
            </w:r>
          </w:p>
        </w:tc>
      </w:tr>
      <w:tr w:rsidR="005850EF" w:rsidTr="00060024">
        <w:tc>
          <w:tcPr>
            <w:tcW w:w="8568" w:type="dxa"/>
            <w:shd w:val="clear" w:color="auto" w:fill="auto"/>
          </w:tcPr>
          <w:p w:rsidR="005850EF" w:rsidRPr="00060024" w:rsidRDefault="00BD55F7" w:rsidP="00060024">
            <w:pPr>
              <w:ind w:left="900"/>
              <w:rPr>
                <w:rFonts w:ascii="Arial" w:hAnsi="Arial" w:cs="Arial"/>
                <w:sz w:val="22"/>
                <w:szCs w:val="22"/>
              </w:rPr>
            </w:pPr>
            <w:r w:rsidRPr="00060024">
              <w:rPr>
                <w:rFonts w:ascii="Arial" w:hAnsi="Arial" w:cs="Arial"/>
                <w:sz w:val="22"/>
                <w:szCs w:val="22"/>
              </w:rPr>
              <w:t>Note 27: Segment Reporting</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50</w:t>
            </w:r>
          </w:p>
        </w:tc>
      </w:tr>
      <w:tr w:rsidR="005850EF" w:rsidTr="00060024">
        <w:tc>
          <w:tcPr>
            <w:tcW w:w="8568" w:type="dxa"/>
            <w:shd w:val="clear" w:color="auto" w:fill="auto"/>
          </w:tcPr>
          <w:p w:rsidR="005850EF" w:rsidRPr="00060024" w:rsidRDefault="00FA3AEA" w:rsidP="008F3CD9">
            <w:pPr>
              <w:rPr>
                <w:rFonts w:ascii="Arial" w:hAnsi="Arial" w:cs="Arial"/>
                <w:sz w:val="22"/>
                <w:szCs w:val="22"/>
              </w:rPr>
            </w:pPr>
            <w:r w:rsidRPr="00060024">
              <w:rPr>
                <w:rFonts w:ascii="Arial" w:hAnsi="Arial" w:cs="Arial"/>
                <w:sz w:val="22"/>
                <w:szCs w:val="22"/>
              </w:rPr>
              <w:t>ANNEX I – Statement of Financial Position by Business Unit [Unaudited]</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53</w:t>
            </w:r>
          </w:p>
        </w:tc>
      </w:tr>
      <w:tr w:rsidR="005850EF" w:rsidTr="00060024">
        <w:tc>
          <w:tcPr>
            <w:tcW w:w="8568" w:type="dxa"/>
            <w:shd w:val="clear" w:color="auto" w:fill="auto"/>
          </w:tcPr>
          <w:p w:rsidR="005850EF" w:rsidRPr="00060024" w:rsidRDefault="00FA3AEA" w:rsidP="008F3CD9">
            <w:pPr>
              <w:rPr>
                <w:rFonts w:ascii="Arial" w:hAnsi="Arial" w:cs="Arial"/>
                <w:sz w:val="22"/>
                <w:szCs w:val="22"/>
              </w:rPr>
            </w:pPr>
            <w:r w:rsidRPr="00060024">
              <w:rPr>
                <w:rFonts w:ascii="Arial" w:hAnsi="Arial" w:cs="Arial"/>
                <w:sz w:val="22"/>
                <w:szCs w:val="22"/>
              </w:rPr>
              <w:t>ANNEX II – Statement of Financial Performance by Business Unit [Unaudited]</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54</w:t>
            </w:r>
          </w:p>
        </w:tc>
      </w:tr>
      <w:tr w:rsidR="005850EF" w:rsidTr="00060024">
        <w:tc>
          <w:tcPr>
            <w:tcW w:w="8568" w:type="dxa"/>
            <w:shd w:val="clear" w:color="auto" w:fill="auto"/>
          </w:tcPr>
          <w:p w:rsidR="005850EF" w:rsidRPr="00060024" w:rsidRDefault="00FA3AEA" w:rsidP="008F3CD9">
            <w:pPr>
              <w:rPr>
                <w:rFonts w:ascii="Arial" w:hAnsi="Arial" w:cs="Arial"/>
                <w:sz w:val="22"/>
                <w:szCs w:val="22"/>
              </w:rPr>
            </w:pPr>
            <w:r w:rsidRPr="00060024">
              <w:rPr>
                <w:rFonts w:ascii="Arial" w:hAnsi="Arial" w:cs="Arial"/>
                <w:sz w:val="22"/>
                <w:szCs w:val="22"/>
              </w:rPr>
              <w:t>ANNEX III – Special Accounts by Donor Contributions</w:t>
            </w:r>
          </w:p>
        </w:tc>
        <w:tc>
          <w:tcPr>
            <w:tcW w:w="1061" w:type="dxa"/>
            <w:shd w:val="clear" w:color="auto" w:fill="auto"/>
          </w:tcPr>
          <w:p w:rsidR="005850EF" w:rsidRPr="00060024" w:rsidRDefault="002925D9" w:rsidP="00060024">
            <w:pPr>
              <w:jc w:val="right"/>
              <w:rPr>
                <w:rFonts w:ascii="Arial" w:hAnsi="Arial" w:cs="Arial"/>
                <w:sz w:val="22"/>
                <w:szCs w:val="22"/>
              </w:rPr>
            </w:pPr>
            <w:r w:rsidRPr="00060024">
              <w:rPr>
                <w:rFonts w:ascii="Arial" w:hAnsi="Arial" w:cs="Arial"/>
                <w:sz w:val="22"/>
                <w:szCs w:val="22"/>
              </w:rPr>
              <w:t>55</w:t>
            </w:r>
          </w:p>
        </w:tc>
      </w:tr>
    </w:tbl>
    <w:p w:rsidR="008F3CD9" w:rsidRDefault="008F3CD9" w:rsidP="008F3CD9"/>
    <w:p w:rsidR="008F3CD9" w:rsidRPr="008F3CD9" w:rsidRDefault="008F3CD9" w:rsidP="008F3CD9">
      <w:pPr>
        <w:rPr>
          <w:sz w:val="20"/>
          <w:szCs w:val="20"/>
        </w:rPr>
      </w:pPr>
    </w:p>
    <w:p w:rsidR="00E1681D" w:rsidRDefault="00E1681D" w:rsidP="007C6D77">
      <w:pPr>
        <w:jc w:val="both"/>
        <w:rPr>
          <w:rFonts w:ascii="Arial Narrow" w:hAnsi="Arial Narrow"/>
          <w:sz w:val="18"/>
          <w:szCs w:val="18"/>
        </w:rPr>
      </w:pPr>
    </w:p>
    <w:p w:rsidR="00E1681D" w:rsidRDefault="00E1681D" w:rsidP="007C6D77">
      <w:pPr>
        <w:jc w:val="both"/>
        <w:rPr>
          <w:rFonts w:ascii="Arial Narrow" w:hAnsi="Arial Narrow"/>
          <w:sz w:val="18"/>
          <w:szCs w:val="18"/>
        </w:rPr>
      </w:pPr>
    </w:p>
    <w:p w:rsidR="00EA665C" w:rsidRDefault="00EA665C" w:rsidP="007C6D77">
      <w:pPr>
        <w:jc w:val="both"/>
        <w:rPr>
          <w:rFonts w:ascii="Arial Narrow" w:hAnsi="Arial Narrow"/>
          <w:sz w:val="18"/>
          <w:szCs w:val="18"/>
        </w:rPr>
      </w:pPr>
    </w:p>
    <w:p w:rsidR="000151E2" w:rsidRDefault="000151E2" w:rsidP="007C6D77">
      <w:pPr>
        <w:jc w:val="both"/>
        <w:rPr>
          <w:rFonts w:ascii="Arial Narrow" w:hAnsi="Arial Narrow"/>
          <w:sz w:val="18"/>
          <w:szCs w:val="18"/>
        </w:rPr>
        <w:sectPr w:rsidR="000151E2" w:rsidSect="00CF6E83">
          <w:headerReference w:type="default" r:id="rId17"/>
          <w:footerReference w:type="default" r:id="rId18"/>
          <w:headerReference w:type="first" r:id="rId19"/>
          <w:pgSz w:w="11907" w:h="16840" w:code="9"/>
          <w:pgMar w:top="851" w:right="1247" w:bottom="1191" w:left="1247" w:header="709" w:footer="709" w:gutter="0"/>
          <w:cols w:space="708"/>
          <w:titlePg/>
          <w:docGrid w:linePitch="360"/>
        </w:sectPr>
      </w:pPr>
    </w:p>
    <w:p w:rsidR="00866AA9" w:rsidRDefault="00866AA9" w:rsidP="00866AA9">
      <w:pPr>
        <w:pStyle w:val="Heading1"/>
        <w:keepNext/>
        <w:spacing w:after="0"/>
        <w:ind w:left="0" w:firstLine="0"/>
        <w:jc w:val="center"/>
        <w:rPr>
          <w:rFonts w:ascii="Arial" w:eastAsia="SimSun" w:hAnsi="Arial" w:cs="Arial"/>
          <w:bCs/>
          <w:caps/>
          <w:color w:val="auto"/>
          <w:kern w:val="32"/>
          <w:sz w:val="22"/>
          <w:szCs w:val="22"/>
          <w:lang w:val="en-US"/>
        </w:rPr>
      </w:pPr>
      <w:bookmarkStart w:id="10" w:name="_Toc292716986"/>
      <w:bookmarkStart w:id="11" w:name="_Toc292717126"/>
      <w:bookmarkStart w:id="12" w:name="_Toc292717463"/>
      <w:r>
        <w:rPr>
          <w:rFonts w:ascii="Arial" w:eastAsia="SimSun" w:hAnsi="Arial" w:cs="Arial"/>
          <w:bCs/>
          <w:caps/>
          <w:color w:val="auto"/>
          <w:kern w:val="32"/>
          <w:sz w:val="22"/>
          <w:szCs w:val="22"/>
          <w:lang w:val="en-US"/>
        </w:rPr>
        <w:lastRenderedPageBreak/>
        <w:t>ANNUAL FINANCIAL REPORT</w:t>
      </w:r>
    </w:p>
    <w:p w:rsidR="00866AA9" w:rsidRDefault="00866AA9" w:rsidP="00DF6FD4">
      <w:pPr>
        <w:pStyle w:val="Heading1"/>
        <w:keepNext/>
        <w:spacing w:after="0"/>
        <w:ind w:left="0" w:firstLine="0"/>
        <w:jc w:val="both"/>
        <w:rPr>
          <w:rFonts w:ascii="Arial" w:eastAsia="SimSun" w:hAnsi="Arial" w:cs="Arial"/>
          <w:bCs/>
          <w:caps/>
          <w:color w:val="auto"/>
          <w:kern w:val="32"/>
          <w:sz w:val="22"/>
          <w:szCs w:val="22"/>
          <w:lang w:val="en-US"/>
        </w:rPr>
      </w:pPr>
    </w:p>
    <w:p w:rsidR="00F731FB" w:rsidRPr="00DD7004" w:rsidRDefault="00F731FB" w:rsidP="00DF6FD4">
      <w:pPr>
        <w:pStyle w:val="Heading1"/>
        <w:keepNext/>
        <w:spacing w:after="0"/>
        <w:ind w:left="0" w:firstLine="0"/>
        <w:jc w:val="both"/>
        <w:rPr>
          <w:bCs/>
          <w:color w:val="auto"/>
          <w:sz w:val="22"/>
          <w:szCs w:val="22"/>
        </w:rPr>
      </w:pPr>
      <w:r w:rsidRPr="00DD7004">
        <w:rPr>
          <w:rFonts w:ascii="Arial" w:eastAsia="SimSun" w:hAnsi="Arial" w:cs="Arial"/>
          <w:bCs/>
          <w:caps/>
          <w:color w:val="auto"/>
          <w:kern w:val="32"/>
          <w:sz w:val="22"/>
          <w:szCs w:val="22"/>
          <w:lang w:val="en-US"/>
        </w:rPr>
        <w:t>INTRODUCTION</w:t>
      </w:r>
      <w:bookmarkEnd w:id="10"/>
      <w:bookmarkEnd w:id="11"/>
      <w:bookmarkEnd w:id="12"/>
    </w:p>
    <w:p w:rsidR="00F731FB" w:rsidRPr="00F0079E" w:rsidRDefault="005A588B" w:rsidP="00F0079E">
      <w:pPr>
        <w:pStyle w:val="STYLE2LASTONE"/>
        <w:jc w:val="both"/>
        <w:rPr>
          <w:sz w:val="22"/>
          <w:szCs w:val="22"/>
          <w:lang w:val="en-US"/>
        </w:rPr>
      </w:pPr>
      <w:bookmarkStart w:id="13" w:name="_Toc301187110"/>
      <w:r w:rsidRPr="00DD7004">
        <w:t>Introduction</w:t>
      </w:r>
      <w:bookmarkEnd w:id="13"/>
    </w:p>
    <w:p w:rsidR="00F731FB" w:rsidRDefault="00DD488D" w:rsidP="00D27FF4">
      <w:pPr>
        <w:pStyle w:val="ONUME"/>
        <w:numPr>
          <w:ilvl w:val="0"/>
          <w:numId w:val="47"/>
        </w:numPr>
        <w:jc w:val="both"/>
      </w:pPr>
      <w:r w:rsidRPr="00D27FF4">
        <w:rPr>
          <w:szCs w:val="22"/>
        </w:rPr>
        <w:t>T</w:t>
      </w:r>
      <w:r w:rsidR="00F731FB" w:rsidRPr="00D27FF4">
        <w:rPr>
          <w:szCs w:val="22"/>
        </w:rPr>
        <w:t>he financial statements of the World Intellectual Property Organization (WIPO) for the year ended</w:t>
      </w:r>
      <w:r w:rsidR="00F731FB">
        <w:t xml:space="preserve"> December</w:t>
      </w:r>
      <w:r w:rsidR="007A563C">
        <w:t xml:space="preserve"> 31,</w:t>
      </w:r>
      <w:r w:rsidR="00F731FB">
        <w:t xml:space="preserve"> 201</w:t>
      </w:r>
      <w:r w:rsidR="00DF6FD4">
        <w:t>2</w:t>
      </w:r>
      <w:r w:rsidR="00CA6FF3">
        <w:t xml:space="preserve"> are</w:t>
      </w:r>
      <w:r>
        <w:t xml:space="preserve"> submitted to the Assemblies of the Member States of WIPO in accordance with Regulation 6.7 of the Financial Regulations and Rules</w:t>
      </w:r>
      <w:r w:rsidR="00F731FB">
        <w:t>.</w:t>
      </w:r>
      <w:r w:rsidR="00C476F7">
        <w:t xml:space="preserve"> The financial statements have been prepared in accordance with the International Public Sector</w:t>
      </w:r>
      <w:r w:rsidR="00DA1E95">
        <w:t xml:space="preserve"> Accounting Stand</w:t>
      </w:r>
      <w:r w:rsidR="00AC76DC">
        <w:t>ards (IPSAS). This is the third</w:t>
      </w:r>
      <w:r w:rsidR="00DA1E95">
        <w:t xml:space="preserve"> set of financial statements that have been prepared under IPSAS, following </w:t>
      </w:r>
      <w:r w:rsidR="001C2DBC">
        <w:t>their</w:t>
      </w:r>
      <w:r w:rsidR="00DA1E95">
        <w:t xml:space="preserve"> implementation at WIPO from January 1, 2010.</w:t>
      </w:r>
    </w:p>
    <w:p w:rsidR="00F731FB" w:rsidRDefault="00F731FB" w:rsidP="00DF6FD4">
      <w:pPr>
        <w:pStyle w:val="ONUME"/>
        <w:jc w:val="both"/>
        <w:rPr>
          <w:szCs w:val="22"/>
        </w:rPr>
      </w:pPr>
      <w:r>
        <w:rPr>
          <w:szCs w:val="22"/>
        </w:rPr>
        <w:t>The report of the External Auditor on the audit of the 201</w:t>
      </w:r>
      <w:r w:rsidR="00DF6FD4">
        <w:rPr>
          <w:szCs w:val="22"/>
        </w:rPr>
        <w:t>2</w:t>
      </w:r>
      <w:r>
        <w:rPr>
          <w:szCs w:val="22"/>
        </w:rPr>
        <w:t xml:space="preserve"> financial statements, together with his opinion on the financial statements, are also submitted to the Assemblies of the Member States of WIPO as prescribed under Regulation 8.11 and Annex II of the Financial Regulations and Rules</w:t>
      </w:r>
      <w:r w:rsidR="002D6885">
        <w:rPr>
          <w:szCs w:val="22"/>
        </w:rPr>
        <w:t xml:space="preserve"> (FRR)</w:t>
      </w:r>
      <w:r>
        <w:rPr>
          <w:szCs w:val="22"/>
        </w:rPr>
        <w:t>.</w:t>
      </w:r>
    </w:p>
    <w:p w:rsidR="00DD7004" w:rsidRPr="00DD7004" w:rsidRDefault="00DD7004" w:rsidP="00F0079E">
      <w:pPr>
        <w:pStyle w:val="ONUME"/>
        <w:spacing w:after="0"/>
        <w:jc w:val="both"/>
        <w:rPr>
          <w:szCs w:val="22"/>
        </w:rPr>
      </w:pPr>
      <w:r w:rsidRPr="00DD7004">
        <w:rPr>
          <w:szCs w:val="22"/>
        </w:rPr>
        <w:t>The</w:t>
      </w:r>
      <w:r w:rsidR="003D7FD0">
        <w:rPr>
          <w:szCs w:val="22"/>
        </w:rPr>
        <w:t xml:space="preserve"> financial statements, along with financial statement discussion and analysis, are presented in this annual financial report.</w:t>
      </w:r>
    </w:p>
    <w:p w:rsidR="00DD7004" w:rsidRPr="00DD7004" w:rsidRDefault="00DD7004" w:rsidP="00F0079E">
      <w:pPr>
        <w:pStyle w:val="ONUME"/>
        <w:numPr>
          <w:ilvl w:val="0"/>
          <w:numId w:val="0"/>
        </w:numPr>
        <w:spacing w:after="0"/>
        <w:jc w:val="both"/>
        <w:rPr>
          <w:szCs w:val="22"/>
        </w:rPr>
      </w:pPr>
    </w:p>
    <w:p w:rsidR="00DD7004" w:rsidRPr="006428D6" w:rsidRDefault="00DD7004" w:rsidP="00F0079E">
      <w:pPr>
        <w:pStyle w:val="Heading1"/>
        <w:keepNext/>
        <w:spacing w:after="0"/>
        <w:ind w:left="0" w:firstLine="0"/>
        <w:jc w:val="both"/>
        <w:rPr>
          <w:bCs/>
          <w:color w:val="auto"/>
          <w:sz w:val="22"/>
          <w:szCs w:val="22"/>
          <w:lang w:val="en-US"/>
        </w:rPr>
      </w:pPr>
      <w:r>
        <w:rPr>
          <w:rFonts w:ascii="Arial" w:eastAsia="SimSun" w:hAnsi="Arial" w:cs="Arial"/>
          <w:bCs/>
          <w:caps/>
          <w:color w:val="auto"/>
          <w:kern w:val="32"/>
          <w:sz w:val="22"/>
          <w:szCs w:val="22"/>
          <w:lang w:val="en-US"/>
        </w:rPr>
        <w:t xml:space="preserve">FINANCIAL </w:t>
      </w:r>
      <w:r w:rsidR="00F057F7">
        <w:rPr>
          <w:rFonts w:ascii="Arial" w:eastAsia="SimSun" w:hAnsi="Arial" w:cs="Arial"/>
          <w:bCs/>
          <w:caps/>
          <w:color w:val="auto"/>
          <w:kern w:val="32"/>
          <w:sz w:val="22"/>
          <w:szCs w:val="22"/>
          <w:lang w:val="en-US"/>
        </w:rPr>
        <w:t>STATEMENT DISCUSSION AND ANALYSIS</w:t>
      </w:r>
    </w:p>
    <w:p w:rsidR="00DD7004" w:rsidRPr="00DD7004" w:rsidRDefault="00DD7004" w:rsidP="00F0079E">
      <w:pPr>
        <w:pStyle w:val="STYLE2LASTONE"/>
        <w:jc w:val="both"/>
        <w:rPr>
          <w:sz w:val="22"/>
          <w:szCs w:val="22"/>
          <w:lang w:val="en-US"/>
        </w:rPr>
      </w:pPr>
      <w:r w:rsidRPr="00DD7004">
        <w:rPr>
          <w:sz w:val="22"/>
          <w:szCs w:val="22"/>
          <w:lang w:val="en-US"/>
        </w:rPr>
        <w:t>Introduction</w:t>
      </w:r>
    </w:p>
    <w:p w:rsidR="00E33231" w:rsidRDefault="00F057F7" w:rsidP="00F0079E">
      <w:pPr>
        <w:pStyle w:val="ONUME"/>
        <w:spacing w:after="0"/>
        <w:jc w:val="both"/>
        <w:rPr>
          <w:szCs w:val="22"/>
        </w:rPr>
      </w:pPr>
      <w:r>
        <w:rPr>
          <w:szCs w:val="22"/>
        </w:rPr>
        <w:t xml:space="preserve">This section of WIPO’s annual financial report presents discussion and analysis of the Organization’s financial performance and position during the year ended December 31, 2012. This discussion and analysis is not part of WIPO’s financial statements; however, it should be read together with WIPO’s </w:t>
      </w:r>
      <w:r w:rsidR="004E4FE5">
        <w:rPr>
          <w:szCs w:val="22"/>
        </w:rPr>
        <w:t xml:space="preserve">financial statements on pages </w:t>
      </w:r>
      <w:r w:rsidR="004D30DB">
        <w:rPr>
          <w:szCs w:val="22"/>
        </w:rPr>
        <w:t>12</w:t>
      </w:r>
      <w:r w:rsidR="004E4FE5">
        <w:rPr>
          <w:szCs w:val="22"/>
        </w:rPr>
        <w:t xml:space="preserve"> to </w:t>
      </w:r>
      <w:r w:rsidR="00B430C1">
        <w:rPr>
          <w:szCs w:val="22"/>
        </w:rPr>
        <w:t>52</w:t>
      </w:r>
      <w:r w:rsidR="00AC76DC">
        <w:rPr>
          <w:szCs w:val="22"/>
        </w:rPr>
        <w:t>.</w:t>
      </w:r>
    </w:p>
    <w:p w:rsidR="00F0079E" w:rsidRPr="00F0079E" w:rsidRDefault="00F0079E" w:rsidP="00F0079E">
      <w:pPr>
        <w:pStyle w:val="ONUME"/>
        <w:numPr>
          <w:ilvl w:val="0"/>
          <w:numId w:val="0"/>
        </w:numPr>
        <w:spacing w:after="0"/>
        <w:jc w:val="both"/>
        <w:rPr>
          <w:szCs w:val="22"/>
        </w:rPr>
      </w:pPr>
    </w:p>
    <w:p w:rsidR="00A60E47" w:rsidRPr="00A60E47" w:rsidRDefault="00A60E47" w:rsidP="00A60E47">
      <w:pPr>
        <w:pStyle w:val="ONUME"/>
        <w:numPr>
          <w:ilvl w:val="0"/>
          <w:numId w:val="0"/>
        </w:numPr>
        <w:jc w:val="both"/>
        <w:rPr>
          <w:b/>
          <w:szCs w:val="22"/>
        </w:rPr>
      </w:pPr>
      <w:r>
        <w:rPr>
          <w:b/>
          <w:szCs w:val="22"/>
        </w:rPr>
        <w:t>The Move to IPSAS</w:t>
      </w:r>
    </w:p>
    <w:p w:rsidR="00A60E47" w:rsidRPr="00CD3C3C" w:rsidRDefault="00CD3C3C" w:rsidP="00DF6FD4">
      <w:pPr>
        <w:pStyle w:val="ONUME"/>
        <w:jc w:val="both"/>
        <w:rPr>
          <w:szCs w:val="22"/>
        </w:rPr>
      </w:pPr>
      <w:r>
        <w:rPr>
          <w:szCs w:val="22"/>
        </w:rPr>
        <w:t xml:space="preserve">On </w:t>
      </w:r>
      <w:r w:rsidRPr="00D2682B">
        <w:rPr>
          <w:szCs w:val="22"/>
        </w:rPr>
        <w:t>November</w:t>
      </w:r>
      <w:r>
        <w:rPr>
          <w:szCs w:val="22"/>
        </w:rPr>
        <w:t xml:space="preserve"> 30,</w:t>
      </w:r>
      <w:r w:rsidRPr="00D2682B">
        <w:rPr>
          <w:szCs w:val="22"/>
        </w:rPr>
        <w:t xml:space="preserve"> 2005, the High-Level Committee of Management (HLCM) recommended that all United Nations system organizations adopt IPSAS as their accounting standard</w:t>
      </w:r>
      <w:r w:rsidR="007C653E">
        <w:rPr>
          <w:szCs w:val="22"/>
        </w:rPr>
        <w:t xml:space="preserve"> for the preparation of financial statements</w:t>
      </w:r>
      <w:r w:rsidRPr="00D2682B">
        <w:rPr>
          <w:szCs w:val="22"/>
        </w:rPr>
        <w:t xml:space="preserve"> effective no later than 2010.</w:t>
      </w:r>
      <w:r>
        <w:rPr>
          <w:szCs w:val="22"/>
        </w:rPr>
        <w:t xml:space="preserve"> This recommendation was driven by a clearly identified </w:t>
      </w:r>
      <w:r w:rsidRPr="001A3D84">
        <w:rPr>
          <w:szCs w:val="22"/>
        </w:rPr>
        <w:t>need within the UN system to move to improved, independent and universally accepted accounting standards, with the aim of increasing quality and credibility in financial reporting.</w:t>
      </w:r>
      <w:r>
        <w:rPr>
          <w:szCs w:val="22"/>
        </w:rPr>
        <w:t xml:space="preserve"> The IPSAS standards are developed by the</w:t>
      </w:r>
      <w:r>
        <w:rPr>
          <w:rFonts w:ascii="Times-Roman" w:hAnsi="Times-Roman"/>
        </w:rPr>
        <w:t xml:space="preserve"> International Public Sector Accounting Standards Board (IPSASB) which is part of the International Federation of Accounts (IFAC).</w:t>
      </w:r>
    </w:p>
    <w:p w:rsidR="00CD3C3C" w:rsidRDefault="00CD3C3C" w:rsidP="00DF6FD4">
      <w:pPr>
        <w:pStyle w:val="ONUME"/>
        <w:jc w:val="both"/>
        <w:rPr>
          <w:szCs w:val="22"/>
        </w:rPr>
      </w:pPr>
      <w:r>
        <w:rPr>
          <w:szCs w:val="22"/>
        </w:rPr>
        <w:t>At the forty-third session of the Assemblies (September 24 to October 3, 2007), the Member States agreed in principle to the adoption by WIPO of IPSAS by 2010. The project to implement IPSAS at WIPO involved significant IT development and modifications, and the proposal for this work was approved by the forty-sixth session of the Assemblies in December 2008. Although many UN organizations pushed back the original IPSAS implementation deadline, WIPO maintained the 2010 target date. As WIPO received an unqualified audit opinion for its 2010 financial statements, it became one of only nine UN organizations to adopt IPSAS by the originally planned date of January 1, 2010</w:t>
      </w:r>
      <w:r w:rsidR="007C653E">
        <w:rPr>
          <w:szCs w:val="22"/>
        </w:rPr>
        <w:t>.</w:t>
      </w:r>
    </w:p>
    <w:p w:rsidR="007C653E" w:rsidRDefault="007C653E" w:rsidP="00DF6FD4">
      <w:pPr>
        <w:pStyle w:val="ONUME"/>
        <w:jc w:val="both"/>
        <w:rPr>
          <w:szCs w:val="22"/>
        </w:rPr>
      </w:pPr>
      <w:r>
        <w:rPr>
          <w:szCs w:val="22"/>
        </w:rPr>
        <w:t>Applying</w:t>
      </w:r>
      <w:r w:rsidRPr="001E5B99">
        <w:rPr>
          <w:szCs w:val="22"/>
        </w:rPr>
        <w:t xml:space="preserve"> IPSAS</w:t>
      </w:r>
      <w:r>
        <w:rPr>
          <w:szCs w:val="22"/>
        </w:rPr>
        <w:t xml:space="preserve"> </w:t>
      </w:r>
      <w:r w:rsidRPr="001E5B99">
        <w:rPr>
          <w:szCs w:val="22"/>
        </w:rPr>
        <w:t xml:space="preserve">requires the introduction of the full accrual basis of accounting. Accrual basis accounting </w:t>
      </w:r>
      <w:r>
        <w:rPr>
          <w:szCs w:val="22"/>
        </w:rPr>
        <w:t>involves</w:t>
      </w:r>
      <w:r w:rsidRPr="001E5B99">
        <w:rPr>
          <w:szCs w:val="22"/>
        </w:rPr>
        <w:t xml:space="preserve"> the recognition of transactions and events when they occur,</w:t>
      </w:r>
      <w:r>
        <w:rPr>
          <w:szCs w:val="22"/>
        </w:rPr>
        <w:t xml:space="preserve"> meaning that they are</w:t>
      </w:r>
      <w:r w:rsidRPr="001E5B99">
        <w:rPr>
          <w:szCs w:val="22"/>
        </w:rPr>
        <w:t xml:space="preserve"> recorded in the accounting records and reported in the financial statements of the financial periods to which they relate</w:t>
      </w:r>
      <w:r>
        <w:rPr>
          <w:szCs w:val="22"/>
        </w:rPr>
        <w:t>, and not only when cash or its equivalent is received or paid.</w:t>
      </w:r>
    </w:p>
    <w:p w:rsidR="00973F09" w:rsidRDefault="00973F09" w:rsidP="00DF6FD4">
      <w:pPr>
        <w:pStyle w:val="ONUME"/>
        <w:jc w:val="both"/>
        <w:rPr>
          <w:szCs w:val="22"/>
        </w:rPr>
      </w:pPr>
      <w:r>
        <w:rPr>
          <w:szCs w:val="22"/>
        </w:rPr>
        <w:t xml:space="preserve">The </w:t>
      </w:r>
      <w:r w:rsidRPr="00AE0540">
        <w:rPr>
          <w:szCs w:val="22"/>
        </w:rPr>
        <w:t xml:space="preserve">implementation of IPSAS does not currently impact the preparation of the </w:t>
      </w:r>
      <w:r>
        <w:rPr>
          <w:szCs w:val="22"/>
        </w:rPr>
        <w:t>WIPO Program</w:t>
      </w:r>
      <w:r w:rsidRPr="00646959">
        <w:rPr>
          <w:szCs w:val="22"/>
        </w:rPr>
        <w:t xml:space="preserve"> and Budget,</w:t>
      </w:r>
      <w:r w:rsidRPr="00AE0540">
        <w:rPr>
          <w:szCs w:val="22"/>
        </w:rPr>
        <w:t xml:space="preserve"> which is st</w:t>
      </w:r>
      <w:r>
        <w:rPr>
          <w:szCs w:val="22"/>
        </w:rPr>
        <w:t>ill presented on a modified accrual</w:t>
      </w:r>
      <w:r w:rsidRPr="00AE0540">
        <w:rPr>
          <w:szCs w:val="22"/>
        </w:rPr>
        <w:t xml:space="preserve"> basis. As th</w:t>
      </w:r>
      <w:r>
        <w:rPr>
          <w:szCs w:val="22"/>
        </w:rPr>
        <w:t>is basis differs from the</w:t>
      </w:r>
      <w:r w:rsidR="005D295D">
        <w:rPr>
          <w:szCs w:val="22"/>
        </w:rPr>
        <w:t xml:space="preserve"> full</w:t>
      </w:r>
      <w:r>
        <w:rPr>
          <w:szCs w:val="22"/>
        </w:rPr>
        <w:t xml:space="preserve"> accrual basis applied to the financial statements, reconciliation between the budget and the financial statements is provided in accordance with the requirements of IPSAS.</w:t>
      </w:r>
    </w:p>
    <w:p w:rsidR="00AC76DC" w:rsidRPr="00AC76DC" w:rsidRDefault="00AC76DC" w:rsidP="00AC76DC">
      <w:pPr>
        <w:pStyle w:val="ONUME"/>
        <w:numPr>
          <w:ilvl w:val="0"/>
          <w:numId w:val="0"/>
        </w:numPr>
        <w:jc w:val="both"/>
        <w:rPr>
          <w:b/>
          <w:szCs w:val="22"/>
        </w:rPr>
      </w:pPr>
      <w:r>
        <w:rPr>
          <w:b/>
          <w:szCs w:val="22"/>
        </w:rPr>
        <w:lastRenderedPageBreak/>
        <w:t>Overview of the Financial Statements</w:t>
      </w:r>
    </w:p>
    <w:p w:rsidR="00DD7004" w:rsidRDefault="00AC76DC" w:rsidP="00DF6FD4">
      <w:pPr>
        <w:pStyle w:val="ONUME"/>
        <w:jc w:val="both"/>
        <w:rPr>
          <w:szCs w:val="22"/>
        </w:rPr>
      </w:pPr>
      <w:r>
        <w:rPr>
          <w:szCs w:val="22"/>
        </w:rPr>
        <w:t>The financial statements</w:t>
      </w:r>
      <w:r w:rsidR="00A60E47">
        <w:rPr>
          <w:szCs w:val="22"/>
        </w:rPr>
        <w:t xml:space="preserve"> prepared in accordance with IPSAS</w:t>
      </w:r>
      <w:r>
        <w:rPr>
          <w:szCs w:val="22"/>
        </w:rPr>
        <w:t xml:space="preserve"> consist of:</w:t>
      </w:r>
    </w:p>
    <w:p w:rsidR="00A42779" w:rsidRDefault="00691D5D" w:rsidP="00AC76DC">
      <w:pPr>
        <w:pStyle w:val="ONUME"/>
        <w:numPr>
          <w:ilvl w:val="0"/>
          <w:numId w:val="40"/>
        </w:numPr>
        <w:jc w:val="both"/>
        <w:rPr>
          <w:szCs w:val="22"/>
        </w:rPr>
      </w:pPr>
      <w:r>
        <w:rPr>
          <w:szCs w:val="22"/>
        </w:rPr>
        <w:t>A S</w:t>
      </w:r>
      <w:r w:rsidR="00AC76DC">
        <w:rPr>
          <w:szCs w:val="22"/>
        </w:rPr>
        <w:t>tatement of Fin</w:t>
      </w:r>
      <w:r w:rsidR="0002279A">
        <w:rPr>
          <w:szCs w:val="22"/>
        </w:rPr>
        <w:t>ancial Position -</w:t>
      </w:r>
      <w:r w:rsidR="00A42779">
        <w:rPr>
          <w:szCs w:val="22"/>
        </w:rPr>
        <w:t xml:space="preserve"> </w:t>
      </w:r>
      <w:proofErr w:type="gramStart"/>
      <w:r w:rsidR="00A42779">
        <w:rPr>
          <w:szCs w:val="22"/>
        </w:rPr>
        <w:t>which details the net assets (the difference between total assets and total liabilities) of the Organization.</w:t>
      </w:r>
      <w:proofErr w:type="gramEnd"/>
      <w:r w:rsidR="00A42779">
        <w:rPr>
          <w:szCs w:val="22"/>
        </w:rPr>
        <w:t xml:space="preserve"> This statement provides information about the financial strength of the Organization, and the resources which are available to support its future objectives;</w:t>
      </w:r>
    </w:p>
    <w:p w:rsidR="00AC76DC" w:rsidRDefault="00A42779" w:rsidP="00AC76DC">
      <w:pPr>
        <w:pStyle w:val="ONUME"/>
        <w:numPr>
          <w:ilvl w:val="0"/>
          <w:numId w:val="40"/>
        </w:numPr>
        <w:jc w:val="both"/>
        <w:rPr>
          <w:szCs w:val="22"/>
        </w:rPr>
      </w:pPr>
      <w:r>
        <w:rPr>
          <w:szCs w:val="22"/>
        </w:rPr>
        <w:t>A Stat</w:t>
      </w:r>
      <w:r w:rsidR="0002279A">
        <w:rPr>
          <w:szCs w:val="22"/>
        </w:rPr>
        <w:t>ement of Financial Performance -</w:t>
      </w:r>
      <w:r>
        <w:rPr>
          <w:szCs w:val="22"/>
        </w:rPr>
        <w:t xml:space="preserve"> </w:t>
      </w:r>
      <w:proofErr w:type="gramStart"/>
      <w:r w:rsidR="00FC0FFB">
        <w:rPr>
          <w:szCs w:val="22"/>
        </w:rPr>
        <w:t>which measures the net surplus or deficit (the difference between total revenue and total expenses) for the year.</w:t>
      </w:r>
      <w:proofErr w:type="gramEnd"/>
      <w:r w:rsidR="00FC0FFB">
        <w:rPr>
          <w:szCs w:val="22"/>
        </w:rPr>
        <w:t xml:space="preserve"> This statement provides information </w:t>
      </w:r>
      <w:r w:rsidR="009F7625">
        <w:rPr>
          <w:szCs w:val="22"/>
        </w:rPr>
        <w:t>on the Organization’s sources of revenue, and the cost of</w:t>
      </w:r>
      <w:r w:rsidR="005D295D">
        <w:rPr>
          <w:szCs w:val="22"/>
        </w:rPr>
        <w:t xml:space="preserve"> its</w:t>
      </w:r>
      <w:r w:rsidR="009F7625">
        <w:rPr>
          <w:szCs w:val="22"/>
        </w:rPr>
        <w:t xml:space="preserve"> activities. The annual surplus or deficit is presented on a full accrual basis of accounting, recognizing revenue in the period it is earned and expenses when incurred, regardless of when the associated cash is received or paid;</w:t>
      </w:r>
    </w:p>
    <w:p w:rsidR="009F7625" w:rsidRDefault="009F7625" w:rsidP="00AC76DC">
      <w:pPr>
        <w:pStyle w:val="ONUME"/>
        <w:numPr>
          <w:ilvl w:val="0"/>
          <w:numId w:val="40"/>
        </w:numPr>
        <w:jc w:val="both"/>
        <w:rPr>
          <w:szCs w:val="22"/>
        </w:rPr>
      </w:pPr>
      <w:r>
        <w:rPr>
          <w:szCs w:val="22"/>
        </w:rPr>
        <w:t>A Stat</w:t>
      </w:r>
      <w:r w:rsidR="0002279A">
        <w:rPr>
          <w:szCs w:val="22"/>
        </w:rPr>
        <w:t>ement of Changes in Net Assets -</w:t>
      </w:r>
      <w:r>
        <w:rPr>
          <w:szCs w:val="22"/>
        </w:rPr>
        <w:t xml:space="preserve"> which identifies the change in the net asset position during the year. This statement highlights the sources of changes in the Organization’s overall financial position</w:t>
      </w:r>
      <w:r w:rsidR="00C6149B">
        <w:rPr>
          <w:szCs w:val="22"/>
        </w:rPr>
        <w:t>, including changes due to the surplus or deficit for the period;</w:t>
      </w:r>
    </w:p>
    <w:p w:rsidR="00C6149B" w:rsidRDefault="0002279A" w:rsidP="00AC76DC">
      <w:pPr>
        <w:pStyle w:val="ONUME"/>
        <w:numPr>
          <w:ilvl w:val="0"/>
          <w:numId w:val="40"/>
        </w:numPr>
        <w:jc w:val="both"/>
        <w:rPr>
          <w:szCs w:val="22"/>
        </w:rPr>
      </w:pPr>
      <w:r>
        <w:rPr>
          <w:szCs w:val="22"/>
        </w:rPr>
        <w:t>A Statement of Cash Flow -</w:t>
      </w:r>
      <w:r w:rsidR="00C6149B">
        <w:rPr>
          <w:szCs w:val="22"/>
        </w:rPr>
        <w:t xml:space="preserve"> </w:t>
      </w:r>
      <w:proofErr w:type="gramStart"/>
      <w:r w:rsidR="00C6149B">
        <w:rPr>
          <w:szCs w:val="22"/>
        </w:rPr>
        <w:t>which presents the movements of cash during the year resulting from operating, investing and financing activities.</w:t>
      </w:r>
      <w:proofErr w:type="gramEnd"/>
      <w:r w:rsidR="00C6149B">
        <w:rPr>
          <w:szCs w:val="22"/>
        </w:rPr>
        <w:t xml:space="preserve"> This statement provides information on how cash has been raised and used during the year, including borrowing and repayment of borrowing, and the acquisition and disposal of fixed assets. In contrast to the Statement of Financial Performance, the Organization’s net cash flow </w:t>
      </w:r>
      <w:r w:rsidR="007410B1">
        <w:rPr>
          <w:szCs w:val="22"/>
        </w:rPr>
        <w:t>measures the difference between cash coming into the Organization and cash going out</w:t>
      </w:r>
      <w:r w:rsidR="00C6149B">
        <w:rPr>
          <w:szCs w:val="22"/>
        </w:rPr>
        <w:t>;</w:t>
      </w:r>
    </w:p>
    <w:p w:rsidR="00C6149B" w:rsidRDefault="00C6149B" w:rsidP="00AC76DC">
      <w:pPr>
        <w:pStyle w:val="ONUME"/>
        <w:numPr>
          <w:ilvl w:val="0"/>
          <w:numId w:val="40"/>
        </w:numPr>
        <w:jc w:val="both"/>
        <w:rPr>
          <w:szCs w:val="22"/>
        </w:rPr>
      </w:pPr>
      <w:r>
        <w:rPr>
          <w:szCs w:val="22"/>
        </w:rPr>
        <w:t xml:space="preserve">A Statement of Comparison of Budget and Actual Amounts </w:t>
      </w:r>
      <w:r w:rsidR="0002279A">
        <w:rPr>
          <w:szCs w:val="22"/>
        </w:rPr>
        <w:t>-</w:t>
      </w:r>
      <w:r w:rsidR="007410B1">
        <w:rPr>
          <w:szCs w:val="22"/>
        </w:rPr>
        <w:t xml:space="preserve"> which presents a comparison of the budget amounts under the Program and Budget, and the actual amounts for the year. </w:t>
      </w:r>
      <w:r w:rsidR="007B63CE">
        <w:rPr>
          <w:szCs w:val="22"/>
        </w:rPr>
        <w:t>This statement is prepared on the budgetary basis which is a modified accrual basis. It provides information on the extent to which resources were obtained and used in accordance with the approved budget</w:t>
      </w:r>
      <w:r w:rsidR="00646473">
        <w:rPr>
          <w:szCs w:val="22"/>
        </w:rPr>
        <w:t>;</w:t>
      </w:r>
    </w:p>
    <w:p w:rsidR="00646473" w:rsidRDefault="00646473" w:rsidP="00AC76DC">
      <w:pPr>
        <w:pStyle w:val="ONUME"/>
        <w:numPr>
          <w:ilvl w:val="0"/>
          <w:numId w:val="40"/>
        </w:numPr>
        <w:jc w:val="both"/>
        <w:rPr>
          <w:szCs w:val="22"/>
        </w:rPr>
      </w:pPr>
      <w:r>
        <w:rPr>
          <w:szCs w:val="22"/>
        </w:rPr>
        <w:t xml:space="preserve">Notes to the Financial Statements </w:t>
      </w:r>
      <w:r w:rsidR="0002279A">
        <w:rPr>
          <w:szCs w:val="22"/>
        </w:rPr>
        <w:t>-</w:t>
      </w:r>
      <w:r>
        <w:rPr>
          <w:szCs w:val="22"/>
        </w:rPr>
        <w:t xml:space="preserve"> </w:t>
      </w:r>
      <w:r w:rsidR="00AF5E0B">
        <w:rPr>
          <w:szCs w:val="22"/>
        </w:rPr>
        <w:t xml:space="preserve">which assist in understanding the principal financial statements. The Notes comprise a summary of significant accounting policies and other explanatory information. They also disclose information </w:t>
      </w:r>
      <w:r w:rsidR="003D7FD0">
        <w:rPr>
          <w:szCs w:val="22"/>
        </w:rPr>
        <w:t>required by IPSAS which is not presented on the face of the principal financial statements.</w:t>
      </w:r>
    </w:p>
    <w:p w:rsidR="004951A2" w:rsidRPr="004951A2" w:rsidRDefault="003D7FD0" w:rsidP="004951A2">
      <w:pPr>
        <w:pStyle w:val="ONUME"/>
        <w:numPr>
          <w:ilvl w:val="0"/>
          <w:numId w:val="0"/>
        </w:numPr>
        <w:jc w:val="both"/>
        <w:rPr>
          <w:b/>
          <w:szCs w:val="22"/>
        </w:rPr>
      </w:pPr>
      <w:r>
        <w:rPr>
          <w:b/>
          <w:szCs w:val="22"/>
        </w:rPr>
        <w:t>Financial Statement Highlights</w:t>
      </w:r>
    </w:p>
    <w:p w:rsidR="00E87BE0" w:rsidRDefault="00BB53C3" w:rsidP="00DF6FD4">
      <w:pPr>
        <w:pStyle w:val="ONUME"/>
        <w:jc w:val="both"/>
        <w:rPr>
          <w:szCs w:val="22"/>
        </w:rPr>
      </w:pPr>
      <w:r>
        <w:rPr>
          <w:szCs w:val="22"/>
        </w:rPr>
        <w:t>The 2012 WIPO financial statements prepared in accordance with IPSAS sho</w:t>
      </w:r>
      <w:r w:rsidR="00E92395">
        <w:rPr>
          <w:szCs w:val="22"/>
        </w:rPr>
        <w:t>w a surplus for the year of 15.7</w:t>
      </w:r>
      <w:r>
        <w:rPr>
          <w:szCs w:val="22"/>
        </w:rPr>
        <w:t xml:space="preserve"> million Swiss francs, and a corresponding increase in net assets </w:t>
      </w:r>
      <w:r w:rsidR="00E87BE0">
        <w:rPr>
          <w:szCs w:val="22"/>
        </w:rPr>
        <w:t>from 162.5 milli</w:t>
      </w:r>
      <w:r w:rsidR="00E92395">
        <w:rPr>
          <w:szCs w:val="22"/>
        </w:rPr>
        <w:t>on Swiss francs in 2011 to 178.2</w:t>
      </w:r>
      <w:r w:rsidR="00E87BE0">
        <w:rPr>
          <w:szCs w:val="22"/>
        </w:rPr>
        <w:t xml:space="preserve"> million Swiss francs as at December 31, 2012.</w:t>
      </w:r>
    </w:p>
    <w:p w:rsidR="000122AD" w:rsidRDefault="00E87BE0" w:rsidP="00DF6FD4">
      <w:pPr>
        <w:pStyle w:val="ONUME"/>
        <w:jc w:val="both"/>
        <w:rPr>
          <w:szCs w:val="22"/>
        </w:rPr>
      </w:pPr>
      <w:r>
        <w:rPr>
          <w:szCs w:val="22"/>
        </w:rPr>
        <w:t xml:space="preserve">This surplus can be compared to a deficit of 32.2 million Swiss francs in 2011. Revenue in 2012 was up by </w:t>
      </w:r>
      <w:r w:rsidR="00B23E93">
        <w:rPr>
          <w:szCs w:val="22"/>
        </w:rPr>
        <w:t>43.8</w:t>
      </w:r>
      <w:r w:rsidR="000122AD">
        <w:rPr>
          <w:szCs w:val="22"/>
        </w:rPr>
        <w:t xml:space="preserve"> million Swiss francs on 2011, due principally to an increase in PCT acti</w:t>
      </w:r>
      <w:r w:rsidR="004E14EE">
        <w:rPr>
          <w:szCs w:val="22"/>
        </w:rPr>
        <w:t>vity. Total expenses fell by 4.1</w:t>
      </w:r>
      <w:r w:rsidR="000122AD">
        <w:rPr>
          <w:szCs w:val="22"/>
        </w:rPr>
        <w:t xml:space="preserve"> million Swiss francs</w:t>
      </w:r>
      <w:r w:rsidR="00E53FF8">
        <w:rPr>
          <w:szCs w:val="22"/>
        </w:rPr>
        <w:t xml:space="preserve"> or 1.3 </w:t>
      </w:r>
      <w:r w:rsidR="002D6885">
        <w:rPr>
          <w:szCs w:val="22"/>
        </w:rPr>
        <w:t>per cent</w:t>
      </w:r>
      <w:r w:rsidR="000122AD">
        <w:rPr>
          <w:szCs w:val="22"/>
        </w:rPr>
        <w:t xml:space="preserve"> compared to 2011, although personnel expenditure increased by 1.5 </w:t>
      </w:r>
      <w:r w:rsidR="002D6885">
        <w:rPr>
          <w:szCs w:val="22"/>
        </w:rPr>
        <w:t>per cent</w:t>
      </w:r>
      <w:r w:rsidR="000122AD">
        <w:rPr>
          <w:szCs w:val="22"/>
        </w:rPr>
        <w:t>.</w:t>
      </w:r>
    </w:p>
    <w:p w:rsidR="003D7FD0" w:rsidRDefault="000122AD" w:rsidP="00DF6FD4">
      <w:pPr>
        <w:pStyle w:val="ONUME"/>
        <w:jc w:val="both"/>
        <w:rPr>
          <w:szCs w:val="22"/>
        </w:rPr>
      </w:pPr>
      <w:r>
        <w:rPr>
          <w:szCs w:val="22"/>
        </w:rPr>
        <w:t xml:space="preserve">The composition of WIPO’s assets and liabilities remains broadly similar to 2011. Cash and cash equivalents total 408.1 million Swiss francs as at December 31, 2012, and represent 49.1 </w:t>
      </w:r>
      <w:r w:rsidR="002D6885">
        <w:rPr>
          <w:szCs w:val="22"/>
        </w:rPr>
        <w:t>per cent</w:t>
      </w:r>
      <w:r>
        <w:rPr>
          <w:szCs w:val="22"/>
        </w:rPr>
        <w:t xml:space="preserve"> of total assets. The Organization maintains significant investment in fixed assets, principally land, buildings, investment property and intangible assets with a</w:t>
      </w:r>
      <w:r w:rsidR="00E53FF8">
        <w:rPr>
          <w:szCs w:val="22"/>
        </w:rPr>
        <w:t xml:space="preserve"> total</w:t>
      </w:r>
      <w:r w:rsidR="00DE2646">
        <w:rPr>
          <w:szCs w:val="22"/>
        </w:rPr>
        <w:t xml:space="preserve"> net book value of 373.0</w:t>
      </w:r>
      <w:r w:rsidR="00BB53C3">
        <w:rPr>
          <w:szCs w:val="22"/>
        </w:rPr>
        <w:t xml:space="preserve"> </w:t>
      </w:r>
      <w:r w:rsidR="00E53FF8">
        <w:rPr>
          <w:szCs w:val="22"/>
        </w:rPr>
        <w:t xml:space="preserve">million Swiss francs, accounting for 44.9 </w:t>
      </w:r>
      <w:r w:rsidR="002D6885">
        <w:rPr>
          <w:szCs w:val="22"/>
        </w:rPr>
        <w:t>per cent</w:t>
      </w:r>
      <w:r w:rsidR="00E53FF8">
        <w:rPr>
          <w:szCs w:val="22"/>
        </w:rPr>
        <w:t xml:space="preserve"> of total assets.</w:t>
      </w:r>
    </w:p>
    <w:p w:rsidR="00E33231" w:rsidRDefault="00E33231" w:rsidP="00E33231">
      <w:pPr>
        <w:pStyle w:val="ONUME"/>
        <w:jc w:val="both"/>
        <w:rPr>
          <w:szCs w:val="22"/>
        </w:rPr>
      </w:pPr>
      <w:r>
        <w:rPr>
          <w:szCs w:val="22"/>
        </w:rPr>
        <w:lastRenderedPageBreak/>
        <w:t xml:space="preserve">The principal liabilities of the Organization as at December 31, 2012 are payables and advance receipts of 303.0 million Swiss francs (representing 46.4 </w:t>
      </w:r>
      <w:r w:rsidR="002D6885">
        <w:rPr>
          <w:szCs w:val="22"/>
        </w:rPr>
        <w:t>per cent</w:t>
      </w:r>
      <w:r>
        <w:rPr>
          <w:szCs w:val="22"/>
        </w:rPr>
        <w:t xml:space="preserve"> of total liabilities), em</w:t>
      </w:r>
      <w:r w:rsidR="00DE2646">
        <w:rPr>
          <w:szCs w:val="22"/>
        </w:rPr>
        <w:t>ployee benefit liabilities (21.7</w:t>
      </w:r>
      <w:r>
        <w:rPr>
          <w:szCs w:val="22"/>
        </w:rPr>
        <w:t xml:space="preserve"> </w:t>
      </w:r>
      <w:r w:rsidR="002D6885">
        <w:rPr>
          <w:szCs w:val="22"/>
        </w:rPr>
        <w:t>per cent</w:t>
      </w:r>
      <w:r>
        <w:rPr>
          <w:szCs w:val="22"/>
        </w:rPr>
        <w:t xml:space="preserve">) and borrowings (22.9 </w:t>
      </w:r>
      <w:r w:rsidR="002D6885">
        <w:rPr>
          <w:szCs w:val="22"/>
        </w:rPr>
        <w:t>per cent</w:t>
      </w:r>
      <w:r>
        <w:rPr>
          <w:szCs w:val="22"/>
        </w:rPr>
        <w:t>).</w:t>
      </w:r>
    </w:p>
    <w:p w:rsidR="003D7FD0" w:rsidRPr="003D7FD0" w:rsidRDefault="003D7FD0" w:rsidP="003D7FD0">
      <w:pPr>
        <w:pStyle w:val="ONUME"/>
        <w:numPr>
          <w:ilvl w:val="0"/>
          <w:numId w:val="0"/>
        </w:numPr>
        <w:jc w:val="both"/>
        <w:rPr>
          <w:b/>
          <w:szCs w:val="22"/>
        </w:rPr>
      </w:pPr>
      <w:r>
        <w:rPr>
          <w:b/>
          <w:szCs w:val="22"/>
        </w:rPr>
        <w:t>Financial Performance</w:t>
      </w:r>
    </w:p>
    <w:p w:rsidR="00AC76DC" w:rsidRDefault="004951A2" w:rsidP="00DF6FD4">
      <w:pPr>
        <w:pStyle w:val="ONUME"/>
        <w:jc w:val="both"/>
        <w:rPr>
          <w:szCs w:val="22"/>
        </w:rPr>
      </w:pPr>
      <w:r>
        <w:rPr>
          <w:szCs w:val="22"/>
        </w:rPr>
        <w:t>The Organization’s results for 2012 showe</w:t>
      </w:r>
      <w:r w:rsidR="00DE2646">
        <w:rPr>
          <w:szCs w:val="22"/>
        </w:rPr>
        <w:t>d a surplus for the year of 15.7</w:t>
      </w:r>
      <w:r>
        <w:rPr>
          <w:szCs w:val="22"/>
        </w:rPr>
        <w:t xml:space="preserve"> million Swiss francs, with total revenue of 337.0 million</w:t>
      </w:r>
      <w:r w:rsidR="00B12724">
        <w:rPr>
          <w:szCs w:val="22"/>
        </w:rPr>
        <w:t xml:space="preserve"> Swiss francs and</w:t>
      </w:r>
      <w:r w:rsidR="00DE2646">
        <w:rPr>
          <w:szCs w:val="22"/>
        </w:rPr>
        <w:t xml:space="preserve"> total expenses of 321.3</w:t>
      </w:r>
      <w:r>
        <w:rPr>
          <w:szCs w:val="22"/>
        </w:rPr>
        <w:t xml:space="preserve"> m</w:t>
      </w:r>
      <w:r w:rsidR="00615571">
        <w:rPr>
          <w:szCs w:val="22"/>
        </w:rPr>
        <w:t>illion Swiss francs</w:t>
      </w:r>
      <w:r>
        <w:rPr>
          <w:szCs w:val="22"/>
        </w:rPr>
        <w:t xml:space="preserve">. </w:t>
      </w:r>
      <w:r w:rsidR="00B12724">
        <w:rPr>
          <w:szCs w:val="22"/>
        </w:rPr>
        <w:t>This can be compared to a deficit of 32.2 million Swiss francs in 2</w:t>
      </w:r>
      <w:r w:rsidR="00F87ED3">
        <w:rPr>
          <w:szCs w:val="22"/>
        </w:rPr>
        <w:t>011, with total revenue of 293.2</w:t>
      </w:r>
      <w:r w:rsidR="00B12724">
        <w:rPr>
          <w:szCs w:val="22"/>
        </w:rPr>
        <w:t xml:space="preserve"> million Swiss fr</w:t>
      </w:r>
      <w:r w:rsidR="00F87ED3">
        <w:rPr>
          <w:szCs w:val="22"/>
        </w:rPr>
        <w:t>ancs and total expenses of 325.4</w:t>
      </w:r>
      <w:r w:rsidR="00B12724">
        <w:rPr>
          <w:szCs w:val="22"/>
        </w:rPr>
        <w:t xml:space="preserve"> million Swiss francs.</w:t>
      </w:r>
    </w:p>
    <w:p w:rsidR="00B12724" w:rsidRDefault="00B12724" w:rsidP="00DF6FD4">
      <w:pPr>
        <w:pStyle w:val="ONUME"/>
        <w:jc w:val="both"/>
        <w:rPr>
          <w:szCs w:val="22"/>
        </w:rPr>
      </w:pPr>
      <w:r>
        <w:rPr>
          <w:szCs w:val="22"/>
        </w:rPr>
        <w:t xml:space="preserve">The Program and Budget </w:t>
      </w:r>
      <w:r w:rsidR="006D2504">
        <w:rPr>
          <w:szCs w:val="22"/>
        </w:rPr>
        <w:t xml:space="preserve">result for 2012 prepared on a modified accrual basis (i.e. before the impact of IPSAS adjustments) was a surplus of 51.0 million Swiss francs. The </w:t>
      </w:r>
      <w:r w:rsidR="00707E97">
        <w:rPr>
          <w:szCs w:val="22"/>
        </w:rPr>
        <w:t>2012 result for the Organization under IPSAS includes Special Accounts, Projects financed from reserves, and the impact of adjustments related to full accrual accounting in accordance with IPSAS.</w:t>
      </w:r>
    </w:p>
    <w:p w:rsidR="005D295D" w:rsidRDefault="005D295D" w:rsidP="005D295D">
      <w:pPr>
        <w:pStyle w:val="ONUME"/>
        <w:numPr>
          <w:ilvl w:val="0"/>
          <w:numId w:val="0"/>
        </w:numPr>
        <w:jc w:val="center"/>
        <w:rPr>
          <w:szCs w:val="22"/>
        </w:rPr>
      </w:pPr>
      <w:r>
        <w:rPr>
          <w:szCs w:val="22"/>
        </w:rPr>
        <w:t>Summary of financial performance by business unit</w:t>
      </w:r>
    </w:p>
    <w:p w:rsidR="006D2504" w:rsidRPr="00DE2646" w:rsidRDefault="00BC7CD6" w:rsidP="006D2504">
      <w:pPr>
        <w:pStyle w:val="ONUME"/>
        <w:numPr>
          <w:ilvl w:val="0"/>
          <w:numId w:val="0"/>
        </w:numPr>
        <w:jc w:val="both"/>
        <w:rPr>
          <w:szCs w:val="22"/>
        </w:rPr>
      </w:pPr>
      <w:r>
        <w:rPr>
          <w:noProof/>
          <w:lang w:eastAsia="en-US"/>
        </w:rPr>
        <w:drawing>
          <wp:inline distT="0" distB="0" distL="0" distR="0">
            <wp:extent cx="5972175" cy="19907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1990725"/>
                    </a:xfrm>
                    <a:prstGeom prst="rect">
                      <a:avLst/>
                    </a:prstGeom>
                    <a:noFill/>
                    <a:ln>
                      <a:noFill/>
                    </a:ln>
                  </pic:spPr>
                </pic:pic>
              </a:graphicData>
            </a:graphic>
          </wp:inline>
        </w:drawing>
      </w:r>
    </w:p>
    <w:p w:rsidR="006D2504" w:rsidRDefault="006D2504" w:rsidP="00DF6FD4">
      <w:pPr>
        <w:pStyle w:val="ONUME"/>
        <w:jc w:val="both"/>
        <w:rPr>
          <w:szCs w:val="22"/>
        </w:rPr>
      </w:pPr>
      <w:r>
        <w:rPr>
          <w:szCs w:val="22"/>
        </w:rPr>
        <w:t xml:space="preserve">The chart below summarizes the principal differences </w:t>
      </w:r>
      <w:r w:rsidR="004B03AA">
        <w:rPr>
          <w:szCs w:val="22"/>
        </w:rPr>
        <w:t>between the Program and Budget surplus of 51.0 million Swiss francs, and the surplus for the whole Organization pr</w:t>
      </w:r>
      <w:r w:rsidR="00B23807">
        <w:rPr>
          <w:szCs w:val="22"/>
        </w:rPr>
        <w:t>epared on an IPSAS basis of 15.7</w:t>
      </w:r>
      <w:r w:rsidR="004B03AA">
        <w:rPr>
          <w:szCs w:val="22"/>
        </w:rPr>
        <w:t xml:space="preserve"> million Swiss francs:</w:t>
      </w:r>
    </w:p>
    <w:p w:rsidR="005D295D" w:rsidRDefault="005D295D" w:rsidP="005D295D">
      <w:pPr>
        <w:pStyle w:val="ONUME"/>
        <w:numPr>
          <w:ilvl w:val="0"/>
          <w:numId w:val="0"/>
        </w:numPr>
        <w:jc w:val="center"/>
        <w:rPr>
          <w:szCs w:val="22"/>
        </w:rPr>
      </w:pPr>
      <w:r>
        <w:rPr>
          <w:szCs w:val="22"/>
        </w:rPr>
        <w:t>Movement from budget result to IPSAS result 2012</w:t>
      </w:r>
    </w:p>
    <w:p w:rsidR="004B03AA" w:rsidRPr="005D775D" w:rsidRDefault="00BC7CD6" w:rsidP="004B03AA">
      <w:pPr>
        <w:pStyle w:val="ONUME"/>
        <w:numPr>
          <w:ilvl w:val="0"/>
          <w:numId w:val="0"/>
        </w:numPr>
        <w:jc w:val="both"/>
        <w:rPr>
          <w:szCs w:val="22"/>
        </w:rPr>
      </w:pPr>
      <w:r>
        <w:rPr>
          <w:noProof/>
          <w:lang w:eastAsia="en-US"/>
        </w:rPr>
        <w:drawing>
          <wp:inline distT="0" distB="0" distL="0" distR="0">
            <wp:extent cx="597217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2175" cy="3124200"/>
                    </a:xfrm>
                    <a:prstGeom prst="rect">
                      <a:avLst/>
                    </a:prstGeom>
                    <a:noFill/>
                    <a:ln>
                      <a:noFill/>
                    </a:ln>
                  </pic:spPr>
                </pic:pic>
              </a:graphicData>
            </a:graphic>
          </wp:inline>
        </w:drawing>
      </w:r>
    </w:p>
    <w:p w:rsidR="004B03AA" w:rsidRPr="00467B3A" w:rsidRDefault="004B03AA" w:rsidP="00DF6FD4">
      <w:pPr>
        <w:pStyle w:val="ONUME"/>
        <w:jc w:val="both"/>
        <w:rPr>
          <w:szCs w:val="22"/>
        </w:rPr>
      </w:pPr>
      <w:r>
        <w:lastRenderedPageBreak/>
        <w:t>The WIPO financial statements as prepared in accordance with IPSAS include all areas and activities of the whole Organization.  The inclusion of the results before IPSAS adjustments for Special Accounts (surplus of 2.4 million Swiss francs) and Projects financed from reserves (deficit 11.0 million Swiss francs) represent ‘</w:t>
      </w:r>
      <w:r w:rsidR="00467B3A">
        <w:t>entity differences’ between the budget result and the surplus per the financial statements.</w:t>
      </w:r>
    </w:p>
    <w:p w:rsidR="00467B3A" w:rsidRPr="00467B3A" w:rsidRDefault="00467B3A" w:rsidP="00DF6FD4">
      <w:pPr>
        <w:pStyle w:val="ONUME"/>
        <w:jc w:val="both"/>
        <w:rPr>
          <w:szCs w:val="22"/>
        </w:rPr>
      </w:pPr>
      <w:r>
        <w:t xml:space="preserve">The application of full accrual basis accounting in accordance with IPSAS leads to a number of ‘accounting basis differences’ which impact the result for the year.  The net impact of these adjustments for the biennium as shown in the </w:t>
      </w:r>
      <w:r w:rsidR="005D775D">
        <w:t>table above is a deficit of 26.6</w:t>
      </w:r>
      <w:r>
        <w:t xml:space="preserve"> million</w:t>
      </w:r>
      <w:r w:rsidR="006E3F2D">
        <w:t xml:space="preserve"> Swiss francs:</w:t>
      </w:r>
    </w:p>
    <w:p w:rsidR="00467B3A" w:rsidRPr="00467B3A" w:rsidRDefault="00467B3A" w:rsidP="006E3F2D">
      <w:pPr>
        <w:pStyle w:val="ONUME"/>
        <w:numPr>
          <w:ilvl w:val="0"/>
          <w:numId w:val="41"/>
        </w:numPr>
        <w:jc w:val="both"/>
        <w:rPr>
          <w:szCs w:val="22"/>
        </w:rPr>
      </w:pPr>
      <w:r>
        <w:t>Under IPSAS, revenue from voluntary contributions under Special Accounts is</w:t>
      </w:r>
      <w:r w:rsidR="000E4343">
        <w:t xml:space="preserve"> recognized as the conditions in the donor agreements are fulfilled and expense is incurred in line with the program of work. Where contributions received exceed the cost of work performed, the contributions are treated as deferred revenue liabilities</w:t>
      </w:r>
      <w:r w:rsidR="00784306">
        <w:t>, resulting in a reduction in the result for the year of 2.4 million Swiss francs</w:t>
      </w:r>
      <w:r w:rsidR="000E4343">
        <w:t>.</w:t>
      </w:r>
    </w:p>
    <w:p w:rsidR="00467B3A" w:rsidRPr="000E4343" w:rsidRDefault="00467B3A" w:rsidP="006E3F2D">
      <w:pPr>
        <w:pStyle w:val="ONUME"/>
        <w:numPr>
          <w:ilvl w:val="0"/>
          <w:numId w:val="42"/>
        </w:numPr>
        <w:jc w:val="both"/>
        <w:rPr>
          <w:szCs w:val="22"/>
        </w:rPr>
      </w:pPr>
      <w:r>
        <w:t xml:space="preserve"> </w:t>
      </w:r>
      <w:r w:rsidR="000E4343">
        <w:t xml:space="preserve">In </w:t>
      </w:r>
      <w:r>
        <w:t>applying IPSAS, revenue from fees is deferred until it is deemed to have been earned, which in the case of international applications is when final publication takes place.  If the balance of the deferred revenue liability increases, the IPSAS impact is a reduction in revenue.  The balance of de</w:t>
      </w:r>
      <w:r w:rsidR="002D6885">
        <w:t xml:space="preserve">ferred revenue from fees (PCT, Trademarks, </w:t>
      </w:r>
      <w:proofErr w:type="gramStart"/>
      <w:r w:rsidR="002D6885">
        <w:t>I</w:t>
      </w:r>
      <w:r>
        <w:t>ndustri</w:t>
      </w:r>
      <w:r w:rsidR="002D6885">
        <w:t>al</w:t>
      </w:r>
      <w:proofErr w:type="gramEnd"/>
      <w:r w:rsidR="002D6885">
        <w:t xml:space="preserve"> D</w:t>
      </w:r>
      <w:r w:rsidR="000E4343">
        <w:t>esigns) increased from 156.3 million Swiss francs as at December</w:t>
      </w:r>
      <w:r>
        <w:t xml:space="preserve"> </w:t>
      </w:r>
      <w:r w:rsidR="000E4343">
        <w:t>31, 2011</w:t>
      </w:r>
      <w:r w:rsidR="00EC3BA1">
        <w:t xml:space="preserve"> to 170</w:t>
      </w:r>
      <w:r>
        <w:t>.</w:t>
      </w:r>
      <w:r w:rsidR="00EC3BA1">
        <w:t>2</w:t>
      </w:r>
      <w:r w:rsidR="00784306">
        <w:t xml:space="preserve"> million</w:t>
      </w:r>
      <w:r>
        <w:t xml:space="preserve"> Swis</w:t>
      </w:r>
      <w:r w:rsidR="00EC3BA1">
        <w:t>s francs as at December 31, 2012</w:t>
      </w:r>
      <w:r>
        <w:t>.  Over the same period, rec</w:t>
      </w:r>
      <w:r w:rsidR="00784306">
        <w:t xml:space="preserve">eivables from PCT fees fell from 15.1 million Swiss francs to 13.9 </w:t>
      </w:r>
      <w:r>
        <w:t>m</w:t>
      </w:r>
      <w:r w:rsidR="00784306">
        <w:t>illion</w:t>
      </w:r>
      <w:r>
        <w:t xml:space="preserve"> Swiss francs.  The net impact</w:t>
      </w:r>
      <w:r w:rsidR="00784306">
        <w:t xml:space="preserve"> is a reduction in revenue of 15</w:t>
      </w:r>
      <w:r>
        <w:t>.</w:t>
      </w:r>
      <w:r w:rsidR="00784306">
        <w:t xml:space="preserve">1 </w:t>
      </w:r>
      <w:r>
        <w:t>m</w:t>
      </w:r>
      <w:r w:rsidR="00784306">
        <w:t>illion</w:t>
      </w:r>
      <w:r>
        <w:t xml:space="preserve"> Swiss francs</w:t>
      </w:r>
      <w:r w:rsidR="00784306">
        <w:t>.  During 2012, deferred revenue</w:t>
      </w:r>
      <w:r w:rsidR="006E3F2D">
        <w:t xml:space="preserve"> of 0.7 million Swiss francs</w:t>
      </w:r>
      <w:r w:rsidR="00784306">
        <w:t xml:space="preserve"> has also been</w:t>
      </w:r>
      <w:r w:rsidR="006E3F2D">
        <w:t xml:space="preserve"> recognized relating to the financ</w:t>
      </w:r>
      <w:r w:rsidR="00784306">
        <w:t xml:space="preserve">ing of </w:t>
      </w:r>
      <w:r w:rsidR="006E3F2D">
        <w:t>sec</w:t>
      </w:r>
      <w:r w:rsidR="006E3F2D">
        <w:rPr>
          <w:szCs w:val="22"/>
        </w:rPr>
        <w:t xml:space="preserve">urity constructions by the </w:t>
      </w:r>
      <w:r w:rsidR="006E3F2D">
        <w:t>Foundation for Buildings for International Organizations (</w:t>
      </w:r>
      <w:r w:rsidR="006E3F2D" w:rsidRPr="00F03904">
        <w:t>FIPOI)</w:t>
      </w:r>
      <w:r w:rsidR="006E3F2D">
        <w:t>.</w:t>
      </w:r>
    </w:p>
    <w:p w:rsidR="000E4343" w:rsidRPr="006E3F2D" w:rsidRDefault="006E3F2D" w:rsidP="006E3F2D">
      <w:pPr>
        <w:pStyle w:val="ONUME"/>
        <w:numPr>
          <w:ilvl w:val="0"/>
          <w:numId w:val="43"/>
        </w:numPr>
        <w:jc w:val="both"/>
        <w:rPr>
          <w:szCs w:val="22"/>
        </w:rPr>
      </w:pPr>
      <w:r>
        <w:t>The result for the year on an IPSAS basis includes the depreciation expense of buildings and equipment and the amortization expense of intangible assets, as the cost of these assets is spread over their useful lives.  The total cost of depreciation and amortization for the year was 8.1 million Swiss francs.</w:t>
      </w:r>
    </w:p>
    <w:p w:rsidR="006E3F2D" w:rsidRPr="006E3F2D" w:rsidRDefault="006E3F2D" w:rsidP="00C858F3">
      <w:pPr>
        <w:pStyle w:val="ONUME"/>
        <w:numPr>
          <w:ilvl w:val="0"/>
          <w:numId w:val="44"/>
        </w:numPr>
        <w:jc w:val="both"/>
        <w:rPr>
          <w:szCs w:val="22"/>
        </w:rPr>
      </w:pPr>
      <w:r>
        <w:t>IPSAS requires that employee benefits earned by staff but not yet paid be recognized as liabilities of the Organization.  As total employee benefit liabilities, including most significantl</w:t>
      </w:r>
      <w:r w:rsidR="004E4FE5">
        <w:t>y post-employment medical benefits</w:t>
      </w:r>
      <w:r>
        <w:t>, have increased there has been a corresponding expense for the Organization totaling 7.3 million Swiss francs.</w:t>
      </w:r>
    </w:p>
    <w:p w:rsidR="006E3F2D" w:rsidRPr="00C858F3" w:rsidRDefault="006E3F2D" w:rsidP="00C858F3">
      <w:pPr>
        <w:pStyle w:val="ONUME"/>
        <w:numPr>
          <w:ilvl w:val="0"/>
          <w:numId w:val="45"/>
        </w:numPr>
        <w:jc w:val="both"/>
        <w:rPr>
          <w:szCs w:val="22"/>
        </w:rPr>
      </w:pPr>
      <w:r>
        <w:t>Under IPSA</w:t>
      </w:r>
      <w:r w:rsidR="00C858F3">
        <w:t>S, costs</w:t>
      </w:r>
      <w:r>
        <w:t xml:space="preserve"> relating to the construction</w:t>
      </w:r>
      <w:r w:rsidR="00C858F3">
        <w:t xml:space="preserve"> and improvement</w:t>
      </w:r>
      <w:r>
        <w:t xml:space="preserve"> of buildings are capitalized. This reduces the </w:t>
      </w:r>
      <w:r w:rsidR="00C858F3">
        <w:t xml:space="preserve">expense for the year 2012 by 5.9 </w:t>
      </w:r>
      <w:r>
        <w:t>m</w:t>
      </w:r>
      <w:r w:rsidR="00C858F3">
        <w:t xml:space="preserve">illion Swiss francs. </w:t>
      </w:r>
      <w:r>
        <w:t>Similarly, the acquisition of</w:t>
      </w:r>
      <w:r w:rsidR="00C858F3">
        <w:t xml:space="preserve"> certain</w:t>
      </w:r>
      <w:r>
        <w:t xml:space="preserve"> equipment</w:t>
      </w:r>
      <w:r w:rsidR="00C858F3">
        <w:t xml:space="preserve"> and software</w:t>
      </w:r>
      <w:r>
        <w:t xml:space="preserve"> is capitalized under IPSAS, reducing the expense for the biennium b</w:t>
      </w:r>
      <w:r w:rsidR="00C858F3">
        <w:t>y 0.6 million Swiss francs</w:t>
      </w:r>
    </w:p>
    <w:p w:rsidR="00C858F3" w:rsidRPr="006E3F2D" w:rsidRDefault="004427F2" w:rsidP="00C858F3">
      <w:pPr>
        <w:pStyle w:val="ONUME"/>
        <w:numPr>
          <w:ilvl w:val="0"/>
          <w:numId w:val="45"/>
        </w:numPr>
        <w:jc w:val="both"/>
        <w:rPr>
          <w:szCs w:val="22"/>
        </w:rPr>
      </w:pPr>
      <w:r>
        <w:t>Other accounting basis differences concern principally t</w:t>
      </w:r>
      <w:r w:rsidR="00C858F3">
        <w:t>he investment property owned by the Organization</w:t>
      </w:r>
      <w:r>
        <w:t>, which</w:t>
      </w:r>
      <w:r w:rsidR="00C858F3">
        <w:t xml:space="preserve"> is recognized in the financial statements under IPSAS at its fair value. A revaluation of this property performed as at December 31, 2012 resulted in an increase in the fair value of 0.5 million Swiss francs, with a corresponding impact on the surplus for the year.</w:t>
      </w:r>
    </w:p>
    <w:p w:rsidR="00035BC0" w:rsidRDefault="00035BC0" w:rsidP="006E3F2D">
      <w:pPr>
        <w:pStyle w:val="ONUME"/>
        <w:numPr>
          <w:ilvl w:val="0"/>
          <w:numId w:val="0"/>
        </w:numPr>
        <w:jc w:val="both"/>
        <w:rPr>
          <w:i/>
        </w:rPr>
      </w:pPr>
    </w:p>
    <w:p w:rsidR="006E3F2D" w:rsidRDefault="00F0079E" w:rsidP="006E3F2D">
      <w:pPr>
        <w:pStyle w:val="ONUME"/>
        <w:numPr>
          <w:ilvl w:val="0"/>
          <w:numId w:val="0"/>
        </w:numPr>
        <w:jc w:val="both"/>
        <w:rPr>
          <w:i/>
        </w:rPr>
      </w:pPr>
      <w:r>
        <w:rPr>
          <w:i/>
        </w:rPr>
        <w:br w:type="page"/>
      </w:r>
      <w:r w:rsidR="006E3F2D">
        <w:rPr>
          <w:i/>
        </w:rPr>
        <w:lastRenderedPageBreak/>
        <w:t>Revenue Analysis</w:t>
      </w:r>
    </w:p>
    <w:p w:rsidR="005D295D" w:rsidRPr="005D295D" w:rsidRDefault="005D295D" w:rsidP="005D295D">
      <w:pPr>
        <w:pStyle w:val="ONUME"/>
        <w:numPr>
          <w:ilvl w:val="0"/>
          <w:numId w:val="0"/>
        </w:numPr>
        <w:jc w:val="center"/>
      </w:pPr>
      <w:r>
        <w:t>Composition of revenue 2012 on an IPSAS basis</w:t>
      </w:r>
    </w:p>
    <w:p w:rsidR="00691D5D" w:rsidRPr="00DD06BC" w:rsidRDefault="00BC7CD6" w:rsidP="00691D5D">
      <w:pPr>
        <w:pStyle w:val="ONUME"/>
        <w:numPr>
          <w:ilvl w:val="0"/>
          <w:numId w:val="0"/>
        </w:numPr>
        <w:jc w:val="center"/>
        <w:rPr>
          <w:i/>
          <w:szCs w:val="22"/>
        </w:rPr>
      </w:pPr>
      <w:r>
        <w:rPr>
          <w:noProof/>
          <w:lang w:eastAsia="en-US"/>
        </w:rPr>
        <w:drawing>
          <wp:inline distT="0" distB="0" distL="0" distR="0">
            <wp:extent cx="5000625"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625" cy="2933700"/>
                    </a:xfrm>
                    <a:prstGeom prst="rect">
                      <a:avLst/>
                    </a:prstGeom>
                    <a:noFill/>
                    <a:ln>
                      <a:noFill/>
                    </a:ln>
                  </pic:spPr>
                </pic:pic>
              </a:graphicData>
            </a:graphic>
          </wp:inline>
        </w:drawing>
      </w:r>
    </w:p>
    <w:p w:rsidR="00E22AA9" w:rsidRDefault="00E22AA9" w:rsidP="00DF6FD4">
      <w:pPr>
        <w:pStyle w:val="ONUME"/>
        <w:jc w:val="both"/>
        <w:rPr>
          <w:szCs w:val="22"/>
        </w:rPr>
      </w:pPr>
      <w:r>
        <w:rPr>
          <w:szCs w:val="22"/>
        </w:rPr>
        <w:t>Total revenue of the Organization for 2012 was 337.0 million Swiss francs</w:t>
      </w:r>
      <w:r w:rsidR="004427F2">
        <w:rPr>
          <w:szCs w:val="22"/>
        </w:rPr>
        <w:t>, representing an increase of 14.9</w:t>
      </w:r>
      <w:r>
        <w:rPr>
          <w:szCs w:val="22"/>
        </w:rPr>
        <w:t xml:space="preserve"> </w:t>
      </w:r>
      <w:r w:rsidR="002D6885">
        <w:rPr>
          <w:szCs w:val="22"/>
        </w:rPr>
        <w:t>per cent</w:t>
      </w:r>
      <w:r>
        <w:rPr>
          <w:szCs w:val="22"/>
        </w:rPr>
        <w:t xml:space="preserve"> compare</w:t>
      </w:r>
      <w:r w:rsidR="004427F2">
        <w:rPr>
          <w:szCs w:val="22"/>
        </w:rPr>
        <w:t>d to 2011 total revenue of 293.2</w:t>
      </w:r>
      <w:r>
        <w:rPr>
          <w:szCs w:val="22"/>
        </w:rPr>
        <w:t xml:space="preserve"> million Swiss francs.</w:t>
      </w:r>
    </w:p>
    <w:p w:rsidR="006E3F2D" w:rsidRDefault="00691D5D" w:rsidP="00DF6FD4">
      <w:pPr>
        <w:pStyle w:val="ONUME"/>
        <w:jc w:val="both"/>
        <w:rPr>
          <w:szCs w:val="22"/>
        </w:rPr>
      </w:pPr>
      <w:r>
        <w:rPr>
          <w:szCs w:val="22"/>
        </w:rPr>
        <w:t xml:space="preserve">The largest source of revenue during 2012 was PCT system fees, accounting for 73.7 </w:t>
      </w:r>
      <w:r w:rsidR="00805F6B">
        <w:rPr>
          <w:szCs w:val="22"/>
        </w:rPr>
        <w:t>per </w:t>
      </w:r>
      <w:r w:rsidR="002D6885">
        <w:rPr>
          <w:szCs w:val="22"/>
        </w:rPr>
        <w:t>cent</w:t>
      </w:r>
      <w:r>
        <w:rPr>
          <w:szCs w:val="22"/>
        </w:rPr>
        <w:t xml:space="preserve"> of total revenue.</w:t>
      </w:r>
      <w:r w:rsidR="00CF7A0D">
        <w:rPr>
          <w:szCs w:val="22"/>
        </w:rPr>
        <w:t xml:space="preserve"> Revenue from PCT system fees increased by 20.1 </w:t>
      </w:r>
      <w:r w:rsidR="002D6885">
        <w:rPr>
          <w:szCs w:val="22"/>
        </w:rPr>
        <w:t>per cent</w:t>
      </w:r>
      <w:r w:rsidR="00CF7A0D">
        <w:rPr>
          <w:szCs w:val="22"/>
        </w:rPr>
        <w:t xml:space="preserve"> from 2011. The number of applications in 2</w:t>
      </w:r>
      <w:r w:rsidR="00B23807">
        <w:rPr>
          <w:szCs w:val="22"/>
        </w:rPr>
        <w:t>012 totaled an estimated 194,400</w:t>
      </w:r>
      <w:r w:rsidR="00CF7A0D">
        <w:rPr>
          <w:szCs w:val="22"/>
        </w:rPr>
        <w:t xml:space="preserve">, compared to </w:t>
      </w:r>
      <w:r w:rsidR="00B23807">
        <w:rPr>
          <w:szCs w:val="22"/>
        </w:rPr>
        <w:t>181,500</w:t>
      </w:r>
      <w:r w:rsidR="00960397">
        <w:rPr>
          <w:szCs w:val="22"/>
        </w:rPr>
        <w:t xml:space="preserve"> in 2011. Note that in the IPSAS financial statements, revenue from applications is only recognized on publication</w:t>
      </w:r>
      <w:r w:rsidR="00E22AA9">
        <w:rPr>
          <w:szCs w:val="22"/>
        </w:rPr>
        <w:t xml:space="preserve"> of the application</w:t>
      </w:r>
      <w:r w:rsidR="00960397">
        <w:rPr>
          <w:szCs w:val="22"/>
        </w:rPr>
        <w:t>. WIPO also recognized significant exchange gains on payments of international fees, totaling 7.5 million Swiss francs.  This can be compared to an exchange loss in 2011 of 1</w:t>
      </w:r>
      <w:r w:rsidR="00B23807">
        <w:rPr>
          <w:szCs w:val="22"/>
        </w:rPr>
        <w:t>3.8</w:t>
      </w:r>
      <w:r w:rsidR="00960397">
        <w:rPr>
          <w:szCs w:val="22"/>
        </w:rPr>
        <w:t xml:space="preserve"> million Swiss francs.</w:t>
      </w:r>
    </w:p>
    <w:p w:rsidR="007D143D" w:rsidRDefault="00960397" w:rsidP="00DF6FD4">
      <w:pPr>
        <w:pStyle w:val="ONUME"/>
        <w:jc w:val="both"/>
        <w:rPr>
          <w:szCs w:val="22"/>
        </w:rPr>
      </w:pPr>
      <w:r>
        <w:rPr>
          <w:szCs w:val="22"/>
        </w:rPr>
        <w:t xml:space="preserve">Madrid system fees represent the second largest source of revenue for the Organization, accounting for 15.3 </w:t>
      </w:r>
      <w:r w:rsidR="002D6885">
        <w:rPr>
          <w:szCs w:val="22"/>
        </w:rPr>
        <w:t>per cent</w:t>
      </w:r>
      <w:r>
        <w:rPr>
          <w:szCs w:val="22"/>
        </w:rPr>
        <w:t xml:space="preserve"> of total revenue. </w:t>
      </w:r>
      <w:r w:rsidR="00E22AA9">
        <w:rPr>
          <w:szCs w:val="22"/>
        </w:rPr>
        <w:t>Revenue from Madrid</w:t>
      </w:r>
      <w:r w:rsidR="009323B6">
        <w:rPr>
          <w:szCs w:val="22"/>
        </w:rPr>
        <w:t xml:space="preserve"> system fees increased by 1.</w:t>
      </w:r>
      <w:r w:rsidR="009323B6" w:rsidRPr="00F87ED3">
        <w:t>2</w:t>
      </w:r>
      <w:r w:rsidR="00F87ED3">
        <w:t xml:space="preserve"> </w:t>
      </w:r>
      <w:r w:rsidR="002D6885">
        <w:t>per cent</w:t>
      </w:r>
      <w:r w:rsidR="00E22AA9">
        <w:rPr>
          <w:szCs w:val="22"/>
        </w:rPr>
        <w:t xml:space="preserve"> compared to 2011. Again, in accordance with IPSAS, revenue from fees is only recognized in the financial statements upon publication. </w:t>
      </w:r>
      <w:r w:rsidR="00B23807">
        <w:rPr>
          <w:szCs w:val="22"/>
        </w:rPr>
        <w:t xml:space="preserve">2012 saw an increase in the number of </w:t>
      </w:r>
      <w:r w:rsidR="00901505">
        <w:rPr>
          <w:szCs w:val="22"/>
        </w:rPr>
        <w:t>applications and renewals</w:t>
      </w:r>
      <w:r w:rsidR="00B23807">
        <w:rPr>
          <w:szCs w:val="22"/>
        </w:rPr>
        <w:t>, which totaled 63,790</w:t>
      </w:r>
      <w:r w:rsidR="00901505">
        <w:rPr>
          <w:szCs w:val="22"/>
        </w:rPr>
        <w:t xml:space="preserve"> compared to</w:t>
      </w:r>
      <w:r w:rsidR="00B23807">
        <w:rPr>
          <w:szCs w:val="22"/>
        </w:rPr>
        <w:t xml:space="preserve"> 62,455 in</w:t>
      </w:r>
      <w:r w:rsidR="00901505">
        <w:rPr>
          <w:szCs w:val="22"/>
        </w:rPr>
        <w:t xml:space="preserve"> 2011. Hague system fees </w:t>
      </w:r>
      <w:r w:rsidR="009323B6">
        <w:rPr>
          <w:szCs w:val="22"/>
        </w:rPr>
        <w:t>remained stable compared to 2011</w:t>
      </w:r>
      <w:r w:rsidR="007D143D">
        <w:rPr>
          <w:szCs w:val="22"/>
        </w:rPr>
        <w:t>.</w:t>
      </w:r>
    </w:p>
    <w:p w:rsidR="004E5C94" w:rsidRDefault="007D143D" w:rsidP="00DF6FD4">
      <w:pPr>
        <w:pStyle w:val="ONUME"/>
        <w:jc w:val="both"/>
        <w:rPr>
          <w:szCs w:val="22"/>
        </w:rPr>
      </w:pPr>
      <w:r>
        <w:rPr>
          <w:szCs w:val="22"/>
        </w:rPr>
        <w:t xml:space="preserve">Revenue from assessed contributions of 17.6 million Swiss francs represents 5.2 </w:t>
      </w:r>
      <w:r w:rsidR="002D6885">
        <w:rPr>
          <w:szCs w:val="22"/>
        </w:rPr>
        <w:t>per cent</w:t>
      </w:r>
      <w:r>
        <w:rPr>
          <w:szCs w:val="22"/>
        </w:rPr>
        <w:t xml:space="preserve"> of total revenue, while revenue from voluntary contributions received under Special Accounts </w:t>
      </w:r>
      <w:r w:rsidR="00B53B43">
        <w:rPr>
          <w:szCs w:val="22"/>
        </w:rPr>
        <w:t>of 7.7 million</w:t>
      </w:r>
      <w:r w:rsidR="004E5C94">
        <w:rPr>
          <w:szCs w:val="22"/>
        </w:rPr>
        <w:t xml:space="preserve"> Swiss francs represents 2.3 </w:t>
      </w:r>
      <w:r w:rsidR="002D6885">
        <w:rPr>
          <w:szCs w:val="22"/>
        </w:rPr>
        <w:t>per cent</w:t>
      </w:r>
      <w:r w:rsidR="004E5C94">
        <w:rPr>
          <w:szCs w:val="22"/>
        </w:rPr>
        <w:t xml:space="preserve"> of total revenue. Revenue from voluntary obligations is recognized as work is performed and expense incurred in line with the relevant agreement.</w:t>
      </w:r>
    </w:p>
    <w:p w:rsidR="00960397" w:rsidRDefault="004E5C94" w:rsidP="00DF6FD4">
      <w:pPr>
        <w:pStyle w:val="ONUME"/>
        <w:jc w:val="both"/>
        <w:rPr>
          <w:szCs w:val="22"/>
        </w:rPr>
      </w:pPr>
      <w:r>
        <w:rPr>
          <w:szCs w:val="22"/>
        </w:rPr>
        <w:t>Investment revenue totaled 1.8 million Swiss francs in 2012, a decreas</w:t>
      </w:r>
      <w:r w:rsidR="009323B6">
        <w:rPr>
          <w:szCs w:val="22"/>
        </w:rPr>
        <w:t>e of 58.1</w:t>
      </w:r>
      <w:r>
        <w:rPr>
          <w:szCs w:val="22"/>
        </w:rPr>
        <w:t xml:space="preserve"> </w:t>
      </w:r>
      <w:r w:rsidR="002D6885">
        <w:rPr>
          <w:szCs w:val="22"/>
        </w:rPr>
        <w:t>per cent</w:t>
      </w:r>
      <w:r>
        <w:rPr>
          <w:szCs w:val="22"/>
        </w:rPr>
        <w:t xml:space="preserve"> compared to 2011. Interest income fell significantly, as the </w:t>
      </w:r>
      <w:r w:rsidRPr="005A0FC8">
        <w:rPr>
          <w:szCs w:val="22"/>
        </w:rPr>
        <w:t xml:space="preserve">average rate of interest earned on interest bearing accounts and investments held with the Swiss National Bank was </w:t>
      </w:r>
      <w:r>
        <w:rPr>
          <w:szCs w:val="22"/>
        </w:rPr>
        <w:t xml:space="preserve">0.375 </w:t>
      </w:r>
      <w:r w:rsidR="002D6885">
        <w:rPr>
          <w:szCs w:val="22"/>
        </w:rPr>
        <w:t>per cent</w:t>
      </w:r>
      <w:r w:rsidRPr="005A0FC8">
        <w:rPr>
          <w:szCs w:val="22"/>
        </w:rPr>
        <w:t xml:space="preserve"> in 201</w:t>
      </w:r>
      <w:r>
        <w:rPr>
          <w:szCs w:val="22"/>
        </w:rPr>
        <w:t xml:space="preserve">2 compared to </w:t>
      </w:r>
      <w:r w:rsidRPr="005A0FC8">
        <w:rPr>
          <w:szCs w:val="22"/>
        </w:rPr>
        <w:t>1.</w:t>
      </w:r>
      <w:r>
        <w:rPr>
          <w:szCs w:val="22"/>
        </w:rPr>
        <w:t xml:space="preserve">24 </w:t>
      </w:r>
      <w:r w:rsidR="002D6885">
        <w:rPr>
          <w:szCs w:val="22"/>
        </w:rPr>
        <w:t>per cent</w:t>
      </w:r>
      <w:r w:rsidRPr="005A0FC8">
        <w:rPr>
          <w:szCs w:val="22"/>
        </w:rPr>
        <w:t xml:space="preserve"> in 201</w:t>
      </w:r>
      <w:r>
        <w:rPr>
          <w:szCs w:val="22"/>
        </w:rPr>
        <w:t>1. This was offset slightly by an increase in the valuation of WIPO’s investment property, resulting in investment revenue of 0.5 million Swiss francs.</w:t>
      </w:r>
    </w:p>
    <w:p w:rsidR="00EE52B8" w:rsidRDefault="00EE52B8" w:rsidP="00DF6FD4">
      <w:pPr>
        <w:pStyle w:val="ONUME"/>
        <w:jc w:val="both"/>
        <w:rPr>
          <w:szCs w:val="22"/>
        </w:rPr>
      </w:pPr>
      <w:r>
        <w:rPr>
          <w:szCs w:val="22"/>
        </w:rPr>
        <w:t>Arbitration and mediation revenue</w:t>
      </w:r>
      <w:r w:rsidR="009323B6">
        <w:rPr>
          <w:szCs w:val="22"/>
        </w:rPr>
        <w:t xml:space="preserve"> in 2012 increased by 13.3 </w:t>
      </w:r>
      <w:r w:rsidR="002D6885">
        <w:rPr>
          <w:szCs w:val="22"/>
        </w:rPr>
        <w:t>per cent</w:t>
      </w:r>
      <w:r w:rsidR="009323B6">
        <w:rPr>
          <w:szCs w:val="22"/>
        </w:rPr>
        <w:t xml:space="preserve"> to 1.7</w:t>
      </w:r>
      <w:r w:rsidR="0049228A">
        <w:rPr>
          <w:szCs w:val="22"/>
        </w:rPr>
        <w:t xml:space="preserve"> million Swiss francs when compared to 2011. The increase concerned principally domain name administrative fees, where 115 more cases were dealt with compared to 2011. Revenue from publications fell </w:t>
      </w:r>
      <w:r w:rsidR="009323B6">
        <w:rPr>
          <w:szCs w:val="22"/>
        </w:rPr>
        <w:lastRenderedPageBreak/>
        <w:t>slightly from the</w:t>
      </w:r>
      <w:r w:rsidR="0049228A">
        <w:rPr>
          <w:szCs w:val="22"/>
        </w:rPr>
        <w:t xml:space="preserve"> 2011</w:t>
      </w:r>
      <w:r w:rsidR="009323B6">
        <w:rPr>
          <w:szCs w:val="22"/>
        </w:rPr>
        <w:t xml:space="preserve"> figure of 0.7 million Swiss francs</w:t>
      </w:r>
      <w:r w:rsidR="0049228A">
        <w:rPr>
          <w:szCs w:val="22"/>
        </w:rPr>
        <w:t>, totaling 0.6 million Swiss francs in 2012. Publications are increasingly being made available for free download over the internet.</w:t>
      </w:r>
    </w:p>
    <w:p w:rsidR="0049228A" w:rsidRDefault="0049228A" w:rsidP="00DF6FD4">
      <w:pPr>
        <w:pStyle w:val="ONUME"/>
        <w:jc w:val="both"/>
        <w:rPr>
          <w:szCs w:val="22"/>
        </w:rPr>
      </w:pPr>
      <w:r>
        <w:rPr>
          <w:szCs w:val="22"/>
        </w:rPr>
        <w:t xml:space="preserve">Other/miscellaneous revenue increased significantly from 0.1 million Swiss francs in 2011 to 4.8 million Swiss francs in 2012. During 2012, the Organization recognized 2.2 million Swiss francs of revenue </w:t>
      </w:r>
      <w:r w:rsidR="00F958E3">
        <w:rPr>
          <w:szCs w:val="22"/>
        </w:rPr>
        <w:t xml:space="preserve">for late delivery penalties relating to construction projects. </w:t>
      </w:r>
    </w:p>
    <w:p w:rsidR="005D295D" w:rsidRDefault="00E22AA9" w:rsidP="005D295D">
      <w:pPr>
        <w:pStyle w:val="ONUME"/>
        <w:numPr>
          <w:ilvl w:val="0"/>
          <w:numId w:val="0"/>
        </w:numPr>
        <w:jc w:val="center"/>
        <w:rPr>
          <w:szCs w:val="22"/>
        </w:rPr>
      </w:pPr>
      <w:r>
        <w:rPr>
          <w:szCs w:val="22"/>
        </w:rPr>
        <w:t>Change in revenue 2012 - 2011</w:t>
      </w:r>
    </w:p>
    <w:p w:rsidR="005D295D" w:rsidRPr="00DD06BC" w:rsidRDefault="00BC7CD6" w:rsidP="007A53C7">
      <w:pPr>
        <w:pStyle w:val="ONUME"/>
        <w:numPr>
          <w:ilvl w:val="0"/>
          <w:numId w:val="0"/>
        </w:numPr>
      </w:pPr>
      <w:r>
        <w:rPr>
          <w:noProof/>
          <w:lang w:eastAsia="en-US"/>
        </w:rPr>
        <w:drawing>
          <wp:inline distT="0" distB="0" distL="0" distR="0">
            <wp:extent cx="597217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2175" cy="3162300"/>
                    </a:xfrm>
                    <a:prstGeom prst="rect">
                      <a:avLst/>
                    </a:prstGeom>
                    <a:noFill/>
                    <a:ln>
                      <a:noFill/>
                    </a:ln>
                  </pic:spPr>
                </pic:pic>
              </a:graphicData>
            </a:graphic>
          </wp:inline>
        </w:drawing>
      </w:r>
      <w:r w:rsidR="00527BAD">
        <w:rPr>
          <w:i/>
          <w:szCs w:val="22"/>
        </w:rPr>
        <w:t>Expense A</w:t>
      </w:r>
      <w:r w:rsidR="005D295D">
        <w:rPr>
          <w:i/>
          <w:szCs w:val="22"/>
        </w:rPr>
        <w:t>nalysis</w:t>
      </w:r>
    </w:p>
    <w:p w:rsidR="000B6F46" w:rsidRDefault="007D143D" w:rsidP="000B6F46">
      <w:pPr>
        <w:pStyle w:val="ONUME"/>
        <w:numPr>
          <w:ilvl w:val="0"/>
          <w:numId w:val="0"/>
        </w:numPr>
        <w:jc w:val="center"/>
      </w:pPr>
      <w:r>
        <w:rPr>
          <w:szCs w:val="22"/>
        </w:rPr>
        <w:t>Composition of</w:t>
      </w:r>
      <w:r w:rsidR="007A53C7">
        <w:rPr>
          <w:szCs w:val="22"/>
        </w:rPr>
        <w:t xml:space="preserve"> expenses 2012 on an IPSAS basis </w:t>
      </w:r>
    </w:p>
    <w:p w:rsidR="009323B6" w:rsidRPr="00DD06BC" w:rsidRDefault="00BC7CD6" w:rsidP="000B6F46">
      <w:pPr>
        <w:pStyle w:val="ONUME"/>
        <w:numPr>
          <w:ilvl w:val="0"/>
          <w:numId w:val="0"/>
        </w:numPr>
        <w:jc w:val="center"/>
        <w:rPr>
          <w:szCs w:val="22"/>
        </w:rPr>
      </w:pPr>
      <w:r>
        <w:rPr>
          <w:noProof/>
          <w:lang w:eastAsia="en-US"/>
        </w:rPr>
        <w:drawing>
          <wp:inline distT="0" distB="0" distL="0" distR="0">
            <wp:extent cx="4943475" cy="284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3475" cy="2847975"/>
                    </a:xfrm>
                    <a:prstGeom prst="rect">
                      <a:avLst/>
                    </a:prstGeom>
                    <a:noFill/>
                    <a:ln>
                      <a:noFill/>
                    </a:ln>
                  </pic:spPr>
                </pic:pic>
              </a:graphicData>
            </a:graphic>
          </wp:inline>
        </w:drawing>
      </w:r>
    </w:p>
    <w:p w:rsidR="005D295D" w:rsidRDefault="00615571" w:rsidP="00DF6FD4">
      <w:pPr>
        <w:pStyle w:val="ONUME"/>
        <w:jc w:val="both"/>
        <w:rPr>
          <w:szCs w:val="22"/>
        </w:rPr>
      </w:pPr>
      <w:r>
        <w:rPr>
          <w:szCs w:val="22"/>
        </w:rPr>
        <w:t xml:space="preserve">Total expenses of the </w:t>
      </w:r>
      <w:r w:rsidR="00F179D5">
        <w:rPr>
          <w:szCs w:val="22"/>
        </w:rPr>
        <w:t>Organization for 2012 were 321.3</w:t>
      </w:r>
      <w:r>
        <w:rPr>
          <w:szCs w:val="22"/>
        </w:rPr>
        <w:t xml:space="preserve"> million Swiss francs, representing a decrease of </w:t>
      </w:r>
      <w:r w:rsidR="00CE24F6">
        <w:rPr>
          <w:szCs w:val="22"/>
        </w:rPr>
        <w:t xml:space="preserve">1.3 </w:t>
      </w:r>
      <w:r w:rsidR="002D6885">
        <w:rPr>
          <w:szCs w:val="22"/>
        </w:rPr>
        <w:t>per cent</w:t>
      </w:r>
      <w:r>
        <w:rPr>
          <w:szCs w:val="22"/>
        </w:rPr>
        <w:t xml:space="preserve"> compared</w:t>
      </w:r>
      <w:r w:rsidR="00F179D5">
        <w:rPr>
          <w:szCs w:val="22"/>
        </w:rPr>
        <w:t xml:space="preserve"> to 2011 total expenses of 325.4</w:t>
      </w:r>
      <w:r>
        <w:rPr>
          <w:szCs w:val="22"/>
        </w:rPr>
        <w:t xml:space="preserve"> million Swiss francs.</w:t>
      </w:r>
    </w:p>
    <w:p w:rsidR="00615571" w:rsidRDefault="00615571" w:rsidP="00DF6FD4">
      <w:pPr>
        <w:pStyle w:val="ONUME"/>
        <w:jc w:val="both"/>
        <w:rPr>
          <w:szCs w:val="22"/>
        </w:rPr>
      </w:pPr>
      <w:r>
        <w:rPr>
          <w:szCs w:val="22"/>
        </w:rPr>
        <w:t xml:space="preserve">The largest expense for the Organization is personnel expenditure, representing 66.2 </w:t>
      </w:r>
      <w:r w:rsidR="00805F6B">
        <w:rPr>
          <w:szCs w:val="22"/>
        </w:rPr>
        <w:t>per </w:t>
      </w:r>
      <w:r w:rsidR="002D6885">
        <w:rPr>
          <w:szCs w:val="22"/>
        </w:rPr>
        <w:t>cent</w:t>
      </w:r>
      <w:r>
        <w:rPr>
          <w:szCs w:val="22"/>
        </w:rPr>
        <w:t xml:space="preserve"> of total expenses. Personnel expenditure has increased by 1.5 </w:t>
      </w:r>
      <w:r w:rsidR="002D6885">
        <w:rPr>
          <w:szCs w:val="22"/>
        </w:rPr>
        <w:t>per cent</w:t>
      </w:r>
      <w:r>
        <w:rPr>
          <w:szCs w:val="22"/>
        </w:rPr>
        <w:t xml:space="preserve"> compared to </w:t>
      </w:r>
      <w:r>
        <w:rPr>
          <w:szCs w:val="22"/>
        </w:rPr>
        <w:lastRenderedPageBreak/>
        <w:t xml:space="preserve">2011. </w:t>
      </w:r>
      <w:r w:rsidR="00581D80">
        <w:rPr>
          <w:szCs w:val="22"/>
        </w:rPr>
        <w:t>It is noted that d</w:t>
      </w:r>
      <w:r w:rsidR="00194EBD">
        <w:rPr>
          <w:szCs w:val="22"/>
        </w:rPr>
        <w:t>uring 2012, the Organization implemented a program of contractual reform, including the transition of short-te</w:t>
      </w:r>
      <w:r w:rsidR="00401DEC">
        <w:rPr>
          <w:szCs w:val="22"/>
        </w:rPr>
        <w:t xml:space="preserve">rm contracts </w:t>
      </w:r>
      <w:r w:rsidR="009F46A0">
        <w:rPr>
          <w:szCs w:val="22"/>
        </w:rPr>
        <w:t>in</w:t>
      </w:r>
      <w:r w:rsidR="00401DEC">
        <w:rPr>
          <w:szCs w:val="22"/>
        </w:rPr>
        <w:t>to temporary staff</w:t>
      </w:r>
      <w:r w:rsidR="009F46A0">
        <w:rPr>
          <w:szCs w:val="22"/>
        </w:rPr>
        <w:t xml:space="preserve"> contracts</w:t>
      </w:r>
      <w:r w:rsidR="00401DEC">
        <w:rPr>
          <w:szCs w:val="22"/>
        </w:rPr>
        <w:t>.</w:t>
      </w:r>
      <w:r w:rsidR="00961660">
        <w:t xml:space="preserve">  </w:t>
      </w:r>
      <w:r w:rsidR="00581D80">
        <w:t>In</w:t>
      </w:r>
      <w:r w:rsidR="00961660">
        <w:t xml:space="preserve"> the </w:t>
      </w:r>
      <w:r w:rsidR="00805F6B">
        <w:t xml:space="preserve">2010/11 </w:t>
      </w:r>
      <w:r w:rsidR="00961660">
        <w:t xml:space="preserve">biennium, the budget included a charge of 6 </w:t>
      </w:r>
      <w:r w:rsidR="002D6885">
        <w:t>per cent</w:t>
      </w:r>
      <w:r w:rsidR="00961660">
        <w:t xml:space="preserve"> of payroll costs, which was utilized to fund cash payments made to staff for separation benefits, including payments of unused annual leave, repatriation grants and repatriation travel.</w:t>
      </w:r>
      <w:r w:rsidR="00581D80">
        <w:t xml:space="preserve"> </w:t>
      </w:r>
      <w:r w:rsidR="00961660">
        <w:t xml:space="preserve"> </w:t>
      </w:r>
      <w:r w:rsidR="004E4FE5">
        <w:t xml:space="preserve">Remaining balances from this charge were available to reduce the IPSAS adjustments required to recognize the increase in employee benefit liabilities, principally post-employment medical benefits. As total employee benefit liabilities increase, there is a corresponding expense for the Organization. </w:t>
      </w:r>
      <w:r w:rsidR="00581D80">
        <w:t>I</w:t>
      </w:r>
      <w:r w:rsidR="00961660">
        <w:t>n th</w:t>
      </w:r>
      <w:r w:rsidR="00581D80">
        <w:t xml:space="preserve">e 2012/13 budget, the 6 </w:t>
      </w:r>
      <w:r w:rsidR="002D6885">
        <w:t>per cent</w:t>
      </w:r>
      <w:r w:rsidR="00961660">
        <w:t xml:space="preserve"> of payroll costs included in the budget has been reduced </w:t>
      </w:r>
      <w:r w:rsidR="00961660" w:rsidRPr="00913ADF">
        <w:t>to 2</w:t>
      </w:r>
      <w:r w:rsidR="00581D80">
        <w:t xml:space="preserve"> </w:t>
      </w:r>
      <w:r w:rsidR="002D6885">
        <w:t>per cent</w:t>
      </w:r>
      <w:r w:rsidR="00581D80">
        <w:t xml:space="preserve"> due to financial constraints.  </w:t>
      </w:r>
      <w:r w:rsidR="004E4FE5">
        <w:t>A</w:t>
      </w:r>
      <w:r w:rsidR="00961660">
        <w:t>s such</w:t>
      </w:r>
      <w:r w:rsidR="009F46A0">
        <w:t>,</w:t>
      </w:r>
      <w:r w:rsidR="00961660">
        <w:t xml:space="preserve"> balances available to offset the i</w:t>
      </w:r>
      <w:r w:rsidR="004E4FE5">
        <w:t xml:space="preserve">mpacts of IPSAS adjustments have been </w:t>
      </w:r>
      <w:r w:rsidR="00961660">
        <w:t>significantly reduced</w:t>
      </w:r>
      <w:r w:rsidR="004E4FE5">
        <w:t>.</w:t>
      </w:r>
    </w:p>
    <w:p w:rsidR="00401DEC" w:rsidRDefault="00401DEC" w:rsidP="00DF6FD4">
      <w:pPr>
        <w:pStyle w:val="ONUME"/>
        <w:jc w:val="both"/>
        <w:rPr>
          <w:szCs w:val="22"/>
        </w:rPr>
      </w:pPr>
      <w:r>
        <w:rPr>
          <w:szCs w:val="22"/>
        </w:rPr>
        <w:t>Contractual services were the second largest expense of t</w:t>
      </w:r>
      <w:r w:rsidR="00805F6B">
        <w:rPr>
          <w:szCs w:val="22"/>
        </w:rPr>
        <w:t>he Organization in 2012 at 55.0 </w:t>
      </w:r>
      <w:r>
        <w:rPr>
          <w:szCs w:val="22"/>
        </w:rPr>
        <w:t xml:space="preserve">million Swiss francs, representing 17.1 </w:t>
      </w:r>
      <w:r w:rsidR="002D6885">
        <w:rPr>
          <w:szCs w:val="22"/>
        </w:rPr>
        <w:t>per cent</w:t>
      </w:r>
      <w:r>
        <w:rPr>
          <w:szCs w:val="22"/>
        </w:rPr>
        <w:t xml:space="preserve"> of total expenses. Contractual services</w:t>
      </w:r>
      <w:r w:rsidR="00F179D5">
        <w:rPr>
          <w:szCs w:val="22"/>
        </w:rPr>
        <w:t xml:space="preserve"> expenses have increased by 9.8</w:t>
      </w:r>
      <w:r>
        <w:rPr>
          <w:szCs w:val="22"/>
        </w:rPr>
        <w:t xml:space="preserve"> </w:t>
      </w:r>
      <w:r w:rsidR="002D6885">
        <w:rPr>
          <w:szCs w:val="22"/>
        </w:rPr>
        <w:t>per cent</w:t>
      </w:r>
      <w:r>
        <w:rPr>
          <w:szCs w:val="22"/>
        </w:rPr>
        <w:t xml:space="preserve"> compared to 2011. </w:t>
      </w:r>
      <w:r w:rsidR="00F40C0B">
        <w:rPr>
          <w:szCs w:val="22"/>
        </w:rPr>
        <w:t>Notably t</w:t>
      </w:r>
      <w:r>
        <w:rPr>
          <w:szCs w:val="22"/>
        </w:rPr>
        <w:t xml:space="preserve">he Organization has seen an increase in the expense incurred for commercial translation services, and in services </w:t>
      </w:r>
      <w:r w:rsidR="00B47A41">
        <w:rPr>
          <w:szCs w:val="22"/>
        </w:rPr>
        <w:t>provided by the International Computing Centre (ICC).</w:t>
      </w:r>
    </w:p>
    <w:p w:rsidR="00B47A41" w:rsidRDefault="00B47A41" w:rsidP="00DF6FD4">
      <w:pPr>
        <w:pStyle w:val="ONUME"/>
        <w:jc w:val="both"/>
        <w:rPr>
          <w:szCs w:val="22"/>
        </w:rPr>
      </w:pPr>
      <w:r>
        <w:rPr>
          <w:szCs w:val="22"/>
        </w:rPr>
        <w:t xml:space="preserve">Operating expenses in 2012 were 24.6 million Swiss francs, representing 7.6 </w:t>
      </w:r>
      <w:r w:rsidR="002D6885">
        <w:rPr>
          <w:szCs w:val="22"/>
        </w:rPr>
        <w:t>per cent</w:t>
      </w:r>
      <w:r>
        <w:rPr>
          <w:szCs w:val="22"/>
        </w:rPr>
        <w:t xml:space="preserve"> of total expenses.</w:t>
      </w:r>
      <w:r w:rsidR="00F40C0B">
        <w:rPr>
          <w:szCs w:val="22"/>
        </w:rPr>
        <w:t xml:space="preserve"> Operating costs have fallen</w:t>
      </w:r>
      <w:r w:rsidR="00F179D5">
        <w:rPr>
          <w:szCs w:val="22"/>
        </w:rPr>
        <w:t xml:space="preserve"> by 20.1</w:t>
      </w:r>
      <w:r w:rsidR="00F40C0B">
        <w:rPr>
          <w:szCs w:val="22"/>
        </w:rPr>
        <w:t xml:space="preserve"> </w:t>
      </w:r>
      <w:r w:rsidR="002D6885">
        <w:rPr>
          <w:szCs w:val="22"/>
        </w:rPr>
        <w:t>per cent</w:t>
      </w:r>
      <w:r w:rsidR="00F40C0B">
        <w:rPr>
          <w:szCs w:val="22"/>
        </w:rPr>
        <w:t xml:space="preserve"> compared to 2011, with the most significant factor being a reduction in premises rental expense following the movement of operations to the New Building.</w:t>
      </w:r>
    </w:p>
    <w:p w:rsidR="00F40C0B" w:rsidRDefault="00D54826" w:rsidP="00DF6FD4">
      <w:pPr>
        <w:pStyle w:val="ONUME"/>
        <w:jc w:val="both"/>
        <w:rPr>
          <w:szCs w:val="22"/>
        </w:rPr>
      </w:pPr>
      <w:r>
        <w:rPr>
          <w:szCs w:val="22"/>
        </w:rPr>
        <w:t xml:space="preserve">Travel and fellowships </w:t>
      </w:r>
      <w:r w:rsidR="00CE24F6">
        <w:rPr>
          <w:szCs w:val="22"/>
        </w:rPr>
        <w:t xml:space="preserve">expenses total 17.6 million Swiss francs for 2012, and account for 5.5 </w:t>
      </w:r>
      <w:r w:rsidR="002D6885">
        <w:rPr>
          <w:szCs w:val="22"/>
        </w:rPr>
        <w:t>per cent</w:t>
      </w:r>
      <w:r w:rsidR="00CE24F6">
        <w:rPr>
          <w:szCs w:val="22"/>
        </w:rPr>
        <w:t xml:space="preserve"> of total expenses. Th</w:t>
      </w:r>
      <w:r w:rsidR="00F179D5">
        <w:rPr>
          <w:szCs w:val="22"/>
        </w:rPr>
        <w:t>ese expenses have fallen by 15.0</w:t>
      </w:r>
      <w:r w:rsidR="00CE24F6">
        <w:rPr>
          <w:szCs w:val="22"/>
        </w:rPr>
        <w:t xml:space="preserve"> </w:t>
      </w:r>
      <w:r w:rsidR="002D6885">
        <w:rPr>
          <w:szCs w:val="22"/>
        </w:rPr>
        <w:t>per cent</w:t>
      </w:r>
      <w:r w:rsidR="00CE24F6">
        <w:rPr>
          <w:szCs w:val="22"/>
        </w:rPr>
        <w:t xml:space="preserve"> compared to 2011. Expenses have been reduced for mission costs and conferences (participant and lecturer costs), whereas fellowship cost</w:t>
      </w:r>
      <w:r w:rsidR="009F46A0">
        <w:rPr>
          <w:szCs w:val="22"/>
        </w:rPr>
        <w:t>s</w:t>
      </w:r>
      <w:r w:rsidR="00CE24F6">
        <w:rPr>
          <w:szCs w:val="22"/>
        </w:rPr>
        <w:t xml:space="preserve"> under Special Accounts have increased.</w:t>
      </w:r>
    </w:p>
    <w:p w:rsidR="004E4FE5" w:rsidRDefault="00CE24F6" w:rsidP="004E4FE5">
      <w:pPr>
        <w:pStyle w:val="ONUME"/>
        <w:jc w:val="both"/>
        <w:rPr>
          <w:szCs w:val="22"/>
        </w:rPr>
      </w:pPr>
      <w:r>
        <w:rPr>
          <w:szCs w:val="22"/>
        </w:rPr>
        <w:t>Expenses f</w:t>
      </w:r>
      <w:r w:rsidR="00F179D5">
        <w:rPr>
          <w:szCs w:val="22"/>
        </w:rPr>
        <w:t>or supplies and materials of 2.6</w:t>
      </w:r>
      <w:r>
        <w:rPr>
          <w:szCs w:val="22"/>
        </w:rPr>
        <w:t xml:space="preserve"> million Swiss francs have increase</w:t>
      </w:r>
      <w:r w:rsidR="00433353">
        <w:rPr>
          <w:szCs w:val="22"/>
        </w:rPr>
        <w:t>d</w:t>
      </w:r>
      <w:r w:rsidR="00F179D5">
        <w:rPr>
          <w:szCs w:val="22"/>
        </w:rPr>
        <w:t xml:space="preserve"> by 13.0</w:t>
      </w:r>
      <w:r w:rsidR="00805F6B">
        <w:rPr>
          <w:szCs w:val="22"/>
        </w:rPr>
        <w:t> </w:t>
      </w:r>
      <w:r w:rsidR="00B33513">
        <w:rPr>
          <w:szCs w:val="22"/>
        </w:rPr>
        <w:t>per </w:t>
      </w:r>
      <w:r w:rsidR="002D6885">
        <w:rPr>
          <w:szCs w:val="22"/>
        </w:rPr>
        <w:t>cent</w:t>
      </w:r>
      <w:r>
        <w:rPr>
          <w:szCs w:val="22"/>
        </w:rPr>
        <w:t xml:space="preserve"> </w:t>
      </w:r>
      <w:r w:rsidR="00433353">
        <w:rPr>
          <w:szCs w:val="22"/>
        </w:rPr>
        <w:t xml:space="preserve">compared to 2011. </w:t>
      </w:r>
      <w:r w:rsidR="00B33513">
        <w:rPr>
          <w:szCs w:val="22"/>
        </w:rPr>
        <w:t xml:space="preserve"> </w:t>
      </w:r>
      <w:r w:rsidR="00433353">
        <w:rPr>
          <w:szCs w:val="22"/>
        </w:rPr>
        <w:t xml:space="preserve">Costs related to software licenses have grown, although some of these acquisitions have been capitalized as intangible assets in accordance with IPSAS. </w:t>
      </w:r>
      <w:r w:rsidR="003712F4">
        <w:rPr>
          <w:szCs w:val="22"/>
        </w:rPr>
        <w:t>Furniture and equipment expenses h</w:t>
      </w:r>
      <w:r w:rsidR="00F179D5">
        <w:rPr>
          <w:szCs w:val="22"/>
        </w:rPr>
        <w:t>ave fallen significantly by 84.2</w:t>
      </w:r>
      <w:r w:rsidR="003712F4">
        <w:rPr>
          <w:szCs w:val="22"/>
        </w:rPr>
        <w:t xml:space="preserve"> </w:t>
      </w:r>
      <w:r w:rsidR="002D6885">
        <w:rPr>
          <w:szCs w:val="22"/>
        </w:rPr>
        <w:t>per cent</w:t>
      </w:r>
      <w:r w:rsidR="003712F4">
        <w:rPr>
          <w:szCs w:val="22"/>
        </w:rPr>
        <w:t xml:space="preserve"> to 0.6 million Swiss francs when compared to 2011. This is principally due to a large order fo</w:t>
      </w:r>
      <w:r w:rsidR="00B33513">
        <w:rPr>
          <w:szCs w:val="22"/>
        </w:rPr>
        <w:t>r IT equipment which took place in </w:t>
      </w:r>
      <w:r w:rsidR="003712F4">
        <w:rPr>
          <w:szCs w:val="22"/>
        </w:rPr>
        <w:t>2011.</w:t>
      </w:r>
      <w:r w:rsidR="00433353">
        <w:rPr>
          <w:szCs w:val="22"/>
        </w:rPr>
        <w:t xml:space="preserve"> </w:t>
      </w:r>
    </w:p>
    <w:p w:rsidR="00A2400B" w:rsidRDefault="00A2400B" w:rsidP="004E4FE5">
      <w:pPr>
        <w:pStyle w:val="ONUME"/>
        <w:numPr>
          <w:ilvl w:val="0"/>
          <w:numId w:val="0"/>
        </w:numPr>
        <w:jc w:val="center"/>
        <w:rPr>
          <w:szCs w:val="22"/>
        </w:rPr>
      </w:pPr>
      <w:r>
        <w:rPr>
          <w:szCs w:val="22"/>
        </w:rPr>
        <w:t>Change in Expenses 2012 - 2011</w:t>
      </w:r>
    </w:p>
    <w:p w:rsidR="00F179D5" w:rsidRPr="005442DC" w:rsidRDefault="00BC7CD6" w:rsidP="00A2400B">
      <w:pPr>
        <w:pStyle w:val="ONUME"/>
        <w:numPr>
          <w:ilvl w:val="0"/>
          <w:numId w:val="0"/>
        </w:numPr>
        <w:jc w:val="both"/>
      </w:pPr>
      <w:r>
        <w:rPr>
          <w:noProof/>
          <w:lang w:eastAsia="en-US"/>
        </w:rPr>
        <w:drawing>
          <wp:inline distT="0" distB="0" distL="0" distR="0">
            <wp:extent cx="5972175" cy="1895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72175" cy="1895475"/>
                    </a:xfrm>
                    <a:prstGeom prst="rect">
                      <a:avLst/>
                    </a:prstGeom>
                    <a:noFill/>
                    <a:ln>
                      <a:noFill/>
                    </a:ln>
                  </pic:spPr>
                </pic:pic>
              </a:graphicData>
            </a:graphic>
          </wp:inline>
        </w:drawing>
      </w:r>
    </w:p>
    <w:p w:rsidR="00A2400B" w:rsidRPr="007A53C7" w:rsidRDefault="00A2400B" w:rsidP="00A2400B">
      <w:pPr>
        <w:pStyle w:val="ONUME"/>
        <w:numPr>
          <w:ilvl w:val="0"/>
          <w:numId w:val="0"/>
        </w:numPr>
        <w:jc w:val="both"/>
      </w:pPr>
      <w:r>
        <w:rPr>
          <w:b/>
        </w:rPr>
        <w:t>Financial Position</w:t>
      </w:r>
    </w:p>
    <w:p w:rsidR="00A2400B" w:rsidRDefault="003712F4" w:rsidP="00DF6FD4">
      <w:pPr>
        <w:pStyle w:val="ONUME"/>
        <w:jc w:val="both"/>
        <w:rPr>
          <w:szCs w:val="22"/>
        </w:rPr>
      </w:pPr>
      <w:r>
        <w:rPr>
          <w:szCs w:val="22"/>
        </w:rPr>
        <w:t>As at December 31, 2012, the Orga</w:t>
      </w:r>
      <w:r w:rsidR="00F179D5">
        <w:rPr>
          <w:szCs w:val="22"/>
        </w:rPr>
        <w:t>nization has net assets of 178.2</w:t>
      </w:r>
      <w:r>
        <w:rPr>
          <w:szCs w:val="22"/>
        </w:rPr>
        <w:t xml:space="preserve"> million Swiss fr</w:t>
      </w:r>
      <w:r w:rsidR="00F179D5">
        <w:rPr>
          <w:szCs w:val="22"/>
        </w:rPr>
        <w:t>ancs, with total assets of 830.7</w:t>
      </w:r>
      <w:r>
        <w:rPr>
          <w:szCs w:val="22"/>
        </w:rPr>
        <w:t xml:space="preserve"> million Swiss francs and total liabilities of 652.5 million Swiss francs. As a result</w:t>
      </w:r>
      <w:r w:rsidR="00F179D5">
        <w:rPr>
          <w:szCs w:val="22"/>
        </w:rPr>
        <w:t xml:space="preserve"> of the surplus for 2012 of 15.7</w:t>
      </w:r>
      <w:r>
        <w:rPr>
          <w:szCs w:val="22"/>
        </w:rPr>
        <w:t xml:space="preserve"> million Swiss francs, net asset</w:t>
      </w:r>
      <w:r w:rsidR="00035BC0">
        <w:rPr>
          <w:szCs w:val="22"/>
        </w:rPr>
        <w:t>s</w:t>
      </w:r>
      <w:r>
        <w:rPr>
          <w:szCs w:val="22"/>
        </w:rPr>
        <w:t xml:space="preserve"> have increased from 162.5 million Swiss francs as at December 31, 2011. </w:t>
      </w:r>
    </w:p>
    <w:p w:rsidR="00527BAD" w:rsidRPr="00527BAD" w:rsidRDefault="00527BAD" w:rsidP="00527BAD">
      <w:pPr>
        <w:pStyle w:val="ONUME"/>
        <w:numPr>
          <w:ilvl w:val="0"/>
          <w:numId w:val="0"/>
        </w:numPr>
        <w:jc w:val="both"/>
        <w:rPr>
          <w:i/>
          <w:szCs w:val="22"/>
        </w:rPr>
      </w:pPr>
      <w:r>
        <w:rPr>
          <w:i/>
          <w:szCs w:val="22"/>
        </w:rPr>
        <w:lastRenderedPageBreak/>
        <w:t>Movement in Net Assets</w:t>
      </w:r>
    </w:p>
    <w:p w:rsidR="00035BC0" w:rsidRPr="00035BC0" w:rsidRDefault="00035BC0" w:rsidP="00DF6FD4">
      <w:pPr>
        <w:pStyle w:val="ONUME"/>
        <w:jc w:val="both"/>
        <w:rPr>
          <w:szCs w:val="22"/>
        </w:rPr>
      </w:pPr>
      <w:r>
        <w:rPr>
          <w:szCs w:val="22"/>
        </w:rPr>
        <w:t xml:space="preserve">2012 represents the first year since the introduction of IPSAS at WIPO that the Organization has seen an increase in net assets. </w:t>
      </w:r>
      <w:r>
        <w:t>In order to implement IPSAS for 2010, WIPO was required to prepare an IPSAS compliant opening statement of financial position as at January 1, 2010. This involved recognizing all assets and liabilities which would need to</w:t>
      </w:r>
      <w:r w:rsidR="009753F6">
        <w:t xml:space="preserve"> be</w:t>
      </w:r>
      <w:r>
        <w:t xml:space="preserve"> included in the statement of financial position under IPSAS. The net impact of the recognition of these assets and liabilities was a reduction in net assets of 20.0 million Swiss francs. In both 2010 and 2011 the Organization recorded deficit</w:t>
      </w:r>
      <w:r w:rsidR="00684D9A">
        <w:t>s</w:t>
      </w:r>
      <w:r>
        <w:t xml:space="preserve"> in its IPSAS financial statements.</w:t>
      </w:r>
    </w:p>
    <w:p w:rsidR="00035BC0" w:rsidRDefault="00035BC0" w:rsidP="00035BC0">
      <w:pPr>
        <w:pStyle w:val="ONUME"/>
        <w:numPr>
          <w:ilvl w:val="0"/>
          <w:numId w:val="0"/>
        </w:numPr>
        <w:jc w:val="center"/>
      </w:pPr>
      <w:r>
        <w:t>Movement in net assets 2009 to 2012</w:t>
      </w:r>
    </w:p>
    <w:p w:rsidR="00035BC0" w:rsidRPr="00F179D5" w:rsidRDefault="00BC7CD6" w:rsidP="00035BC0">
      <w:pPr>
        <w:pStyle w:val="ONUME"/>
        <w:numPr>
          <w:ilvl w:val="0"/>
          <w:numId w:val="0"/>
        </w:numPr>
        <w:jc w:val="center"/>
      </w:pPr>
      <w:r>
        <w:rPr>
          <w:noProof/>
          <w:lang w:eastAsia="en-US"/>
        </w:rPr>
        <w:drawing>
          <wp:inline distT="0" distB="0" distL="0" distR="0">
            <wp:extent cx="597217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72175" cy="2733675"/>
                    </a:xfrm>
                    <a:prstGeom prst="rect">
                      <a:avLst/>
                    </a:prstGeom>
                    <a:noFill/>
                    <a:ln>
                      <a:noFill/>
                    </a:ln>
                  </pic:spPr>
                </pic:pic>
              </a:graphicData>
            </a:graphic>
          </wp:inline>
        </w:drawing>
      </w:r>
    </w:p>
    <w:p w:rsidR="00527BAD" w:rsidRPr="00527BAD" w:rsidRDefault="00527BAD" w:rsidP="00527BAD">
      <w:pPr>
        <w:pStyle w:val="ONUME"/>
        <w:numPr>
          <w:ilvl w:val="0"/>
          <w:numId w:val="0"/>
        </w:numPr>
        <w:rPr>
          <w:i/>
          <w:szCs w:val="22"/>
        </w:rPr>
      </w:pPr>
      <w:r>
        <w:rPr>
          <w:i/>
          <w:szCs w:val="22"/>
        </w:rPr>
        <w:t>Summary of Assets and Liabilities</w:t>
      </w:r>
    </w:p>
    <w:p w:rsidR="00035BC0" w:rsidRDefault="00527BAD" w:rsidP="00DF6FD4">
      <w:pPr>
        <w:pStyle w:val="ONUME"/>
        <w:jc w:val="both"/>
        <w:rPr>
          <w:szCs w:val="22"/>
        </w:rPr>
      </w:pPr>
      <w:r>
        <w:rPr>
          <w:szCs w:val="22"/>
        </w:rPr>
        <w:t>The chart below provides a summary of the Statement of Financial Position of WIPO as at December 31, 2012.</w:t>
      </w:r>
    </w:p>
    <w:p w:rsidR="00B84D1F" w:rsidRDefault="00B84D1F" w:rsidP="00B84D1F">
      <w:pPr>
        <w:pStyle w:val="ONUME"/>
        <w:numPr>
          <w:ilvl w:val="0"/>
          <w:numId w:val="0"/>
        </w:numPr>
        <w:jc w:val="center"/>
        <w:rPr>
          <w:szCs w:val="22"/>
        </w:rPr>
      </w:pPr>
      <w:r>
        <w:rPr>
          <w:szCs w:val="22"/>
        </w:rPr>
        <w:t>Summary of assets and liabilities December 31, 2012</w:t>
      </w:r>
    </w:p>
    <w:p w:rsidR="00835A79" w:rsidRPr="0092055D" w:rsidRDefault="00BC7CD6" w:rsidP="0092055D">
      <w:pPr>
        <w:pStyle w:val="ONUME"/>
        <w:numPr>
          <w:ilvl w:val="0"/>
          <w:numId w:val="0"/>
        </w:numPr>
        <w:jc w:val="both"/>
        <w:rPr>
          <w:szCs w:val="22"/>
        </w:rPr>
      </w:pPr>
      <w:r>
        <w:rPr>
          <w:noProof/>
          <w:lang w:eastAsia="en-US"/>
        </w:rPr>
        <w:drawing>
          <wp:inline distT="0" distB="0" distL="0" distR="0">
            <wp:extent cx="5972175" cy="30765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72175" cy="3076575"/>
                    </a:xfrm>
                    <a:prstGeom prst="rect">
                      <a:avLst/>
                    </a:prstGeom>
                    <a:noFill/>
                    <a:ln>
                      <a:noFill/>
                    </a:ln>
                  </pic:spPr>
                </pic:pic>
              </a:graphicData>
            </a:graphic>
          </wp:inline>
        </w:drawing>
      </w:r>
    </w:p>
    <w:p w:rsidR="000606EE" w:rsidRPr="000606EE" w:rsidRDefault="00835A79" w:rsidP="00DF6FD4">
      <w:pPr>
        <w:pStyle w:val="ONUME"/>
        <w:jc w:val="both"/>
        <w:rPr>
          <w:szCs w:val="22"/>
        </w:rPr>
      </w:pPr>
      <w:r>
        <w:lastRenderedPageBreak/>
        <w:t>The Organization has cash balances of 408.1 million Swiss francs, representing 49.</w:t>
      </w:r>
      <w:r w:rsidR="000910F5">
        <w:t>1</w:t>
      </w:r>
      <w:r w:rsidR="005442DC">
        <w:t xml:space="preserve"> </w:t>
      </w:r>
      <w:r w:rsidR="00805F6B">
        <w:t>per </w:t>
      </w:r>
      <w:r w:rsidR="002D6885">
        <w:t>cent</w:t>
      </w:r>
      <w:r w:rsidR="000910F5">
        <w:t xml:space="preserve"> of total assets, although </w:t>
      </w:r>
      <w:r>
        <w:t>this includes amounts totaling 163.3 million Swiss francs which are classified</w:t>
      </w:r>
      <w:r w:rsidR="00B40D43">
        <w:t xml:space="preserve"> as restricted under IPSAS</w:t>
      </w:r>
      <w:r>
        <w:t>. Total cash balances have increased compared to the balance of 379.7 million Swiss francs as at December 31, 2011, and are invested as applicable in line with</w:t>
      </w:r>
      <w:r w:rsidR="000606EE">
        <w:t xml:space="preserve"> WIPO’s Policy on Investments.</w:t>
      </w:r>
      <w:r>
        <w:t xml:space="preserve"> </w:t>
      </w:r>
    </w:p>
    <w:p w:rsidR="00B84D1F" w:rsidRPr="00835A79" w:rsidRDefault="00835A79" w:rsidP="00DF6FD4">
      <w:pPr>
        <w:pStyle w:val="ONUME"/>
        <w:jc w:val="both"/>
        <w:rPr>
          <w:szCs w:val="22"/>
        </w:rPr>
      </w:pPr>
      <w:r>
        <w:t>The Organization holds significant fixed assets (land, buildings, investment property, intangible assets and equipment) with a total net book value of 373.0 million Swiss francs</w:t>
      </w:r>
      <w:r w:rsidR="00B40D43">
        <w:t>, compared to 374.1 million Swiss francs as at December 31, 2011. During 2012, the Organization has capitalized construction work on the New Conference Hall and Security Constructions, recognized acquisitions of equipment and software as fixed assets, and recorded an increase in the value of its investment property. However, these increases in total fixed assets have been exceeded by the total charge for depreciation and amortization for the year of 8.1 million Swiss francs, resulting in a net decrease in fixed assets compared to 2011.</w:t>
      </w:r>
      <w:r>
        <w:t xml:space="preserve"> Other assets</w:t>
      </w:r>
      <w:r w:rsidR="00B40D43">
        <w:t xml:space="preserve"> of the Organization</w:t>
      </w:r>
      <w:r w:rsidR="0092055D">
        <w:t xml:space="preserve"> totaling 49.6</w:t>
      </w:r>
      <w:r>
        <w:t xml:space="preserve"> million Swiss francs include accounts receivable, inventories and advance payments.</w:t>
      </w:r>
    </w:p>
    <w:p w:rsidR="00B40D43" w:rsidRPr="00B40D43" w:rsidRDefault="00835A79" w:rsidP="00DF6FD4">
      <w:pPr>
        <w:pStyle w:val="ONUME"/>
        <w:jc w:val="both"/>
        <w:rPr>
          <w:szCs w:val="22"/>
        </w:rPr>
      </w:pPr>
      <w:r>
        <w:t>Payables (accounts payable and transfers payable) a</w:t>
      </w:r>
      <w:r w:rsidR="00B33513">
        <w:t>nd advance receipts total 303.0 </w:t>
      </w:r>
      <w:r>
        <w:t>million Swiss francs, and principally</w:t>
      </w:r>
      <w:r w:rsidR="00BE71CB">
        <w:t xml:space="preserve"> include deferred revenue of 183</w:t>
      </w:r>
      <w:r>
        <w:t>.6</w:t>
      </w:r>
      <w:r w:rsidR="00BE71CB">
        <w:t xml:space="preserve"> </w:t>
      </w:r>
      <w:r>
        <w:t>m</w:t>
      </w:r>
      <w:r w:rsidR="00BE71CB">
        <w:t>illion</w:t>
      </w:r>
      <w:r>
        <w:t xml:space="preserve"> Swiss francs.</w:t>
      </w:r>
      <w:r w:rsidR="00B40D43">
        <w:t xml:space="preserve"> This can be compared to a total balance of payable</w:t>
      </w:r>
      <w:r w:rsidR="00805F6B">
        <w:t>s and advance receipts of 289.0 </w:t>
      </w:r>
      <w:r w:rsidR="00B40D43">
        <w:t>million Swiss francs as at December 31, 2011.</w:t>
      </w:r>
      <w:r>
        <w:t xml:space="preserve"> </w:t>
      </w:r>
    </w:p>
    <w:p w:rsidR="00835A79" w:rsidRPr="00BE71CB" w:rsidRDefault="00835A79" w:rsidP="00DF6FD4">
      <w:pPr>
        <w:pStyle w:val="ONUME"/>
        <w:jc w:val="both"/>
        <w:rPr>
          <w:szCs w:val="22"/>
        </w:rPr>
      </w:pPr>
      <w:r>
        <w:t>Em</w:t>
      </w:r>
      <w:r w:rsidR="00BE71CB">
        <w:t>ployee benefit liabilities of 141</w:t>
      </w:r>
      <w:r>
        <w:t>.</w:t>
      </w:r>
      <w:r w:rsidR="00BE71CB">
        <w:t xml:space="preserve">4 </w:t>
      </w:r>
      <w:r>
        <w:t>m</w:t>
      </w:r>
      <w:r w:rsidR="00BE71CB">
        <w:t>illion</w:t>
      </w:r>
      <w:r>
        <w:t xml:space="preserve"> Swiss francs are mainly comprised of the </w:t>
      </w:r>
      <w:r w:rsidR="005442DC">
        <w:t>After Service Health Insurance</w:t>
      </w:r>
      <w:r w:rsidR="00290F08">
        <w:t xml:space="preserve"> (ASHI) liability of 110.9 </w:t>
      </w:r>
      <w:r>
        <w:t>m</w:t>
      </w:r>
      <w:r w:rsidR="00290F08">
        <w:t>illion</w:t>
      </w:r>
      <w:r>
        <w:t xml:space="preserve"> Swiss francs</w:t>
      </w:r>
      <w:r w:rsidR="00290F08">
        <w:t>,</w:t>
      </w:r>
      <w:r w:rsidR="00BE71CB">
        <w:t xml:space="preserve"> </w:t>
      </w:r>
      <w:r w:rsidR="0092055D">
        <w:t>which represents 78.4</w:t>
      </w:r>
      <w:r w:rsidR="00805F6B">
        <w:t> per </w:t>
      </w:r>
      <w:r w:rsidR="002D6885">
        <w:t>cent</w:t>
      </w:r>
      <w:r w:rsidR="00290F08">
        <w:t xml:space="preserve"> of the tota</w:t>
      </w:r>
      <w:r w:rsidR="0092055D">
        <w:t>l employee benefits</w:t>
      </w:r>
      <w:r w:rsidR="00290F08">
        <w:t xml:space="preserve"> liability as at December 31, 2012. The ASHI</w:t>
      </w:r>
      <w:r w:rsidR="00961660">
        <w:t xml:space="preserve"> liability has increased by 7.5 </w:t>
      </w:r>
      <w:r w:rsidR="00290F08">
        <w:t>m</w:t>
      </w:r>
      <w:r w:rsidR="00961660">
        <w:t xml:space="preserve">illion Swiss francs compared to 2011. </w:t>
      </w:r>
      <w:r w:rsidR="00BE71CB">
        <w:t>The liability is calculated by an independent actuary, and reflects the total future cost of WIPO’s share of health insurance premiums for both existing WIPO retirees and the projected number of active WIPO staff who will retire in the future.</w:t>
      </w:r>
      <w:r w:rsidR="00961660">
        <w:t xml:space="preserve"> WIPO does not currently hold any a</w:t>
      </w:r>
      <w:r w:rsidR="00805F6B">
        <w:t>ccumulated funding specifically</w:t>
      </w:r>
      <w:r w:rsidR="00805F6B">
        <w:br/>
      </w:r>
      <w:r w:rsidR="00961660">
        <w:t>ring-fenced to finance this liability in the future.</w:t>
      </w:r>
    </w:p>
    <w:p w:rsidR="00BE71CB" w:rsidRPr="00BE71CB" w:rsidRDefault="00BE71CB" w:rsidP="00BE71CB">
      <w:pPr>
        <w:pStyle w:val="ONUME"/>
        <w:numPr>
          <w:ilvl w:val="0"/>
          <w:numId w:val="0"/>
        </w:numPr>
        <w:jc w:val="center"/>
        <w:rPr>
          <w:szCs w:val="22"/>
        </w:rPr>
      </w:pPr>
      <w:r>
        <w:t>Composition of employee benefits liabilities</w:t>
      </w:r>
    </w:p>
    <w:p w:rsidR="00BE71CB" w:rsidRPr="005442DC" w:rsidRDefault="00BC7CD6" w:rsidP="00BE71CB">
      <w:pPr>
        <w:pStyle w:val="ONUME"/>
        <w:numPr>
          <w:ilvl w:val="0"/>
          <w:numId w:val="0"/>
        </w:numPr>
        <w:jc w:val="both"/>
        <w:rPr>
          <w:szCs w:val="22"/>
        </w:rPr>
      </w:pPr>
      <w:r>
        <w:rPr>
          <w:noProof/>
          <w:lang w:eastAsia="en-US"/>
        </w:rPr>
        <w:drawing>
          <wp:inline distT="0" distB="0" distL="0" distR="0">
            <wp:extent cx="5972175" cy="20097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72175" cy="2009775"/>
                    </a:xfrm>
                    <a:prstGeom prst="rect">
                      <a:avLst/>
                    </a:prstGeom>
                    <a:noFill/>
                    <a:ln>
                      <a:noFill/>
                    </a:ln>
                  </pic:spPr>
                </pic:pic>
              </a:graphicData>
            </a:graphic>
          </wp:inline>
        </w:drawing>
      </w:r>
    </w:p>
    <w:p w:rsidR="00BE71CB" w:rsidRDefault="00BE71CB" w:rsidP="00DF6FD4">
      <w:pPr>
        <w:pStyle w:val="ONUME"/>
        <w:jc w:val="both"/>
        <w:rPr>
          <w:szCs w:val="22"/>
        </w:rPr>
      </w:pPr>
      <w:r>
        <w:t>Borrowi</w:t>
      </w:r>
      <w:r w:rsidR="00961660">
        <w:t xml:space="preserve">ngs represent the FIPOI loan (23.6 </w:t>
      </w:r>
      <w:r>
        <w:t>m</w:t>
      </w:r>
      <w:r w:rsidR="00961660">
        <w:t>illion</w:t>
      </w:r>
      <w:r>
        <w:t xml:space="preserve"> Swiss francs) and th</w:t>
      </w:r>
      <w:r w:rsidR="00961660">
        <w:t xml:space="preserve">e BCG/BCV New Building loan (126.1 </w:t>
      </w:r>
      <w:r>
        <w:t>m</w:t>
      </w:r>
      <w:r w:rsidR="00961660">
        <w:t>illion</w:t>
      </w:r>
      <w:r>
        <w:t xml:space="preserve"> Swiss francs).</w:t>
      </w:r>
      <w:r w:rsidR="00961660">
        <w:t xml:space="preserve"> Total annual repayments of the principal on these loans total 5.3 million Swiss francs. Other liabilities totaling 58.4 </w:t>
      </w:r>
      <w:r>
        <w:t>m</w:t>
      </w:r>
      <w:r w:rsidR="00961660">
        <w:t>i</w:t>
      </w:r>
      <w:r w:rsidR="00805F6B">
        <w:t>llion Swiss francs include 55.6 </w:t>
      </w:r>
      <w:r>
        <w:t>m</w:t>
      </w:r>
      <w:r w:rsidR="00961660">
        <w:t>illion</w:t>
      </w:r>
      <w:r>
        <w:t xml:space="preserve"> Swiss francs of current accounts held on behalf of applicants and contracting parties</w:t>
      </w:r>
      <w:r w:rsidR="00961660">
        <w:t>.</w:t>
      </w:r>
    </w:p>
    <w:p w:rsidR="00A60E47" w:rsidRPr="00467B3A" w:rsidRDefault="00A60E47" w:rsidP="00A60E47">
      <w:pPr>
        <w:pStyle w:val="ONUME"/>
        <w:numPr>
          <w:ilvl w:val="0"/>
          <w:numId w:val="0"/>
        </w:numPr>
        <w:jc w:val="both"/>
        <w:rPr>
          <w:szCs w:val="22"/>
        </w:rPr>
      </w:pPr>
    </w:p>
    <w:p w:rsidR="00467B3A" w:rsidRDefault="00467B3A" w:rsidP="00467B3A">
      <w:pPr>
        <w:jc w:val="both"/>
      </w:pPr>
    </w:p>
    <w:p w:rsidR="00467B3A" w:rsidRDefault="00467B3A" w:rsidP="00467B3A">
      <w:pPr>
        <w:jc w:val="both"/>
      </w:pPr>
    </w:p>
    <w:p w:rsidR="003928E9" w:rsidRPr="003928E9" w:rsidRDefault="00D94D51" w:rsidP="00D52E2A">
      <w:pPr>
        <w:pStyle w:val="Heading1"/>
        <w:keepNext/>
        <w:spacing w:before="240" w:after="220"/>
        <w:ind w:left="0" w:firstLine="0"/>
        <w:jc w:val="center"/>
        <w:rPr>
          <w:rFonts w:ascii="Arial" w:eastAsia="SimSun" w:hAnsi="Arial" w:cs="Arial"/>
          <w:bCs/>
          <w:caps/>
          <w:color w:val="auto"/>
          <w:kern w:val="32"/>
          <w:sz w:val="22"/>
          <w:szCs w:val="32"/>
          <w:lang w:val="en-US"/>
        </w:rPr>
      </w:pPr>
      <w:r w:rsidRPr="00A74529">
        <w:rPr>
          <w:rFonts w:eastAsia="SimSun" w:hint="eastAsia"/>
          <w:b w:val="0"/>
          <w:sz w:val="22"/>
          <w:u w:val="single"/>
          <w:lang w:val="en-US"/>
        </w:rPr>
        <w:br w:type="page"/>
      </w:r>
      <w:r w:rsidR="003928E9" w:rsidRPr="003928E9">
        <w:rPr>
          <w:rFonts w:ascii="Arial" w:eastAsia="SimSun" w:hAnsi="Arial" w:cs="Arial"/>
          <w:bCs/>
          <w:caps/>
          <w:color w:val="auto"/>
          <w:kern w:val="32"/>
          <w:sz w:val="22"/>
          <w:szCs w:val="32"/>
          <w:lang w:val="en-US"/>
        </w:rPr>
        <w:lastRenderedPageBreak/>
        <w:t>STATEMENT I</w:t>
      </w:r>
      <w:r w:rsidR="003928E9">
        <w:rPr>
          <w:rFonts w:ascii="Arial" w:eastAsia="SimSun" w:hAnsi="Arial" w:cs="Arial"/>
          <w:bCs/>
          <w:caps/>
          <w:color w:val="auto"/>
          <w:kern w:val="32"/>
          <w:sz w:val="22"/>
          <w:szCs w:val="32"/>
          <w:lang w:val="en-US"/>
        </w:rPr>
        <w:br/>
      </w:r>
      <w:r w:rsidR="003928E9">
        <w:rPr>
          <w:rFonts w:ascii="Arial" w:eastAsia="SimSun" w:hAnsi="Arial" w:cs="Arial"/>
          <w:bCs/>
          <w:caps/>
          <w:color w:val="auto"/>
          <w:kern w:val="32"/>
          <w:sz w:val="22"/>
          <w:szCs w:val="32"/>
          <w:lang w:val="en-US"/>
        </w:rPr>
        <w:br/>
      </w:r>
      <w:r w:rsidR="00A320B0">
        <w:rPr>
          <w:rFonts w:ascii="Arial" w:eastAsia="SimSun" w:hAnsi="Arial" w:cs="Arial"/>
          <w:bCs/>
          <w:caps/>
          <w:color w:val="auto"/>
          <w:kern w:val="32"/>
          <w:sz w:val="22"/>
          <w:szCs w:val="32"/>
          <w:lang w:val="en-US"/>
        </w:rPr>
        <w:t>STATEMENT OF FINANCIAL POSITION</w:t>
      </w:r>
    </w:p>
    <w:p w:rsidR="003928E9" w:rsidRPr="00A320B0" w:rsidRDefault="00A320B0" w:rsidP="00A320B0">
      <w:pPr>
        <w:jc w:val="center"/>
        <w:rPr>
          <w:rFonts w:ascii="Arial" w:eastAsia="SimSun" w:hAnsi="Arial" w:cs="Arial"/>
          <w:b/>
          <w:sz w:val="22"/>
          <w:szCs w:val="22"/>
        </w:rPr>
      </w:pPr>
      <w:proofErr w:type="gramStart"/>
      <w:r w:rsidRPr="00A320B0">
        <w:rPr>
          <w:rFonts w:ascii="Arial" w:eastAsia="SimSun" w:hAnsi="Arial" w:cs="Arial"/>
          <w:b/>
          <w:sz w:val="22"/>
          <w:szCs w:val="22"/>
        </w:rPr>
        <w:t>as</w:t>
      </w:r>
      <w:proofErr w:type="gramEnd"/>
      <w:r w:rsidRPr="00A320B0">
        <w:rPr>
          <w:rFonts w:ascii="Arial" w:eastAsia="SimSun" w:hAnsi="Arial" w:cs="Arial"/>
          <w:b/>
          <w:sz w:val="22"/>
          <w:szCs w:val="22"/>
        </w:rPr>
        <w:t xml:space="preserve"> at December 31, 201</w:t>
      </w:r>
      <w:r w:rsidR="00A845B4">
        <w:rPr>
          <w:rFonts w:ascii="Arial" w:eastAsia="SimSun" w:hAnsi="Arial" w:cs="Arial"/>
          <w:b/>
          <w:sz w:val="22"/>
          <w:szCs w:val="22"/>
        </w:rPr>
        <w:t>2</w:t>
      </w:r>
    </w:p>
    <w:p w:rsidR="003928E9" w:rsidRPr="00A320B0" w:rsidRDefault="0041406F" w:rsidP="00A320B0">
      <w:pPr>
        <w:jc w:val="center"/>
        <w:rPr>
          <w:rFonts w:ascii="Arial" w:eastAsia="SimSun" w:hAnsi="Arial" w:cs="Arial"/>
          <w:b/>
          <w:sz w:val="22"/>
          <w:szCs w:val="22"/>
        </w:rPr>
      </w:pPr>
      <w:r>
        <w:rPr>
          <w:rFonts w:ascii="Arial" w:eastAsia="SimSun" w:hAnsi="Arial" w:cs="Arial"/>
          <w:b/>
          <w:sz w:val="22"/>
          <w:szCs w:val="22"/>
        </w:rPr>
        <w:t>(</w:t>
      </w:r>
      <w:proofErr w:type="gramStart"/>
      <w:r>
        <w:rPr>
          <w:rFonts w:ascii="Arial" w:eastAsia="SimSun" w:hAnsi="Arial" w:cs="Arial"/>
          <w:b/>
          <w:sz w:val="22"/>
          <w:szCs w:val="22"/>
        </w:rPr>
        <w:t>in</w:t>
      </w:r>
      <w:proofErr w:type="gramEnd"/>
      <w:r>
        <w:rPr>
          <w:rFonts w:ascii="Arial" w:eastAsia="SimSun" w:hAnsi="Arial" w:cs="Arial"/>
          <w:b/>
          <w:sz w:val="22"/>
          <w:szCs w:val="22"/>
        </w:rPr>
        <w:t xml:space="preserve"> thousand</w:t>
      </w:r>
      <w:r w:rsidR="003928E9" w:rsidRPr="00A320B0">
        <w:rPr>
          <w:rFonts w:ascii="Arial" w:eastAsia="SimSun" w:hAnsi="Arial" w:cs="Arial"/>
          <w:b/>
          <w:sz w:val="22"/>
          <w:szCs w:val="22"/>
        </w:rPr>
        <w:t>s of Swiss francs)</w:t>
      </w:r>
    </w:p>
    <w:p w:rsidR="003928E9" w:rsidRPr="00F447E9" w:rsidRDefault="003928E9" w:rsidP="003928E9">
      <w:pPr>
        <w:rPr>
          <w:rFonts w:ascii="Arial" w:eastAsia="SimSun" w:hAnsi="Arial" w:cs="Arial"/>
          <w:sz w:val="22"/>
          <w:szCs w:val="22"/>
        </w:rPr>
      </w:pPr>
    </w:p>
    <w:p w:rsidR="003928E9" w:rsidRPr="00F447E9" w:rsidRDefault="003928E9" w:rsidP="003928E9">
      <w:pPr>
        <w:rPr>
          <w:rFonts w:ascii="Arial" w:eastAsia="SimSun" w:hAnsi="Arial" w:cs="Arial"/>
          <w:sz w:val="22"/>
          <w:szCs w:val="22"/>
        </w:rPr>
      </w:pPr>
    </w:p>
    <w:p w:rsidR="00F447E9" w:rsidRPr="0092055D" w:rsidRDefault="00BC7CD6" w:rsidP="003928E9">
      <w:pPr>
        <w:rPr>
          <w:rFonts w:eastAsia="SimSun"/>
        </w:rPr>
      </w:pPr>
      <w:r>
        <w:rPr>
          <w:rFonts w:eastAsia="SimSun"/>
          <w:noProof/>
        </w:rPr>
        <w:drawing>
          <wp:inline distT="0" distB="0" distL="0" distR="0" wp14:anchorId="331CFFF9" wp14:editId="7A94B4B7">
            <wp:extent cx="582930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9300" cy="7058025"/>
                    </a:xfrm>
                    <a:prstGeom prst="rect">
                      <a:avLst/>
                    </a:prstGeom>
                    <a:noFill/>
                    <a:ln>
                      <a:noFill/>
                    </a:ln>
                  </pic:spPr>
                </pic:pic>
              </a:graphicData>
            </a:graphic>
          </wp:inline>
        </w:drawing>
      </w:r>
    </w:p>
    <w:p w:rsidR="003928E9" w:rsidRPr="003928E9" w:rsidRDefault="003928E9" w:rsidP="003928E9">
      <w:pPr>
        <w:rPr>
          <w:rFonts w:eastAsia="SimSun"/>
        </w:rPr>
      </w:pPr>
    </w:p>
    <w:p w:rsidR="003928E9" w:rsidRPr="003928E9" w:rsidRDefault="003928E9" w:rsidP="003928E9">
      <w:pPr>
        <w:sectPr w:rsidR="003928E9" w:rsidRPr="003928E9" w:rsidSect="00562865">
          <w:headerReference w:type="even" r:id="rId30"/>
          <w:headerReference w:type="default" r:id="rId31"/>
          <w:pgSz w:w="11907" w:h="16840" w:code="9"/>
          <w:pgMar w:top="851" w:right="1247" w:bottom="1191" w:left="1247" w:header="709" w:footer="709" w:gutter="0"/>
          <w:pgNumType w:start="3"/>
          <w:cols w:space="708"/>
          <w:docGrid w:linePitch="360"/>
        </w:sectPr>
      </w:pPr>
    </w:p>
    <w:p w:rsidR="00F447E9" w:rsidRPr="003928E9" w:rsidRDefault="00F447E9" w:rsidP="00F447E9">
      <w:pPr>
        <w:pStyle w:val="Heading1"/>
        <w:keepNext/>
        <w:spacing w:before="240" w:after="220"/>
        <w:ind w:left="0" w:firstLine="0"/>
        <w:jc w:val="center"/>
        <w:rPr>
          <w:rFonts w:ascii="Arial" w:eastAsia="SimSun" w:hAnsi="Arial" w:cs="Arial"/>
          <w:bCs/>
          <w:caps/>
          <w:color w:val="auto"/>
          <w:kern w:val="32"/>
          <w:sz w:val="22"/>
          <w:szCs w:val="32"/>
          <w:lang w:val="en-US"/>
        </w:rPr>
      </w:pPr>
      <w:r w:rsidRPr="00F447E9">
        <w:rPr>
          <w:rFonts w:ascii="Arial" w:eastAsia="SimSun" w:hAnsi="Arial" w:cs="Arial"/>
          <w:bCs/>
          <w:caps/>
          <w:color w:val="auto"/>
          <w:kern w:val="32"/>
          <w:sz w:val="22"/>
          <w:szCs w:val="32"/>
          <w:lang w:val="en-US"/>
        </w:rPr>
        <w:lastRenderedPageBreak/>
        <w:t xml:space="preserve"> </w:t>
      </w:r>
      <w:r w:rsidRPr="003928E9">
        <w:rPr>
          <w:rFonts w:ascii="Arial" w:eastAsia="SimSun" w:hAnsi="Arial" w:cs="Arial"/>
          <w:bCs/>
          <w:caps/>
          <w:color w:val="auto"/>
          <w:kern w:val="32"/>
          <w:sz w:val="22"/>
          <w:szCs w:val="32"/>
          <w:lang w:val="en-US"/>
        </w:rPr>
        <w:t>STATEMENT I</w:t>
      </w:r>
      <w:r>
        <w:rPr>
          <w:rFonts w:ascii="Arial" w:eastAsia="SimSun" w:hAnsi="Arial" w:cs="Arial"/>
          <w:bCs/>
          <w:caps/>
          <w:color w:val="auto"/>
          <w:kern w:val="32"/>
          <w:sz w:val="22"/>
          <w:szCs w:val="32"/>
          <w:lang w:val="en-US"/>
        </w:rPr>
        <w:t>I</w:t>
      </w:r>
      <w:r>
        <w:rPr>
          <w:rFonts w:ascii="Arial" w:eastAsia="SimSun" w:hAnsi="Arial" w:cs="Arial"/>
          <w:bCs/>
          <w:caps/>
          <w:color w:val="auto"/>
          <w:kern w:val="32"/>
          <w:sz w:val="22"/>
          <w:szCs w:val="32"/>
          <w:lang w:val="en-US"/>
        </w:rPr>
        <w:br/>
      </w:r>
      <w:r>
        <w:rPr>
          <w:rFonts w:ascii="Arial" w:eastAsia="SimSun" w:hAnsi="Arial" w:cs="Arial"/>
          <w:bCs/>
          <w:caps/>
          <w:color w:val="auto"/>
          <w:kern w:val="32"/>
          <w:sz w:val="22"/>
          <w:szCs w:val="32"/>
          <w:lang w:val="en-US"/>
        </w:rPr>
        <w:br/>
        <w:t>STATEMENT OF FINANCIAL PERFORMANCE</w:t>
      </w:r>
    </w:p>
    <w:p w:rsidR="00F447E9" w:rsidRPr="00A320B0" w:rsidRDefault="00F447E9" w:rsidP="00F447E9">
      <w:pPr>
        <w:jc w:val="center"/>
        <w:rPr>
          <w:rFonts w:ascii="Arial" w:eastAsia="SimSun" w:hAnsi="Arial" w:cs="Arial"/>
          <w:b/>
          <w:sz w:val="22"/>
          <w:szCs w:val="22"/>
        </w:rPr>
      </w:pPr>
      <w:proofErr w:type="gramStart"/>
      <w:r>
        <w:rPr>
          <w:rFonts w:ascii="Arial" w:eastAsia="SimSun" w:hAnsi="Arial" w:cs="Arial"/>
          <w:b/>
          <w:sz w:val="22"/>
          <w:szCs w:val="22"/>
        </w:rPr>
        <w:t>for</w:t>
      </w:r>
      <w:proofErr w:type="gramEnd"/>
      <w:r>
        <w:rPr>
          <w:rFonts w:ascii="Arial" w:eastAsia="SimSun" w:hAnsi="Arial" w:cs="Arial"/>
          <w:b/>
          <w:sz w:val="22"/>
          <w:szCs w:val="22"/>
        </w:rPr>
        <w:t xml:space="preserve"> the </w:t>
      </w:r>
      <w:r w:rsidR="00D94D51">
        <w:rPr>
          <w:rFonts w:ascii="Arial" w:eastAsia="SimSun" w:hAnsi="Arial" w:cs="Arial"/>
          <w:b/>
          <w:sz w:val="22"/>
          <w:szCs w:val="22"/>
        </w:rPr>
        <w:t>year</w:t>
      </w:r>
      <w:r>
        <w:rPr>
          <w:rFonts w:ascii="Arial" w:eastAsia="SimSun" w:hAnsi="Arial" w:cs="Arial"/>
          <w:b/>
          <w:sz w:val="22"/>
          <w:szCs w:val="22"/>
        </w:rPr>
        <w:t xml:space="preserve"> ended</w:t>
      </w:r>
      <w:r w:rsidRPr="00A320B0">
        <w:rPr>
          <w:rFonts w:ascii="Arial" w:eastAsia="SimSun" w:hAnsi="Arial" w:cs="Arial"/>
          <w:b/>
          <w:sz w:val="22"/>
          <w:szCs w:val="22"/>
        </w:rPr>
        <w:t xml:space="preserve"> December 3</w:t>
      </w:r>
      <w:r w:rsidR="00D94D51">
        <w:rPr>
          <w:rFonts w:ascii="Arial" w:eastAsia="SimSun" w:hAnsi="Arial" w:cs="Arial"/>
          <w:b/>
          <w:sz w:val="22"/>
          <w:szCs w:val="22"/>
        </w:rPr>
        <w:t>1</w:t>
      </w:r>
      <w:r w:rsidRPr="00A320B0">
        <w:rPr>
          <w:rFonts w:ascii="Arial" w:eastAsia="SimSun" w:hAnsi="Arial" w:cs="Arial"/>
          <w:b/>
          <w:sz w:val="22"/>
          <w:szCs w:val="22"/>
        </w:rPr>
        <w:t>, 201</w:t>
      </w:r>
      <w:r w:rsidR="00D52E2A">
        <w:rPr>
          <w:rFonts w:ascii="Arial" w:eastAsia="SimSun" w:hAnsi="Arial" w:cs="Arial"/>
          <w:b/>
          <w:sz w:val="22"/>
          <w:szCs w:val="22"/>
        </w:rPr>
        <w:t>2</w:t>
      </w:r>
    </w:p>
    <w:p w:rsidR="00B21AF0" w:rsidRPr="009A12B8" w:rsidRDefault="00F447E9" w:rsidP="00F447E9">
      <w:pPr>
        <w:jc w:val="center"/>
        <w:rPr>
          <w:sz w:val="20"/>
        </w:rPr>
      </w:pPr>
      <w:r w:rsidRPr="00A320B0">
        <w:rPr>
          <w:rFonts w:ascii="Arial" w:eastAsia="SimSun" w:hAnsi="Arial" w:cs="Arial"/>
          <w:b/>
          <w:sz w:val="22"/>
          <w:szCs w:val="22"/>
        </w:rPr>
        <w:t>(</w:t>
      </w:r>
      <w:proofErr w:type="gramStart"/>
      <w:r w:rsidRPr="00A320B0">
        <w:rPr>
          <w:rFonts w:ascii="Arial" w:eastAsia="SimSun" w:hAnsi="Arial" w:cs="Arial"/>
          <w:b/>
          <w:sz w:val="22"/>
          <w:szCs w:val="22"/>
        </w:rPr>
        <w:t>in</w:t>
      </w:r>
      <w:proofErr w:type="gramEnd"/>
      <w:r w:rsidRPr="00A320B0">
        <w:rPr>
          <w:rFonts w:ascii="Arial" w:eastAsia="SimSun" w:hAnsi="Arial" w:cs="Arial"/>
          <w:b/>
          <w:sz w:val="22"/>
          <w:szCs w:val="22"/>
        </w:rPr>
        <w:t xml:space="preserve"> </w:t>
      </w:r>
      <w:r w:rsidR="00D52E2A">
        <w:rPr>
          <w:rFonts w:ascii="Arial" w:eastAsia="SimSun" w:hAnsi="Arial" w:cs="Arial"/>
          <w:b/>
          <w:sz w:val="22"/>
          <w:szCs w:val="22"/>
        </w:rPr>
        <w:t>thousand</w:t>
      </w:r>
      <w:r w:rsidRPr="00A320B0">
        <w:rPr>
          <w:rFonts w:ascii="Arial" w:eastAsia="SimSun" w:hAnsi="Arial" w:cs="Arial"/>
          <w:b/>
          <w:sz w:val="22"/>
          <w:szCs w:val="22"/>
        </w:rPr>
        <w:t>s of Swiss francs</w:t>
      </w:r>
      <w:r>
        <w:rPr>
          <w:rFonts w:ascii="Arial" w:eastAsia="SimSun" w:hAnsi="Arial" w:cs="Arial"/>
          <w:b/>
          <w:sz w:val="22"/>
          <w:szCs w:val="22"/>
        </w:rPr>
        <w:t>)</w:t>
      </w:r>
    </w:p>
    <w:p w:rsidR="006C388C" w:rsidRDefault="006C388C" w:rsidP="007C6D77">
      <w:pPr>
        <w:jc w:val="both"/>
        <w:rPr>
          <w:rFonts w:ascii="Arial" w:hAnsi="Arial" w:cs="Arial"/>
          <w:sz w:val="22"/>
          <w:szCs w:val="22"/>
        </w:rPr>
      </w:pPr>
    </w:p>
    <w:p w:rsidR="00F447E9" w:rsidRPr="00F447E9" w:rsidRDefault="00F447E9" w:rsidP="007C6D77">
      <w:pPr>
        <w:jc w:val="both"/>
        <w:rPr>
          <w:rFonts w:ascii="Arial" w:hAnsi="Arial" w:cs="Arial"/>
          <w:sz w:val="22"/>
          <w:szCs w:val="22"/>
        </w:rPr>
      </w:pPr>
    </w:p>
    <w:p w:rsidR="00691BCD" w:rsidRPr="0092055D" w:rsidRDefault="00BC7CD6" w:rsidP="007C6D77">
      <w:pPr>
        <w:jc w:val="both"/>
      </w:pPr>
      <w:r>
        <w:rPr>
          <w:noProof/>
        </w:rPr>
        <w:drawing>
          <wp:inline distT="0" distB="0" distL="0" distR="0" wp14:anchorId="35E5D8B3" wp14:editId="4DB72D68">
            <wp:extent cx="5972175" cy="499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72175" cy="4991100"/>
                    </a:xfrm>
                    <a:prstGeom prst="rect">
                      <a:avLst/>
                    </a:prstGeom>
                    <a:noFill/>
                    <a:ln>
                      <a:noFill/>
                    </a:ln>
                  </pic:spPr>
                </pic:pic>
              </a:graphicData>
            </a:graphic>
          </wp:inline>
        </w:drawing>
      </w:r>
    </w:p>
    <w:p w:rsidR="000908AD" w:rsidRPr="006C388C" w:rsidRDefault="000908AD" w:rsidP="007C6D77">
      <w:pPr>
        <w:jc w:val="both"/>
        <w:rPr>
          <w:sz w:val="20"/>
          <w:szCs w:val="18"/>
        </w:rPr>
      </w:pPr>
    </w:p>
    <w:p w:rsidR="00F447E9" w:rsidRPr="001D0D7E" w:rsidRDefault="00742262" w:rsidP="000908AD">
      <w:pPr>
        <w:pStyle w:val="STYLE2LASTONE"/>
        <w:jc w:val="center"/>
        <w:rPr>
          <w:rFonts w:eastAsia="SimSun" w:cs="Arial"/>
          <w:caps/>
          <w:color w:val="auto"/>
          <w:kern w:val="32"/>
          <w:sz w:val="22"/>
          <w:szCs w:val="32"/>
          <w:lang w:val="en-US"/>
        </w:rPr>
      </w:pPr>
      <w:bookmarkStart w:id="14" w:name="_Toc301187112"/>
      <w:r w:rsidRPr="006109C2">
        <w:rPr>
          <w:lang w:val="en-US"/>
        </w:rPr>
        <w:t>S</w:t>
      </w:r>
      <w:r w:rsidR="005A588B" w:rsidRPr="006109C2">
        <w:rPr>
          <w:lang w:val="en-US"/>
        </w:rPr>
        <w:t>tatement of Financial Performance</w:t>
      </w:r>
      <w:bookmarkEnd w:id="14"/>
      <w:r w:rsidR="00703869" w:rsidRPr="001D0D7E">
        <w:rPr>
          <w:lang w:val="en-US"/>
        </w:rPr>
        <w:br w:type="page"/>
      </w:r>
      <w:r w:rsidR="00F447E9" w:rsidRPr="001D0D7E">
        <w:rPr>
          <w:rFonts w:eastAsia="SimSun" w:cs="Arial"/>
          <w:caps/>
          <w:color w:val="auto"/>
          <w:kern w:val="32"/>
          <w:sz w:val="22"/>
          <w:szCs w:val="32"/>
          <w:lang w:val="en-US"/>
        </w:rPr>
        <w:lastRenderedPageBreak/>
        <w:t>STATEMENT III</w:t>
      </w:r>
      <w:r w:rsidR="00F447E9" w:rsidRPr="001D0D7E">
        <w:rPr>
          <w:rFonts w:eastAsia="SimSun" w:cs="Arial"/>
          <w:caps/>
          <w:color w:val="auto"/>
          <w:kern w:val="32"/>
          <w:sz w:val="22"/>
          <w:szCs w:val="32"/>
          <w:lang w:val="en-US"/>
        </w:rPr>
        <w:br/>
      </w:r>
      <w:r w:rsidR="00F447E9" w:rsidRPr="001D0D7E">
        <w:rPr>
          <w:rFonts w:eastAsia="SimSun" w:cs="Arial"/>
          <w:caps/>
          <w:color w:val="auto"/>
          <w:kern w:val="32"/>
          <w:sz w:val="22"/>
          <w:szCs w:val="32"/>
          <w:lang w:val="en-US"/>
        </w:rPr>
        <w:br/>
        <w:t>STATEMENT OF CHANGES IN NET ASSETS</w:t>
      </w:r>
    </w:p>
    <w:p w:rsidR="000908AD" w:rsidRPr="001D0D7E" w:rsidRDefault="000908AD" w:rsidP="000908AD">
      <w:pPr>
        <w:pStyle w:val="STYLE2LASTONE"/>
        <w:jc w:val="center"/>
        <w:rPr>
          <w:rFonts w:eastAsia="SimSun" w:cs="Arial"/>
          <w:caps/>
          <w:color w:val="auto"/>
          <w:kern w:val="32"/>
          <w:sz w:val="22"/>
          <w:szCs w:val="32"/>
          <w:lang w:val="en-US"/>
        </w:rPr>
      </w:pPr>
    </w:p>
    <w:p w:rsidR="00F447E9" w:rsidRDefault="00F447E9" w:rsidP="00F447E9">
      <w:pPr>
        <w:jc w:val="center"/>
        <w:rPr>
          <w:rFonts w:ascii="Arial" w:eastAsia="SimSun" w:hAnsi="Arial" w:cs="Arial"/>
          <w:b/>
          <w:sz w:val="22"/>
          <w:szCs w:val="22"/>
        </w:rPr>
      </w:pPr>
      <w:proofErr w:type="gramStart"/>
      <w:r>
        <w:rPr>
          <w:rFonts w:ascii="Arial" w:eastAsia="SimSun" w:hAnsi="Arial" w:cs="Arial"/>
          <w:b/>
          <w:sz w:val="22"/>
          <w:szCs w:val="22"/>
        </w:rPr>
        <w:t>for</w:t>
      </w:r>
      <w:proofErr w:type="gramEnd"/>
      <w:r>
        <w:rPr>
          <w:rFonts w:ascii="Arial" w:eastAsia="SimSun" w:hAnsi="Arial" w:cs="Arial"/>
          <w:b/>
          <w:sz w:val="22"/>
          <w:szCs w:val="22"/>
        </w:rPr>
        <w:t xml:space="preserve"> the year ended</w:t>
      </w:r>
      <w:r w:rsidRPr="00A320B0">
        <w:rPr>
          <w:rFonts w:ascii="Arial" w:eastAsia="SimSun" w:hAnsi="Arial" w:cs="Arial"/>
          <w:b/>
          <w:sz w:val="22"/>
          <w:szCs w:val="22"/>
        </w:rPr>
        <w:t xml:space="preserve"> December 31, 201</w:t>
      </w:r>
      <w:r w:rsidR="00D52E2A">
        <w:rPr>
          <w:rFonts w:ascii="Arial" w:eastAsia="SimSun" w:hAnsi="Arial" w:cs="Arial"/>
          <w:b/>
          <w:sz w:val="22"/>
          <w:szCs w:val="22"/>
        </w:rPr>
        <w:t>2</w:t>
      </w:r>
    </w:p>
    <w:p w:rsidR="00F447E9" w:rsidRPr="00A320B0" w:rsidRDefault="00F447E9" w:rsidP="00F447E9">
      <w:pPr>
        <w:jc w:val="center"/>
        <w:rPr>
          <w:rFonts w:ascii="Arial" w:eastAsia="SimSun" w:hAnsi="Arial" w:cs="Arial"/>
          <w:b/>
          <w:sz w:val="22"/>
          <w:szCs w:val="22"/>
        </w:rPr>
      </w:pPr>
      <w:r>
        <w:rPr>
          <w:rFonts w:ascii="Arial" w:eastAsia="SimSun" w:hAnsi="Arial" w:cs="Arial"/>
          <w:b/>
          <w:sz w:val="22"/>
          <w:szCs w:val="22"/>
        </w:rPr>
        <w:t>(</w:t>
      </w:r>
      <w:proofErr w:type="gramStart"/>
      <w:r>
        <w:rPr>
          <w:rFonts w:ascii="Arial" w:eastAsia="SimSun" w:hAnsi="Arial" w:cs="Arial"/>
          <w:b/>
          <w:sz w:val="22"/>
          <w:szCs w:val="22"/>
        </w:rPr>
        <w:t>in</w:t>
      </w:r>
      <w:proofErr w:type="gramEnd"/>
      <w:r>
        <w:rPr>
          <w:rFonts w:ascii="Arial" w:eastAsia="SimSun" w:hAnsi="Arial" w:cs="Arial"/>
          <w:b/>
          <w:sz w:val="22"/>
          <w:szCs w:val="22"/>
        </w:rPr>
        <w:t xml:space="preserve"> </w:t>
      </w:r>
      <w:r w:rsidR="00D52E2A">
        <w:rPr>
          <w:rFonts w:ascii="Arial" w:eastAsia="SimSun" w:hAnsi="Arial" w:cs="Arial"/>
          <w:b/>
          <w:sz w:val="22"/>
          <w:szCs w:val="22"/>
        </w:rPr>
        <w:t>thousand</w:t>
      </w:r>
      <w:r>
        <w:rPr>
          <w:rFonts w:ascii="Arial" w:eastAsia="SimSun" w:hAnsi="Arial" w:cs="Arial"/>
          <w:b/>
          <w:sz w:val="22"/>
          <w:szCs w:val="22"/>
        </w:rPr>
        <w:t>s of Swiss francs)</w:t>
      </w:r>
    </w:p>
    <w:p w:rsidR="006C388C" w:rsidRPr="00F447E9" w:rsidRDefault="006C388C" w:rsidP="00C373AB">
      <w:pPr>
        <w:pStyle w:val="STYLE2LASTONE"/>
        <w:ind w:left="0" w:firstLine="0"/>
        <w:jc w:val="both"/>
        <w:rPr>
          <w:rFonts w:cs="Arial"/>
          <w:color w:val="auto"/>
          <w:kern w:val="0"/>
          <w:sz w:val="22"/>
          <w:szCs w:val="22"/>
          <w:lang w:val="en-US"/>
        </w:rPr>
      </w:pPr>
      <w:bookmarkStart w:id="15" w:name="_Toc292717464"/>
    </w:p>
    <w:p w:rsidR="00E56A37" w:rsidRDefault="00E56A37" w:rsidP="00D92159">
      <w:pPr>
        <w:pStyle w:val="STYLE2LASTONE"/>
        <w:ind w:left="0" w:firstLine="0"/>
        <w:rPr>
          <w:rFonts w:cs="Arial"/>
          <w:color w:val="auto"/>
          <w:kern w:val="0"/>
          <w:sz w:val="22"/>
          <w:szCs w:val="22"/>
          <w:lang w:val="en-US"/>
        </w:rPr>
      </w:pPr>
    </w:p>
    <w:p w:rsidR="00231B50" w:rsidRPr="00F447E9" w:rsidRDefault="00231B50" w:rsidP="00D92159">
      <w:pPr>
        <w:pStyle w:val="STYLE2LASTONE"/>
        <w:ind w:left="0" w:firstLine="0"/>
        <w:rPr>
          <w:rFonts w:cs="Arial"/>
          <w:color w:val="auto"/>
          <w:kern w:val="0"/>
          <w:sz w:val="22"/>
          <w:szCs w:val="22"/>
          <w:lang w:val="en-US"/>
        </w:rPr>
      </w:pPr>
    </w:p>
    <w:p w:rsidR="00E56A37" w:rsidRPr="0092055D" w:rsidRDefault="00BC7CD6" w:rsidP="00D92159">
      <w:pPr>
        <w:pStyle w:val="STYLE2LASTONE"/>
        <w:ind w:left="0" w:firstLine="0"/>
        <w:rPr>
          <w:szCs w:val="22"/>
        </w:rPr>
      </w:pPr>
      <w:r>
        <w:rPr>
          <w:noProof/>
          <w:lang w:val="en-US"/>
        </w:rPr>
        <w:drawing>
          <wp:inline distT="0" distB="0" distL="0" distR="0" wp14:anchorId="0755DB95" wp14:editId="03D58CB8">
            <wp:extent cx="5972175" cy="2743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72175" cy="2743200"/>
                    </a:xfrm>
                    <a:prstGeom prst="rect">
                      <a:avLst/>
                    </a:prstGeom>
                    <a:noFill/>
                    <a:ln>
                      <a:noFill/>
                    </a:ln>
                  </pic:spPr>
                </pic:pic>
              </a:graphicData>
            </a:graphic>
          </wp:inline>
        </w:drawing>
      </w:r>
    </w:p>
    <w:p w:rsidR="00B23AAA" w:rsidRPr="00F447E9" w:rsidRDefault="00B23AAA" w:rsidP="00D92159">
      <w:pPr>
        <w:pStyle w:val="STYLE2LASTONE"/>
        <w:ind w:left="0" w:firstLine="0"/>
        <w:rPr>
          <w:rFonts w:cs="Arial"/>
          <w:b w:val="0"/>
          <w:bCs w:val="0"/>
          <w:color w:val="auto"/>
          <w:kern w:val="0"/>
          <w:sz w:val="22"/>
          <w:szCs w:val="22"/>
          <w:lang w:val="en-US"/>
        </w:rPr>
      </w:pPr>
    </w:p>
    <w:bookmarkEnd w:id="15"/>
    <w:p w:rsidR="00826893" w:rsidRPr="00F447E9" w:rsidRDefault="00826893" w:rsidP="00F447E9">
      <w:pPr>
        <w:pStyle w:val="STYLE2LASTONE"/>
        <w:ind w:left="0" w:firstLine="0"/>
        <w:rPr>
          <w:rFonts w:cs="Arial"/>
          <w:sz w:val="22"/>
          <w:szCs w:val="22"/>
          <w:lang w:val="en-US"/>
        </w:rPr>
      </w:pPr>
    </w:p>
    <w:p w:rsidR="00C373AB" w:rsidRPr="003928E9" w:rsidRDefault="00826893" w:rsidP="00C373AB">
      <w:pPr>
        <w:pStyle w:val="Heading1"/>
        <w:keepNext/>
        <w:spacing w:before="240" w:after="220"/>
        <w:ind w:left="0" w:firstLine="0"/>
        <w:jc w:val="center"/>
        <w:rPr>
          <w:rFonts w:ascii="Arial" w:eastAsia="SimSun" w:hAnsi="Arial" w:cs="Arial"/>
          <w:bCs/>
          <w:caps/>
          <w:color w:val="auto"/>
          <w:kern w:val="32"/>
          <w:sz w:val="22"/>
          <w:szCs w:val="32"/>
          <w:lang w:val="en-US"/>
        </w:rPr>
      </w:pPr>
      <w:r w:rsidRPr="00C373AB">
        <w:rPr>
          <w:sz w:val="20"/>
          <w:lang w:val="en-US"/>
        </w:rPr>
        <w:br w:type="page"/>
      </w:r>
      <w:r w:rsidR="00C373AB" w:rsidRPr="003928E9">
        <w:rPr>
          <w:rFonts w:ascii="Arial" w:eastAsia="SimSun" w:hAnsi="Arial" w:cs="Arial"/>
          <w:bCs/>
          <w:caps/>
          <w:color w:val="auto"/>
          <w:kern w:val="32"/>
          <w:sz w:val="22"/>
          <w:szCs w:val="32"/>
          <w:lang w:val="en-US"/>
        </w:rPr>
        <w:lastRenderedPageBreak/>
        <w:t>STATEMENT I</w:t>
      </w:r>
      <w:r w:rsidR="00C373AB">
        <w:rPr>
          <w:rFonts w:ascii="Arial" w:eastAsia="SimSun" w:hAnsi="Arial" w:cs="Arial"/>
          <w:bCs/>
          <w:caps/>
          <w:color w:val="auto"/>
          <w:kern w:val="32"/>
          <w:sz w:val="22"/>
          <w:szCs w:val="32"/>
          <w:lang w:val="en-US"/>
        </w:rPr>
        <w:t>V</w:t>
      </w:r>
      <w:r w:rsidR="00C373AB">
        <w:rPr>
          <w:rFonts w:ascii="Arial" w:eastAsia="SimSun" w:hAnsi="Arial" w:cs="Arial"/>
          <w:bCs/>
          <w:caps/>
          <w:color w:val="auto"/>
          <w:kern w:val="32"/>
          <w:sz w:val="22"/>
          <w:szCs w:val="32"/>
          <w:lang w:val="en-US"/>
        </w:rPr>
        <w:br/>
      </w:r>
      <w:r w:rsidR="00C373AB">
        <w:rPr>
          <w:rFonts w:ascii="Arial" w:eastAsia="SimSun" w:hAnsi="Arial" w:cs="Arial"/>
          <w:bCs/>
          <w:caps/>
          <w:color w:val="auto"/>
          <w:kern w:val="32"/>
          <w:sz w:val="22"/>
          <w:szCs w:val="32"/>
          <w:lang w:val="en-US"/>
        </w:rPr>
        <w:br/>
        <w:t>STATEMENT OF CASH FLOW</w:t>
      </w:r>
    </w:p>
    <w:p w:rsidR="00C373AB" w:rsidRDefault="00C373AB" w:rsidP="00C373AB">
      <w:pPr>
        <w:jc w:val="center"/>
        <w:rPr>
          <w:rFonts w:ascii="Arial" w:eastAsia="SimSun" w:hAnsi="Arial" w:cs="Arial"/>
          <w:b/>
          <w:sz w:val="22"/>
          <w:szCs w:val="22"/>
        </w:rPr>
      </w:pPr>
      <w:proofErr w:type="gramStart"/>
      <w:r>
        <w:rPr>
          <w:rFonts w:ascii="Arial" w:eastAsia="SimSun" w:hAnsi="Arial" w:cs="Arial"/>
          <w:b/>
          <w:sz w:val="22"/>
          <w:szCs w:val="22"/>
        </w:rPr>
        <w:t>for</w:t>
      </w:r>
      <w:proofErr w:type="gramEnd"/>
      <w:r>
        <w:rPr>
          <w:rFonts w:ascii="Arial" w:eastAsia="SimSun" w:hAnsi="Arial" w:cs="Arial"/>
          <w:b/>
          <w:sz w:val="22"/>
          <w:szCs w:val="22"/>
        </w:rPr>
        <w:t xml:space="preserve"> the year ended</w:t>
      </w:r>
      <w:r w:rsidRPr="00A320B0">
        <w:rPr>
          <w:rFonts w:ascii="Arial" w:eastAsia="SimSun" w:hAnsi="Arial" w:cs="Arial"/>
          <w:b/>
          <w:sz w:val="22"/>
          <w:szCs w:val="22"/>
        </w:rPr>
        <w:t xml:space="preserve"> December 31, 201</w:t>
      </w:r>
      <w:r w:rsidR="00D52E2A">
        <w:rPr>
          <w:rFonts w:ascii="Arial" w:eastAsia="SimSun" w:hAnsi="Arial" w:cs="Arial"/>
          <w:b/>
          <w:sz w:val="22"/>
          <w:szCs w:val="22"/>
        </w:rPr>
        <w:t>2</w:t>
      </w:r>
    </w:p>
    <w:p w:rsidR="00C373AB" w:rsidRPr="00A320B0" w:rsidRDefault="00C373AB" w:rsidP="00C373AB">
      <w:pPr>
        <w:jc w:val="center"/>
        <w:rPr>
          <w:rFonts w:ascii="Arial" w:eastAsia="SimSun" w:hAnsi="Arial" w:cs="Arial"/>
          <w:b/>
          <w:sz w:val="22"/>
          <w:szCs w:val="22"/>
        </w:rPr>
      </w:pPr>
      <w:r>
        <w:rPr>
          <w:rFonts w:ascii="Arial" w:eastAsia="SimSun" w:hAnsi="Arial" w:cs="Arial"/>
          <w:b/>
          <w:sz w:val="22"/>
          <w:szCs w:val="22"/>
        </w:rPr>
        <w:t>(</w:t>
      </w:r>
      <w:proofErr w:type="gramStart"/>
      <w:r>
        <w:rPr>
          <w:rFonts w:ascii="Arial" w:eastAsia="SimSun" w:hAnsi="Arial" w:cs="Arial"/>
          <w:b/>
          <w:sz w:val="22"/>
          <w:szCs w:val="22"/>
        </w:rPr>
        <w:t>in</w:t>
      </w:r>
      <w:proofErr w:type="gramEnd"/>
      <w:r>
        <w:rPr>
          <w:rFonts w:ascii="Arial" w:eastAsia="SimSun" w:hAnsi="Arial" w:cs="Arial"/>
          <w:b/>
          <w:sz w:val="22"/>
          <w:szCs w:val="22"/>
        </w:rPr>
        <w:t xml:space="preserve"> </w:t>
      </w:r>
      <w:r w:rsidR="00D52E2A">
        <w:rPr>
          <w:rFonts w:ascii="Arial" w:eastAsia="SimSun" w:hAnsi="Arial" w:cs="Arial"/>
          <w:b/>
          <w:sz w:val="22"/>
          <w:szCs w:val="22"/>
        </w:rPr>
        <w:t>thousand</w:t>
      </w:r>
      <w:r>
        <w:rPr>
          <w:rFonts w:ascii="Arial" w:eastAsia="SimSun" w:hAnsi="Arial" w:cs="Arial"/>
          <w:b/>
          <w:sz w:val="22"/>
          <w:szCs w:val="22"/>
        </w:rPr>
        <w:t>s of Swiss francs)</w:t>
      </w:r>
    </w:p>
    <w:p w:rsidR="00E56A37" w:rsidRPr="00C373AB" w:rsidRDefault="00E56A37" w:rsidP="00E56A37">
      <w:pPr>
        <w:rPr>
          <w:rFonts w:ascii="Arial" w:hAnsi="Arial" w:cs="Arial"/>
          <w:sz w:val="22"/>
          <w:szCs w:val="22"/>
        </w:rPr>
      </w:pPr>
    </w:p>
    <w:p w:rsidR="00FB0EF3" w:rsidRPr="00C373AB" w:rsidRDefault="00FB0EF3" w:rsidP="00E56A37">
      <w:pPr>
        <w:rPr>
          <w:rFonts w:ascii="Arial" w:hAnsi="Arial" w:cs="Arial"/>
          <w:sz w:val="22"/>
          <w:szCs w:val="22"/>
        </w:rPr>
      </w:pPr>
    </w:p>
    <w:p w:rsidR="00FB0EF3" w:rsidRDefault="00BC7CD6" w:rsidP="00E56A37">
      <w:r>
        <w:rPr>
          <w:noProof/>
        </w:rPr>
        <w:drawing>
          <wp:inline distT="0" distB="0" distL="0" distR="0" wp14:anchorId="32841B0D" wp14:editId="110EA202">
            <wp:extent cx="5829300" cy="5953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9300" cy="5953125"/>
                    </a:xfrm>
                    <a:prstGeom prst="rect">
                      <a:avLst/>
                    </a:prstGeom>
                    <a:noFill/>
                    <a:ln>
                      <a:noFill/>
                    </a:ln>
                  </pic:spPr>
                </pic:pic>
              </a:graphicData>
            </a:graphic>
          </wp:inline>
        </w:drawing>
      </w:r>
    </w:p>
    <w:p w:rsidR="00A4756A" w:rsidRPr="00A4756A" w:rsidRDefault="00A4756A" w:rsidP="00A4756A">
      <w:pPr>
        <w:rPr>
          <w:rFonts w:ascii="Arial" w:hAnsi="Arial" w:cs="Arial"/>
          <w:sz w:val="16"/>
          <w:szCs w:val="16"/>
        </w:rPr>
      </w:pPr>
      <w:r w:rsidRPr="00A4756A">
        <w:rPr>
          <w:rFonts w:ascii="Arial" w:hAnsi="Arial" w:cs="Arial"/>
          <w:b/>
          <w:sz w:val="16"/>
          <w:szCs w:val="16"/>
        </w:rPr>
        <w:t>(1)</w:t>
      </w:r>
      <w:r w:rsidRPr="00A4756A">
        <w:rPr>
          <w:rFonts w:ascii="Arial" w:hAnsi="Arial" w:cs="Arial"/>
          <w:sz w:val="16"/>
          <w:szCs w:val="16"/>
        </w:rPr>
        <w:t xml:space="preserve"> – Excluding interest earned and interest paid on borrowings. Interest earned is included in investment revenue (see Note 23). For detail of interest paid on borrowings, see Note 15.</w:t>
      </w:r>
    </w:p>
    <w:p w:rsidR="00A4756A" w:rsidRPr="001F39EC" w:rsidRDefault="00A4756A" w:rsidP="00E56A37">
      <w:pPr>
        <w:rPr>
          <w:szCs w:val="22"/>
        </w:rPr>
      </w:pPr>
    </w:p>
    <w:p w:rsidR="00FB0EF3" w:rsidRPr="00C373AB" w:rsidRDefault="00FB0EF3" w:rsidP="00FB0EF3">
      <w:pPr>
        <w:pStyle w:val="STYLE2LASTONE"/>
        <w:rPr>
          <w:rFonts w:cs="Arial"/>
          <w:color w:val="auto"/>
          <w:kern w:val="0"/>
          <w:sz w:val="22"/>
          <w:szCs w:val="22"/>
          <w:lang w:val="en-US"/>
        </w:rPr>
      </w:pPr>
      <w:bookmarkStart w:id="16" w:name="_Toc301187114"/>
      <w:r w:rsidRPr="00C373AB">
        <w:rPr>
          <w:rFonts w:cs="Arial"/>
          <w:sz w:val="22"/>
          <w:szCs w:val="22"/>
          <w:lang w:val="en-US"/>
        </w:rPr>
        <w:t>Statement of Cash Flow</w:t>
      </w:r>
      <w:bookmarkEnd w:id="16"/>
    </w:p>
    <w:p w:rsidR="00C373AB" w:rsidRPr="003928E9" w:rsidRDefault="00D87F79" w:rsidP="00C373AB">
      <w:pPr>
        <w:pStyle w:val="Heading1"/>
        <w:keepNext/>
        <w:spacing w:before="240" w:after="220"/>
        <w:ind w:left="0" w:firstLine="0"/>
        <w:jc w:val="center"/>
        <w:rPr>
          <w:rFonts w:ascii="Arial" w:eastAsia="SimSun" w:hAnsi="Arial" w:cs="Arial"/>
          <w:bCs/>
          <w:caps/>
          <w:color w:val="auto"/>
          <w:kern w:val="32"/>
          <w:sz w:val="22"/>
          <w:szCs w:val="32"/>
          <w:lang w:val="en-US"/>
        </w:rPr>
      </w:pPr>
      <w:r w:rsidRPr="00C373AB">
        <w:rPr>
          <w:lang w:val="en-US"/>
        </w:rPr>
        <w:br w:type="page"/>
      </w:r>
      <w:r w:rsidR="00C373AB">
        <w:rPr>
          <w:rFonts w:ascii="Arial" w:eastAsia="SimSun" w:hAnsi="Arial" w:cs="Arial"/>
          <w:bCs/>
          <w:caps/>
          <w:color w:val="auto"/>
          <w:kern w:val="32"/>
          <w:sz w:val="22"/>
          <w:szCs w:val="32"/>
          <w:lang w:val="en-US"/>
        </w:rPr>
        <w:lastRenderedPageBreak/>
        <w:t>STATEMENT V</w:t>
      </w:r>
      <w:r w:rsidR="00C373AB">
        <w:rPr>
          <w:rFonts w:ascii="Arial" w:eastAsia="SimSun" w:hAnsi="Arial" w:cs="Arial"/>
          <w:bCs/>
          <w:caps/>
          <w:color w:val="auto"/>
          <w:kern w:val="32"/>
          <w:sz w:val="22"/>
          <w:szCs w:val="32"/>
          <w:lang w:val="en-US"/>
        </w:rPr>
        <w:br/>
      </w:r>
      <w:r w:rsidR="00C373AB">
        <w:rPr>
          <w:rFonts w:ascii="Arial" w:eastAsia="SimSun" w:hAnsi="Arial" w:cs="Arial"/>
          <w:bCs/>
          <w:caps/>
          <w:color w:val="auto"/>
          <w:kern w:val="32"/>
          <w:sz w:val="22"/>
          <w:szCs w:val="32"/>
          <w:lang w:val="en-US"/>
        </w:rPr>
        <w:br/>
        <w:t xml:space="preserve">STATEMENT OF COMPARISON OF BUDGET AND ACTUAL AMOUNTS </w:t>
      </w:r>
      <w:r w:rsidR="00406770">
        <w:rPr>
          <w:rFonts w:ascii="Arial" w:eastAsia="SimSun" w:hAnsi="Arial" w:cs="Arial"/>
          <w:bCs/>
          <w:caps/>
          <w:color w:val="auto"/>
          <w:kern w:val="32"/>
          <w:sz w:val="22"/>
          <w:szCs w:val="32"/>
          <w:lang w:val="en-US"/>
        </w:rPr>
        <w:t>–</w:t>
      </w:r>
      <w:r w:rsidR="00C373AB">
        <w:rPr>
          <w:rFonts w:ascii="Arial" w:eastAsia="SimSun" w:hAnsi="Arial" w:cs="Arial"/>
          <w:bCs/>
          <w:caps/>
          <w:color w:val="auto"/>
          <w:kern w:val="32"/>
          <w:sz w:val="22"/>
          <w:szCs w:val="32"/>
          <w:lang w:val="en-US"/>
        </w:rPr>
        <w:t xml:space="preserve"> REVENUE</w:t>
      </w:r>
    </w:p>
    <w:p w:rsidR="00C373AB" w:rsidRDefault="00C373AB" w:rsidP="00C373AB">
      <w:pPr>
        <w:jc w:val="center"/>
        <w:rPr>
          <w:rFonts w:ascii="Arial" w:eastAsia="SimSun" w:hAnsi="Arial" w:cs="Arial"/>
          <w:b/>
          <w:sz w:val="22"/>
          <w:szCs w:val="22"/>
        </w:rPr>
      </w:pPr>
      <w:proofErr w:type="gramStart"/>
      <w:r>
        <w:rPr>
          <w:rFonts w:ascii="Arial" w:eastAsia="SimSun" w:hAnsi="Arial" w:cs="Arial"/>
          <w:b/>
          <w:sz w:val="22"/>
          <w:szCs w:val="22"/>
        </w:rPr>
        <w:t>for</w:t>
      </w:r>
      <w:proofErr w:type="gramEnd"/>
      <w:r>
        <w:rPr>
          <w:rFonts w:ascii="Arial" w:eastAsia="SimSun" w:hAnsi="Arial" w:cs="Arial"/>
          <w:b/>
          <w:sz w:val="22"/>
          <w:szCs w:val="22"/>
        </w:rPr>
        <w:t xml:space="preserve"> the year ended</w:t>
      </w:r>
      <w:r w:rsidRPr="00A320B0">
        <w:rPr>
          <w:rFonts w:ascii="Arial" w:eastAsia="SimSun" w:hAnsi="Arial" w:cs="Arial"/>
          <w:b/>
          <w:sz w:val="22"/>
          <w:szCs w:val="22"/>
        </w:rPr>
        <w:t xml:space="preserve"> December 31, 201</w:t>
      </w:r>
      <w:r w:rsidR="00D52E2A">
        <w:rPr>
          <w:rFonts w:ascii="Arial" w:eastAsia="SimSun" w:hAnsi="Arial" w:cs="Arial"/>
          <w:b/>
          <w:sz w:val="22"/>
          <w:szCs w:val="22"/>
        </w:rPr>
        <w:t>2</w:t>
      </w:r>
    </w:p>
    <w:p w:rsidR="00C373AB" w:rsidRPr="00A320B0" w:rsidRDefault="00C373AB" w:rsidP="00C373AB">
      <w:pPr>
        <w:jc w:val="center"/>
        <w:rPr>
          <w:rFonts w:ascii="Arial" w:eastAsia="SimSun" w:hAnsi="Arial" w:cs="Arial"/>
          <w:b/>
          <w:sz w:val="22"/>
          <w:szCs w:val="22"/>
        </w:rPr>
      </w:pPr>
      <w:r>
        <w:rPr>
          <w:rFonts w:ascii="Arial" w:eastAsia="SimSun" w:hAnsi="Arial" w:cs="Arial"/>
          <w:b/>
          <w:sz w:val="22"/>
          <w:szCs w:val="22"/>
        </w:rPr>
        <w:t>(</w:t>
      </w:r>
      <w:proofErr w:type="gramStart"/>
      <w:r>
        <w:rPr>
          <w:rFonts w:ascii="Arial" w:eastAsia="SimSun" w:hAnsi="Arial" w:cs="Arial"/>
          <w:b/>
          <w:sz w:val="22"/>
          <w:szCs w:val="22"/>
        </w:rPr>
        <w:t>in</w:t>
      </w:r>
      <w:proofErr w:type="gramEnd"/>
      <w:r>
        <w:rPr>
          <w:rFonts w:ascii="Arial" w:eastAsia="SimSun" w:hAnsi="Arial" w:cs="Arial"/>
          <w:b/>
          <w:sz w:val="22"/>
          <w:szCs w:val="22"/>
        </w:rPr>
        <w:t xml:space="preserve"> </w:t>
      </w:r>
      <w:r w:rsidR="00D52E2A">
        <w:rPr>
          <w:rFonts w:ascii="Arial" w:eastAsia="SimSun" w:hAnsi="Arial" w:cs="Arial"/>
          <w:b/>
          <w:sz w:val="22"/>
          <w:szCs w:val="22"/>
        </w:rPr>
        <w:t>thousand</w:t>
      </w:r>
      <w:r>
        <w:rPr>
          <w:rFonts w:ascii="Arial" w:eastAsia="SimSun" w:hAnsi="Arial" w:cs="Arial"/>
          <w:b/>
          <w:sz w:val="22"/>
          <w:szCs w:val="22"/>
        </w:rPr>
        <w:t>s of Swiss francs)</w:t>
      </w:r>
    </w:p>
    <w:p w:rsidR="00605D33" w:rsidRPr="00130405" w:rsidRDefault="00605D33" w:rsidP="00C373AB">
      <w:pPr>
        <w:pStyle w:val="StyleArial10pt"/>
        <w:ind w:firstLineChars="0" w:firstLine="0"/>
        <w:rPr>
          <w:rFonts w:cs="Arial"/>
          <w:sz w:val="22"/>
          <w:szCs w:val="22"/>
        </w:rPr>
      </w:pPr>
    </w:p>
    <w:p w:rsidR="00605D33" w:rsidRPr="00130405" w:rsidRDefault="00605D33" w:rsidP="00EE3BDA">
      <w:pPr>
        <w:pStyle w:val="StyleArial10pt"/>
        <w:ind w:firstLineChars="0" w:firstLine="0"/>
        <w:rPr>
          <w:rFonts w:cs="Arial"/>
          <w:sz w:val="22"/>
          <w:szCs w:val="22"/>
        </w:rPr>
      </w:pPr>
    </w:p>
    <w:p w:rsidR="00B94D31" w:rsidRPr="00F26FB0" w:rsidRDefault="00BC7CD6" w:rsidP="00C373AB">
      <w:pPr>
        <w:pStyle w:val="StyleArial10pt"/>
        <w:ind w:firstLineChars="0" w:firstLine="0"/>
        <w:rPr>
          <w:szCs w:val="22"/>
        </w:rPr>
      </w:pPr>
      <w:r>
        <w:rPr>
          <w:noProof/>
        </w:rPr>
        <w:drawing>
          <wp:inline distT="0" distB="0" distL="0" distR="0" wp14:anchorId="7969E9DC" wp14:editId="6F3D9388">
            <wp:extent cx="5972175" cy="3162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72175" cy="3162300"/>
                    </a:xfrm>
                    <a:prstGeom prst="rect">
                      <a:avLst/>
                    </a:prstGeom>
                    <a:noFill/>
                    <a:ln>
                      <a:noFill/>
                    </a:ln>
                  </pic:spPr>
                </pic:pic>
              </a:graphicData>
            </a:graphic>
          </wp:inline>
        </w:drawing>
      </w:r>
    </w:p>
    <w:p w:rsidR="00641F69" w:rsidRPr="00130405" w:rsidRDefault="00641F69" w:rsidP="007C6D77">
      <w:pPr>
        <w:jc w:val="both"/>
        <w:rPr>
          <w:rFonts w:ascii="Arial" w:hAnsi="Arial" w:cs="Arial"/>
          <w:sz w:val="22"/>
          <w:szCs w:val="22"/>
        </w:rPr>
      </w:pPr>
    </w:p>
    <w:p w:rsidR="00641F69" w:rsidRPr="00406770" w:rsidRDefault="00A463BD" w:rsidP="00ED404C">
      <w:pPr>
        <w:tabs>
          <w:tab w:val="left" w:pos="644"/>
        </w:tabs>
        <w:jc w:val="both"/>
        <w:rPr>
          <w:rFonts w:ascii="Arial" w:hAnsi="Arial" w:cs="Arial"/>
          <w:sz w:val="18"/>
          <w:szCs w:val="18"/>
        </w:rPr>
      </w:pPr>
      <w:r>
        <w:rPr>
          <w:rFonts w:ascii="Arial" w:hAnsi="Arial" w:cs="Arial"/>
          <w:sz w:val="18"/>
          <w:szCs w:val="18"/>
        </w:rPr>
        <w:t>(1)</w:t>
      </w:r>
      <w:r w:rsidR="00641F69" w:rsidRPr="00406770">
        <w:rPr>
          <w:rFonts w:ascii="Arial" w:hAnsi="Arial" w:cs="Arial"/>
          <w:sz w:val="18"/>
          <w:szCs w:val="18"/>
        </w:rPr>
        <w:t xml:space="preserve"> </w:t>
      </w:r>
      <w:r w:rsidR="009F76E1">
        <w:rPr>
          <w:rFonts w:ascii="Arial" w:hAnsi="Arial" w:cs="Arial"/>
          <w:sz w:val="18"/>
          <w:szCs w:val="18"/>
        </w:rPr>
        <w:t xml:space="preserve">- </w:t>
      </w:r>
      <w:r w:rsidR="00B258D4">
        <w:rPr>
          <w:rFonts w:ascii="Arial" w:hAnsi="Arial" w:cs="Arial"/>
          <w:sz w:val="16"/>
          <w:szCs w:val="16"/>
        </w:rPr>
        <w:t>c</w:t>
      </w:r>
      <w:r w:rsidR="00B258D4" w:rsidRPr="00B258D4">
        <w:rPr>
          <w:rFonts w:ascii="Arial" w:hAnsi="Arial" w:cs="Arial"/>
          <w:sz w:val="16"/>
          <w:szCs w:val="16"/>
        </w:rPr>
        <w:t>olumns Original Budget and “Final</w:t>
      </w:r>
      <w:r w:rsidR="0040797D">
        <w:rPr>
          <w:rFonts w:ascii="Arial" w:hAnsi="Arial" w:cs="Arial"/>
          <w:sz w:val="16"/>
          <w:szCs w:val="16"/>
        </w:rPr>
        <w:t>”</w:t>
      </w:r>
      <w:r w:rsidR="00B258D4" w:rsidRPr="00B258D4">
        <w:rPr>
          <w:rFonts w:ascii="Arial" w:hAnsi="Arial" w:cs="Arial"/>
          <w:sz w:val="16"/>
          <w:szCs w:val="16"/>
        </w:rPr>
        <w:t xml:space="preserve"> Budget represent the </w:t>
      </w:r>
      <w:r w:rsidR="0040797D">
        <w:rPr>
          <w:rFonts w:ascii="Arial" w:hAnsi="Arial" w:cs="Arial"/>
          <w:sz w:val="16"/>
          <w:szCs w:val="16"/>
        </w:rPr>
        <w:t>first</w:t>
      </w:r>
      <w:r w:rsidR="00B258D4" w:rsidRPr="00B258D4">
        <w:rPr>
          <w:rFonts w:ascii="Arial" w:hAnsi="Arial" w:cs="Arial"/>
          <w:sz w:val="16"/>
          <w:szCs w:val="16"/>
        </w:rPr>
        <w:t xml:space="preserve"> year of the approved 201</w:t>
      </w:r>
      <w:r w:rsidR="0040797D">
        <w:rPr>
          <w:rFonts w:ascii="Arial" w:hAnsi="Arial" w:cs="Arial"/>
          <w:sz w:val="16"/>
          <w:szCs w:val="16"/>
        </w:rPr>
        <w:t>2</w:t>
      </w:r>
      <w:r w:rsidR="00B258D4" w:rsidRPr="00B258D4">
        <w:rPr>
          <w:rFonts w:ascii="Arial" w:hAnsi="Arial" w:cs="Arial"/>
          <w:sz w:val="16"/>
          <w:szCs w:val="16"/>
        </w:rPr>
        <w:t>/1</w:t>
      </w:r>
      <w:r w:rsidR="0040797D">
        <w:rPr>
          <w:rFonts w:ascii="Arial" w:hAnsi="Arial" w:cs="Arial"/>
          <w:sz w:val="16"/>
          <w:szCs w:val="16"/>
        </w:rPr>
        <w:t>3</w:t>
      </w:r>
      <w:r w:rsidR="00B258D4" w:rsidRPr="00B258D4">
        <w:rPr>
          <w:rFonts w:ascii="Arial" w:hAnsi="Arial" w:cs="Arial"/>
          <w:sz w:val="16"/>
          <w:szCs w:val="16"/>
        </w:rPr>
        <w:t xml:space="preserve"> bienni</w:t>
      </w:r>
      <w:r w:rsidR="00377226">
        <w:rPr>
          <w:rFonts w:ascii="Arial" w:hAnsi="Arial" w:cs="Arial"/>
          <w:sz w:val="16"/>
          <w:szCs w:val="16"/>
        </w:rPr>
        <w:t xml:space="preserve">al budget. </w:t>
      </w:r>
    </w:p>
    <w:p w:rsidR="00641F69" w:rsidRPr="00406770" w:rsidRDefault="00A463BD" w:rsidP="00A463BD">
      <w:pPr>
        <w:tabs>
          <w:tab w:val="left" w:pos="540"/>
        </w:tabs>
        <w:jc w:val="both"/>
        <w:rPr>
          <w:rFonts w:ascii="Arial" w:hAnsi="Arial" w:cs="Arial"/>
          <w:sz w:val="18"/>
          <w:szCs w:val="18"/>
        </w:rPr>
      </w:pPr>
      <w:r>
        <w:rPr>
          <w:rFonts w:ascii="Arial" w:hAnsi="Arial" w:cs="Arial"/>
          <w:sz w:val="18"/>
          <w:szCs w:val="18"/>
        </w:rPr>
        <w:t>(2)</w:t>
      </w:r>
      <w:r w:rsidR="00641F69" w:rsidRPr="00406770">
        <w:rPr>
          <w:rFonts w:ascii="Arial" w:hAnsi="Arial" w:cs="Arial"/>
          <w:sz w:val="18"/>
          <w:szCs w:val="18"/>
        </w:rPr>
        <w:t xml:space="preserve"> -</w:t>
      </w:r>
      <w:r w:rsidR="001C2DBC">
        <w:rPr>
          <w:rFonts w:ascii="Arial" w:hAnsi="Arial" w:cs="Arial"/>
          <w:sz w:val="18"/>
          <w:szCs w:val="18"/>
        </w:rPr>
        <w:t xml:space="preserve"> </w:t>
      </w:r>
      <w:r w:rsidR="00B258D4">
        <w:rPr>
          <w:rFonts w:ascii="Arial" w:hAnsi="Arial" w:cs="Arial"/>
          <w:sz w:val="16"/>
          <w:szCs w:val="16"/>
        </w:rPr>
        <w:t>r</w:t>
      </w:r>
      <w:r w:rsidR="00B258D4" w:rsidRPr="00B258D4">
        <w:rPr>
          <w:rFonts w:ascii="Arial" w:hAnsi="Arial" w:cs="Arial"/>
          <w:sz w:val="16"/>
          <w:szCs w:val="16"/>
        </w:rPr>
        <w:t>epresents the difference between the “Final” Budget 201</w:t>
      </w:r>
      <w:r w:rsidR="0040797D">
        <w:rPr>
          <w:rFonts w:ascii="Arial" w:hAnsi="Arial" w:cs="Arial"/>
          <w:sz w:val="16"/>
          <w:szCs w:val="16"/>
        </w:rPr>
        <w:t>2</w:t>
      </w:r>
      <w:r w:rsidR="00B258D4" w:rsidRPr="00B258D4">
        <w:rPr>
          <w:rFonts w:ascii="Arial" w:hAnsi="Arial" w:cs="Arial"/>
          <w:sz w:val="16"/>
          <w:szCs w:val="16"/>
        </w:rPr>
        <w:t xml:space="preserve"> and </w:t>
      </w:r>
      <w:r w:rsidR="00377226">
        <w:rPr>
          <w:rFonts w:ascii="Arial" w:hAnsi="Arial" w:cs="Arial"/>
          <w:sz w:val="16"/>
          <w:szCs w:val="16"/>
        </w:rPr>
        <w:t>actual revenue on a comparable basis for the year 201</w:t>
      </w:r>
      <w:r w:rsidR="0040797D">
        <w:rPr>
          <w:rFonts w:ascii="Arial" w:hAnsi="Arial" w:cs="Arial"/>
          <w:sz w:val="16"/>
          <w:szCs w:val="16"/>
        </w:rPr>
        <w:t>2</w:t>
      </w:r>
      <w:r w:rsidR="00587CD1" w:rsidRPr="00B258D4">
        <w:rPr>
          <w:rFonts w:ascii="Arial" w:hAnsi="Arial" w:cs="Arial"/>
          <w:sz w:val="16"/>
          <w:szCs w:val="16"/>
        </w:rPr>
        <w:t>.</w:t>
      </w:r>
    </w:p>
    <w:p w:rsidR="00641F69" w:rsidRPr="00515569" w:rsidRDefault="00641F69" w:rsidP="007C6D77">
      <w:pPr>
        <w:jc w:val="both"/>
        <w:rPr>
          <w:rFonts w:ascii="Arial" w:hAnsi="Arial" w:cs="Arial"/>
          <w:sz w:val="20"/>
          <w:szCs w:val="20"/>
        </w:rPr>
      </w:pPr>
    </w:p>
    <w:p w:rsidR="00515569" w:rsidRPr="003928E9" w:rsidRDefault="00E31161" w:rsidP="00515569">
      <w:pPr>
        <w:pStyle w:val="Heading1"/>
        <w:keepNext/>
        <w:spacing w:before="240" w:after="220"/>
        <w:ind w:left="0" w:firstLine="0"/>
        <w:jc w:val="center"/>
        <w:rPr>
          <w:rFonts w:ascii="Arial" w:eastAsia="SimSun" w:hAnsi="Arial" w:cs="Arial"/>
          <w:bCs/>
          <w:caps/>
          <w:color w:val="auto"/>
          <w:kern w:val="32"/>
          <w:sz w:val="22"/>
          <w:szCs w:val="32"/>
          <w:lang w:val="en-US"/>
        </w:rPr>
      </w:pPr>
      <w:r w:rsidRPr="00515569">
        <w:rPr>
          <w:rFonts w:ascii="Arial" w:hAnsi="Arial" w:cs="Arial"/>
          <w:sz w:val="20"/>
          <w:szCs w:val="20"/>
          <w:lang w:val="en-US"/>
        </w:rPr>
        <w:br w:type="page"/>
      </w:r>
      <w:r w:rsidR="00515569">
        <w:rPr>
          <w:rFonts w:ascii="Arial" w:eastAsia="SimSun" w:hAnsi="Arial" w:cs="Arial"/>
          <w:bCs/>
          <w:caps/>
          <w:color w:val="auto"/>
          <w:kern w:val="32"/>
          <w:sz w:val="22"/>
          <w:szCs w:val="32"/>
          <w:lang w:val="en-US"/>
        </w:rPr>
        <w:lastRenderedPageBreak/>
        <w:t>STATEMENT V</w:t>
      </w:r>
      <w:r w:rsidR="00515569">
        <w:rPr>
          <w:rFonts w:ascii="Arial" w:eastAsia="SimSun" w:hAnsi="Arial" w:cs="Arial"/>
          <w:bCs/>
          <w:caps/>
          <w:color w:val="auto"/>
          <w:kern w:val="32"/>
          <w:sz w:val="22"/>
          <w:szCs w:val="32"/>
          <w:lang w:val="en-US"/>
        </w:rPr>
        <w:br/>
      </w:r>
      <w:r w:rsidR="00515569">
        <w:rPr>
          <w:rFonts w:ascii="Arial" w:eastAsia="SimSun" w:hAnsi="Arial" w:cs="Arial"/>
          <w:bCs/>
          <w:caps/>
          <w:color w:val="auto"/>
          <w:kern w:val="32"/>
          <w:sz w:val="22"/>
          <w:szCs w:val="32"/>
          <w:lang w:val="en-US"/>
        </w:rPr>
        <w:br/>
        <w:t>STATEMENT OF COMPARISON OF BUDGET AND ACTUAL AMOUNTS - EXPENSE</w:t>
      </w:r>
    </w:p>
    <w:p w:rsidR="00515569" w:rsidRDefault="00515569" w:rsidP="00515569">
      <w:pPr>
        <w:jc w:val="center"/>
        <w:rPr>
          <w:rFonts w:ascii="Arial" w:eastAsia="SimSun" w:hAnsi="Arial" w:cs="Arial"/>
          <w:b/>
          <w:sz w:val="22"/>
          <w:szCs w:val="22"/>
        </w:rPr>
      </w:pPr>
      <w:proofErr w:type="gramStart"/>
      <w:r>
        <w:rPr>
          <w:rFonts w:ascii="Arial" w:eastAsia="SimSun" w:hAnsi="Arial" w:cs="Arial"/>
          <w:b/>
          <w:sz w:val="22"/>
          <w:szCs w:val="22"/>
        </w:rPr>
        <w:t>for</w:t>
      </w:r>
      <w:proofErr w:type="gramEnd"/>
      <w:r>
        <w:rPr>
          <w:rFonts w:ascii="Arial" w:eastAsia="SimSun" w:hAnsi="Arial" w:cs="Arial"/>
          <w:b/>
          <w:sz w:val="22"/>
          <w:szCs w:val="22"/>
        </w:rPr>
        <w:t xml:space="preserve"> the year ended</w:t>
      </w:r>
      <w:r w:rsidRPr="00A320B0">
        <w:rPr>
          <w:rFonts w:ascii="Arial" w:eastAsia="SimSun" w:hAnsi="Arial" w:cs="Arial"/>
          <w:b/>
          <w:sz w:val="22"/>
          <w:szCs w:val="22"/>
        </w:rPr>
        <w:t xml:space="preserve"> December 31, 201</w:t>
      </w:r>
      <w:r w:rsidR="00D52E2A">
        <w:rPr>
          <w:rFonts w:ascii="Arial" w:eastAsia="SimSun" w:hAnsi="Arial" w:cs="Arial"/>
          <w:b/>
          <w:sz w:val="22"/>
          <w:szCs w:val="22"/>
        </w:rPr>
        <w:t>2</w:t>
      </w:r>
    </w:p>
    <w:p w:rsidR="00641F69" w:rsidRPr="00515569" w:rsidRDefault="00515569" w:rsidP="00515569">
      <w:pPr>
        <w:jc w:val="center"/>
        <w:rPr>
          <w:rFonts w:ascii="Arial" w:hAnsi="Arial" w:cs="Arial"/>
          <w:sz w:val="22"/>
          <w:szCs w:val="22"/>
        </w:rPr>
      </w:pPr>
      <w:r>
        <w:rPr>
          <w:rFonts w:ascii="Arial" w:eastAsia="SimSun" w:hAnsi="Arial" w:cs="Arial"/>
          <w:b/>
          <w:sz w:val="22"/>
          <w:szCs w:val="22"/>
        </w:rPr>
        <w:t>(</w:t>
      </w:r>
      <w:proofErr w:type="gramStart"/>
      <w:r>
        <w:rPr>
          <w:rFonts w:ascii="Arial" w:eastAsia="SimSun" w:hAnsi="Arial" w:cs="Arial"/>
          <w:b/>
          <w:sz w:val="22"/>
          <w:szCs w:val="22"/>
        </w:rPr>
        <w:t>in</w:t>
      </w:r>
      <w:proofErr w:type="gramEnd"/>
      <w:r>
        <w:rPr>
          <w:rFonts w:ascii="Arial" w:eastAsia="SimSun" w:hAnsi="Arial" w:cs="Arial"/>
          <w:b/>
          <w:sz w:val="22"/>
          <w:szCs w:val="22"/>
        </w:rPr>
        <w:t xml:space="preserve"> </w:t>
      </w:r>
      <w:r w:rsidR="00D52E2A">
        <w:rPr>
          <w:rFonts w:ascii="Arial" w:eastAsia="SimSun" w:hAnsi="Arial" w:cs="Arial"/>
          <w:b/>
          <w:sz w:val="22"/>
          <w:szCs w:val="22"/>
        </w:rPr>
        <w:t>thousand</w:t>
      </w:r>
      <w:r>
        <w:rPr>
          <w:rFonts w:ascii="Arial" w:eastAsia="SimSun" w:hAnsi="Arial" w:cs="Arial"/>
          <w:b/>
          <w:sz w:val="22"/>
          <w:szCs w:val="22"/>
        </w:rPr>
        <w:t>s of Swiss francs)</w:t>
      </w:r>
    </w:p>
    <w:p w:rsidR="00641F69" w:rsidRPr="00515569" w:rsidRDefault="00641F69" w:rsidP="007C6D77">
      <w:pPr>
        <w:jc w:val="both"/>
        <w:rPr>
          <w:rFonts w:ascii="Arial" w:hAnsi="Arial" w:cs="Arial"/>
          <w:sz w:val="22"/>
          <w:szCs w:val="22"/>
        </w:rPr>
      </w:pPr>
    </w:p>
    <w:p w:rsidR="00641F69" w:rsidRPr="00866E54" w:rsidRDefault="00BC7CD6" w:rsidP="006401B6">
      <w:pPr>
        <w:jc w:val="center"/>
        <w:rPr>
          <w:szCs w:val="22"/>
        </w:rPr>
      </w:pPr>
      <w:r>
        <w:rPr>
          <w:noProof/>
        </w:rPr>
        <w:drawing>
          <wp:inline distT="0" distB="0" distL="0" distR="0" wp14:anchorId="2851B6ED" wp14:editId="61E378F0">
            <wp:extent cx="5334000" cy="628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34000" cy="6286500"/>
                    </a:xfrm>
                    <a:prstGeom prst="rect">
                      <a:avLst/>
                    </a:prstGeom>
                    <a:noFill/>
                    <a:ln>
                      <a:noFill/>
                    </a:ln>
                  </pic:spPr>
                </pic:pic>
              </a:graphicData>
            </a:graphic>
          </wp:inline>
        </w:drawing>
      </w:r>
    </w:p>
    <w:p w:rsidR="00AE4C80" w:rsidRPr="00AE4C80" w:rsidRDefault="00A463BD" w:rsidP="00AE4C80">
      <w:pPr>
        <w:tabs>
          <w:tab w:val="left" w:pos="644"/>
        </w:tabs>
        <w:jc w:val="both"/>
        <w:rPr>
          <w:rFonts w:ascii="Arial" w:hAnsi="Arial" w:cs="Arial"/>
          <w:sz w:val="16"/>
          <w:szCs w:val="16"/>
        </w:rPr>
      </w:pPr>
      <w:r>
        <w:rPr>
          <w:rFonts w:ascii="Arial" w:hAnsi="Arial" w:cs="Arial"/>
          <w:sz w:val="18"/>
          <w:szCs w:val="18"/>
        </w:rPr>
        <w:t>(1)</w:t>
      </w:r>
      <w:r w:rsidR="008A195D" w:rsidRPr="00406770">
        <w:rPr>
          <w:rFonts w:ascii="Arial" w:hAnsi="Arial" w:cs="Arial"/>
          <w:sz w:val="18"/>
          <w:szCs w:val="18"/>
        </w:rPr>
        <w:t xml:space="preserve"> </w:t>
      </w:r>
      <w:r w:rsidR="00CA7F59">
        <w:rPr>
          <w:rFonts w:ascii="Arial" w:hAnsi="Arial" w:cs="Arial"/>
          <w:sz w:val="18"/>
          <w:szCs w:val="18"/>
        </w:rPr>
        <w:t>-</w:t>
      </w:r>
      <w:r w:rsidR="001C2DBC">
        <w:rPr>
          <w:rFonts w:ascii="Arial" w:hAnsi="Arial" w:cs="Arial"/>
          <w:sz w:val="18"/>
          <w:szCs w:val="18"/>
        </w:rPr>
        <w:t xml:space="preserve"> </w:t>
      </w:r>
      <w:r w:rsidR="00B258D4">
        <w:rPr>
          <w:rFonts w:ascii="Arial" w:hAnsi="Arial" w:cs="Arial"/>
          <w:sz w:val="16"/>
          <w:szCs w:val="16"/>
        </w:rPr>
        <w:t>c</w:t>
      </w:r>
      <w:r w:rsidR="00B258D4" w:rsidRPr="00B258D4">
        <w:rPr>
          <w:rFonts w:ascii="Arial" w:hAnsi="Arial" w:cs="Arial"/>
          <w:sz w:val="16"/>
          <w:szCs w:val="16"/>
        </w:rPr>
        <w:t>olumns Original Budget and “Final</w:t>
      </w:r>
      <w:r w:rsidR="0040797D">
        <w:rPr>
          <w:rFonts w:ascii="Arial" w:hAnsi="Arial" w:cs="Arial"/>
          <w:sz w:val="16"/>
          <w:szCs w:val="16"/>
        </w:rPr>
        <w:t>”</w:t>
      </w:r>
      <w:r w:rsidR="00B258D4" w:rsidRPr="00B258D4">
        <w:rPr>
          <w:rFonts w:ascii="Arial" w:hAnsi="Arial" w:cs="Arial"/>
          <w:sz w:val="16"/>
          <w:szCs w:val="16"/>
        </w:rPr>
        <w:t xml:space="preserve"> Budget represent the </w:t>
      </w:r>
      <w:r w:rsidR="00D52E2A">
        <w:rPr>
          <w:rFonts w:ascii="Arial" w:hAnsi="Arial" w:cs="Arial"/>
          <w:sz w:val="16"/>
          <w:szCs w:val="16"/>
        </w:rPr>
        <w:t>first</w:t>
      </w:r>
      <w:r w:rsidR="00B258D4" w:rsidRPr="00B258D4">
        <w:rPr>
          <w:rFonts w:ascii="Arial" w:hAnsi="Arial" w:cs="Arial"/>
          <w:sz w:val="16"/>
          <w:szCs w:val="16"/>
        </w:rPr>
        <w:t xml:space="preserve"> year of the approved 201</w:t>
      </w:r>
      <w:r w:rsidR="0040797D">
        <w:rPr>
          <w:rFonts w:ascii="Arial" w:hAnsi="Arial" w:cs="Arial"/>
          <w:sz w:val="16"/>
          <w:szCs w:val="16"/>
        </w:rPr>
        <w:t>2</w:t>
      </w:r>
      <w:r w:rsidR="00B258D4" w:rsidRPr="00B258D4">
        <w:rPr>
          <w:rFonts w:ascii="Arial" w:hAnsi="Arial" w:cs="Arial"/>
          <w:sz w:val="16"/>
          <w:szCs w:val="16"/>
        </w:rPr>
        <w:t>/1</w:t>
      </w:r>
      <w:r w:rsidR="0040797D">
        <w:rPr>
          <w:rFonts w:ascii="Arial" w:hAnsi="Arial" w:cs="Arial"/>
          <w:sz w:val="16"/>
          <w:szCs w:val="16"/>
        </w:rPr>
        <w:t>3</w:t>
      </w:r>
      <w:r w:rsidR="00B258D4" w:rsidRPr="00B258D4">
        <w:rPr>
          <w:rFonts w:ascii="Arial" w:hAnsi="Arial" w:cs="Arial"/>
          <w:sz w:val="16"/>
          <w:szCs w:val="16"/>
        </w:rPr>
        <w:t xml:space="preserve"> bienni</w:t>
      </w:r>
      <w:r w:rsidR="00377226">
        <w:rPr>
          <w:rFonts w:ascii="Arial" w:hAnsi="Arial" w:cs="Arial"/>
          <w:sz w:val="16"/>
          <w:szCs w:val="16"/>
        </w:rPr>
        <w:t>al budget.</w:t>
      </w:r>
      <w:r w:rsidR="00AE4C80">
        <w:rPr>
          <w:rFonts w:ascii="Arial" w:hAnsi="Arial" w:cs="Arial"/>
          <w:sz w:val="16"/>
          <w:szCs w:val="16"/>
        </w:rPr>
        <w:t xml:space="preserve"> </w:t>
      </w:r>
      <w:r w:rsidR="00AE4C80" w:rsidRPr="00AE4C80">
        <w:rPr>
          <w:rFonts w:ascii="Arial" w:hAnsi="Arial" w:cs="Arial"/>
          <w:sz w:val="16"/>
          <w:szCs w:val="16"/>
        </w:rPr>
        <w:t>The Original Budget is based on the biennial budget of 647.4 million Swiss francs, which was approved by the Assemblies of the Member States of WIPO on September 29, 2011, subject to:</w:t>
      </w:r>
    </w:p>
    <w:p w:rsidR="00AE4C80" w:rsidRDefault="00AE4C80" w:rsidP="00AE4C80">
      <w:pPr>
        <w:tabs>
          <w:tab w:val="left" w:pos="644"/>
        </w:tabs>
        <w:jc w:val="both"/>
        <w:rPr>
          <w:rFonts w:ascii="Arial" w:hAnsi="Arial" w:cs="Arial"/>
          <w:sz w:val="16"/>
          <w:szCs w:val="16"/>
        </w:rPr>
      </w:pPr>
      <w:r w:rsidRPr="00AE4C80">
        <w:rPr>
          <w:rFonts w:ascii="Arial" w:hAnsi="Arial" w:cs="Arial"/>
          <w:sz w:val="16"/>
          <w:szCs w:val="16"/>
        </w:rPr>
        <w:t xml:space="preserve">“Efforts by the Secretariat to reduce expenditure through cost efficiency measures by 10.2 million Swiss francs, from 647.4 million Swiss francs to 637.2 million Swiss francs, </w:t>
      </w:r>
      <w:proofErr w:type="spellStart"/>
      <w:r w:rsidRPr="00AE4C80">
        <w:rPr>
          <w:rFonts w:ascii="Arial" w:hAnsi="Arial" w:cs="Arial"/>
          <w:sz w:val="16"/>
          <w:szCs w:val="16"/>
        </w:rPr>
        <w:t>through</w:t>
      </w:r>
      <w:proofErr w:type="spellEnd"/>
      <w:r w:rsidRPr="00AE4C80">
        <w:rPr>
          <w:rFonts w:ascii="Arial" w:hAnsi="Arial" w:cs="Arial"/>
          <w:sz w:val="16"/>
          <w:szCs w:val="16"/>
        </w:rPr>
        <w:t>, inter alia, travel policies for staff and third parties, premises management, policies for payments of SSAs and honoraria for experts and lecturers, internship programs, receptions and rental of premises and equipment during conferences and a reduction of personnel costs through improved organizational design."</w:t>
      </w:r>
    </w:p>
    <w:p w:rsidR="008A195D" w:rsidRPr="00AE4C80" w:rsidRDefault="00AE4C80" w:rsidP="00AE4C80">
      <w:pPr>
        <w:tabs>
          <w:tab w:val="left" w:pos="644"/>
        </w:tabs>
        <w:jc w:val="both"/>
        <w:rPr>
          <w:rFonts w:ascii="Arial" w:hAnsi="Arial" w:cs="Arial"/>
          <w:sz w:val="16"/>
          <w:szCs w:val="16"/>
        </w:rPr>
      </w:pPr>
      <w:r w:rsidRPr="00AE4C80">
        <w:rPr>
          <w:rFonts w:ascii="Arial" w:hAnsi="Arial" w:cs="Arial"/>
          <w:sz w:val="16"/>
          <w:szCs w:val="16"/>
        </w:rPr>
        <w:t xml:space="preserve">The "Final" Budget reflects the increase for Program 5 (The PCT System) by 344 thousand Swiss francs related to the creation of 5 posts, due to the higher-than-budgeted number of PCT International Applications in 2012 (Financial Regulation 5.6 on Flexibility Adjustments).  </w:t>
      </w:r>
    </w:p>
    <w:p w:rsidR="00AE4C80" w:rsidRPr="00AE4C80" w:rsidRDefault="00A463BD" w:rsidP="00A463BD">
      <w:pPr>
        <w:jc w:val="both"/>
        <w:rPr>
          <w:rFonts w:ascii="Arial" w:hAnsi="Arial" w:cs="Arial"/>
          <w:sz w:val="18"/>
          <w:szCs w:val="18"/>
        </w:rPr>
      </w:pPr>
      <w:r>
        <w:rPr>
          <w:rFonts w:ascii="Arial" w:hAnsi="Arial" w:cs="Arial"/>
          <w:sz w:val="18"/>
          <w:szCs w:val="18"/>
        </w:rPr>
        <w:t>(2)</w:t>
      </w:r>
      <w:r w:rsidR="008A195D" w:rsidRPr="00406770">
        <w:rPr>
          <w:rFonts w:ascii="Arial" w:hAnsi="Arial" w:cs="Arial"/>
          <w:sz w:val="18"/>
          <w:szCs w:val="18"/>
        </w:rPr>
        <w:t xml:space="preserve"> -</w:t>
      </w:r>
      <w:r w:rsidR="001C2DBC">
        <w:rPr>
          <w:rFonts w:ascii="Arial" w:hAnsi="Arial" w:cs="Arial"/>
          <w:sz w:val="18"/>
          <w:szCs w:val="18"/>
        </w:rPr>
        <w:t xml:space="preserve"> </w:t>
      </w:r>
      <w:r w:rsidR="00B258D4">
        <w:rPr>
          <w:rFonts w:ascii="Arial" w:hAnsi="Arial" w:cs="Arial"/>
          <w:sz w:val="16"/>
          <w:szCs w:val="16"/>
        </w:rPr>
        <w:t>r</w:t>
      </w:r>
      <w:r w:rsidR="00B258D4" w:rsidRPr="00B258D4">
        <w:rPr>
          <w:rFonts w:ascii="Arial" w:hAnsi="Arial" w:cs="Arial"/>
          <w:sz w:val="16"/>
          <w:szCs w:val="16"/>
        </w:rPr>
        <w:t>epresents the difference between the “Final” Budget 201</w:t>
      </w:r>
      <w:r w:rsidR="00562598">
        <w:rPr>
          <w:rFonts w:ascii="Arial" w:hAnsi="Arial" w:cs="Arial"/>
          <w:sz w:val="16"/>
          <w:szCs w:val="16"/>
        </w:rPr>
        <w:t>2</w:t>
      </w:r>
      <w:r w:rsidR="00B258D4" w:rsidRPr="00B258D4">
        <w:rPr>
          <w:rFonts w:ascii="Arial" w:hAnsi="Arial" w:cs="Arial"/>
          <w:sz w:val="16"/>
          <w:szCs w:val="16"/>
        </w:rPr>
        <w:t xml:space="preserve"> and </w:t>
      </w:r>
      <w:r w:rsidR="00377226">
        <w:rPr>
          <w:rFonts w:ascii="Arial" w:hAnsi="Arial" w:cs="Arial"/>
          <w:sz w:val="16"/>
          <w:szCs w:val="16"/>
        </w:rPr>
        <w:t>actual expense on a comparable basis for the year 201</w:t>
      </w:r>
      <w:r w:rsidR="0040797D">
        <w:rPr>
          <w:rFonts w:ascii="Arial" w:hAnsi="Arial" w:cs="Arial"/>
          <w:sz w:val="16"/>
          <w:szCs w:val="16"/>
        </w:rPr>
        <w:t>2</w:t>
      </w:r>
      <w:r w:rsidR="00587CD1">
        <w:rPr>
          <w:rFonts w:ascii="Arial" w:hAnsi="Arial" w:cs="Arial"/>
          <w:sz w:val="18"/>
          <w:szCs w:val="18"/>
        </w:rPr>
        <w:t>.</w:t>
      </w:r>
    </w:p>
    <w:p w:rsidR="00AE4C80" w:rsidRDefault="00AE4C80" w:rsidP="00866220">
      <w:pPr>
        <w:jc w:val="both"/>
        <w:rPr>
          <w:rFonts w:ascii="Arial" w:hAnsi="Arial" w:cs="Arial"/>
          <w:sz w:val="16"/>
          <w:szCs w:val="16"/>
        </w:rPr>
      </w:pPr>
      <w:r w:rsidRPr="00AE4C80">
        <w:rPr>
          <w:rFonts w:ascii="Arial" w:hAnsi="Arial" w:cs="Arial"/>
          <w:sz w:val="18"/>
          <w:szCs w:val="18"/>
        </w:rPr>
        <w:t>(3)</w:t>
      </w:r>
      <w:r w:rsidRPr="00AE4C80">
        <w:rPr>
          <w:rFonts w:ascii="Arial" w:hAnsi="Arial" w:cs="Arial"/>
          <w:sz w:val="16"/>
          <w:szCs w:val="16"/>
        </w:rPr>
        <w:t xml:space="preserve"> – the IPSAS adjustments to the surplus are detailed in Note 22 of these financial statements.</w:t>
      </w:r>
    </w:p>
    <w:p w:rsidR="00AE4C80" w:rsidRDefault="00AE4C80" w:rsidP="00866220">
      <w:pPr>
        <w:jc w:val="both"/>
        <w:rPr>
          <w:rFonts w:ascii="Arial" w:hAnsi="Arial" w:cs="Arial"/>
          <w:sz w:val="18"/>
          <w:szCs w:val="18"/>
        </w:rPr>
        <w:sectPr w:rsidR="00AE4C80" w:rsidSect="007901FC">
          <w:headerReference w:type="default" r:id="rId37"/>
          <w:footerReference w:type="default" r:id="rId38"/>
          <w:pgSz w:w="11907" w:h="16840" w:code="9"/>
          <w:pgMar w:top="851" w:right="1247" w:bottom="1191" w:left="1247" w:header="709" w:footer="709" w:gutter="0"/>
          <w:cols w:space="708"/>
          <w:docGrid w:linePitch="360"/>
        </w:sectPr>
      </w:pPr>
    </w:p>
    <w:p w:rsidR="00105EBF" w:rsidRPr="00CA655B" w:rsidRDefault="00E260D4" w:rsidP="00901633">
      <w:pPr>
        <w:pStyle w:val="STYLE1LASTONE"/>
        <w:spacing w:after="0"/>
        <w:rPr>
          <w:rStyle w:val="Style1Char"/>
          <w:rFonts w:cs="Times New Roman"/>
          <w:color w:val="auto"/>
          <w:sz w:val="28"/>
          <w:szCs w:val="28"/>
        </w:rPr>
      </w:pPr>
      <w:bookmarkStart w:id="17" w:name="_Toc301187116"/>
      <w:r>
        <w:rPr>
          <w:rFonts w:eastAsia="SimSun" w:cs="Arial"/>
          <w:caps/>
          <w:kern w:val="32"/>
          <w:sz w:val="22"/>
          <w:szCs w:val="32"/>
          <w:lang w:val="en-US"/>
        </w:rPr>
        <w:lastRenderedPageBreak/>
        <w:t>NOTES TO THE FINANCIAL STATEMENTS</w:t>
      </w:r>
      <w:bookmarkEnd w:id="17"/>
    </w:p>
    <w:p w:rsidR="00616460" w:rsidRDefault="00616460" w:rsidP="00901633">
      <w:pPr>
        <w:jc w:val="both"/>
        <w:rPr>
          <w:rFonts w:ascii="Arial" w:hAnsi="Arial" w:cs="Arial"/>
          <w:b/>
          <w:sz w:val="22"/>
          <w:szCs w:val="22"/>
        </w:rPr>
      </w:pPr>
    </w:p>
    <w:p w:rsidR="00901633" w:rsidRPr="008A65BF" w:rsidRDefault="00901633" w:rsidP="00901633">
      <w:pPr>
        <w:jc w:val="both"/>
        <w:rPr>
          <w:rFonts w:ascii="Arial" w:hAnsi="Arial" w:cs="Arial"/>
          <w:b/>
          <w:sz w:val="22"/>
          <w:szCs w:val="22"/>
        </w:rPr>
      </w:pPr>
    </w:p>
    <w:p w:rsidR="00616460" w:rsidRPr="00797AED" w:rsidRDefault="008A65BF" w:rsidP="00901633">
      <w:pPr>
        <w:pStyle w:val="STYLETITRENOTES"/>
      </w:pPr>
      <w:r>
        <w:rPr>
          <w:rFonts w:eastAsia="SimSun" w:cs="Arial"/>
          <w:szCs w:val="28"/>
        </w:rPr>
        <w:t>NOTE 1:</w:t>
      </w:r>
      <w:r>
        <w:rPr>
          <w:rFonts w:eastAsia="SimSun" w:cs="Arial"/>
          <w:szCs w:val="28"/>
        </w:rPr>
        <w:tab/>
        <w:t>OBJECTIVES AND BUDGET OF THE ORGANIZATION</w:t>
      </w:r>
    </w:p>
    <w:p w:rsidR="00616460" w:rsidRPr="003520CF" w:rsidRDefault="00616460" w:rsidP="00901633">
      <w:pPr>
        <w:jc w:val="both"/>
        <w:rPr>
          <w:rFonts w:ascii="Arial" w:hAnsi="Arial" w:cs="Arial"/>
          <w:b/>
          <w:sz w:val="20"/>
          <w:szCs w:val="20"/>
        </w:rPr>
      </w:pPr>
    </w:p>
    <w:p w:rsidR="00E5032E" w:rsidRPr="008A65BF" w:rsidRDefault="00616460" w:rsidP="007C6D77">
      <w:pPr>
        <w:pStyle w:val="Style3"/>
        <w:spacing w:after="0"/>
        <w:rPr>
          <w:rFonts w:cs="Arial"/>
          <w:szCs w:val="22"/>
        </w:rPr>
      </w:pPr>
      <w:r w:rsidRPr="008A65BF">
        <w:rPr>
          <w:rFonts w:cs="Arial"/>
          <w:szCs w:val="22"/>
        </w:rPr>
        <w:t xml:space="preserve">The World Intellectual Property Organization (WIPO) was </w:t>
      </w:r>
      <w:r w:rsidR="00247DA8" w:rsidRPr="008A65BF">
        <w:rPr>
          <w:rFonts w:cs="Arial"/>
          <w:szCs w:val="22"/>
        </w:rPr>
        <w:t>established in 1967</w:t>
      </w:r>
      <w:r w:rsidRPr="008A65BF">
        <w:rPr>
          <w:rFonts w:cs="Arial"/>
          <w:szCs w:val="22"/>
        </w:rPr>
        <w:t xml:space="preserve">, replacing the Bureau for the Protection of Intellectual Property </w:t>
      </w:r>
      <w:r w:rsidR="00C77830" w:rsidRPr="008A65BF">
        <w:rPr>
          <w:rFonts w:cs="Arial"/>
          <w:szCs w:val="22"/>
        </w:rPr>
        <w:t xml:space="preserve">(BIRPI) </w:t>
      </w:r>
      <w:r w:rsidRPr="008A65BF">
        <w:rPr>
          <w:rFonts w:cs="Arial"/>
          <w:szCs w:val="22"/>
        </w:rPr>
        <w:t xml:space="preserve">which had been established in 1893 </w:t>
      </w:r>
      <w:r w:rsidR="00247DA8" w:rsidRPr="008A65BF">
        <w:rPr>
          <w:rFonts w:cs="Arial"/>
          <w:szCs w:val="22"/>
        </w:rPr>
        <w:t xml:space="preserve">(BIRPI in its French acronym, meaning </w:t>
      </w:r>
      <w:proofErr w:type="spellStart"/>
      <w:r w:rsidR="00247DA8" w:rsidRPr="008A65BF">
        <w:rPr>
          <w:rFonts w:cs="Arial"/>
          <w:i/>
          <w:szCs w:val="22"/>
        </w:rPr>
        <w:t>Bureaux</w:t>
      </w:r>
      <w:proofErr w:type="spellEnd"/>
      <w:r w:rsidR="00247DA8" w:rsidRPr="008A65BF">
        <w:rPr>
          <w:rFonts w:cs="Arial"/>
          <w:i/>
          <w:szCs w:val="22"/>
        </w:rPr>
        <w:t xml:space="preserve"> </w:t>
      </w:r>
      <w:proofErr w:type="spellStart"/>
      <w:r w:rsidR="00247DA8" w:rsidRPr="008A65BF">
        <w:rPr>
          <w:rFonts w:cs="Arial"/>
          <w:i/>
          <w:szCs w:val="22"/>
        </w:rPr>
        <w:t>Internationaux</w:t>
      </w:r>
      <w:proofErr w:type="spellEnd"/>
      <w:r w:rsidR="00247DA8" w:rsidRPr="008A65BF">
        <w:rPr>
          <w:rFonts w:cs="Arial"/>
          <w:i/>
          <w:szCs w:val="22"/>
        </w:rPr>
        <w:t xml:space="preserve"> </w:t>
      </w:r>
      <w:proofErr w:type="spellStart"/>
      <w:r w:rsidR="00247DA8" w:rsidRPr="008A65BF">
        <w:rPr>
          <w:rFonts w:cs="Arial"/>
          <w:i/>
          <w:szCs w:val="22"/>
        </w:rPr>
        <w:t>Réunis</w:t>
      </w:r>
      <w:proofErr w:type="spellEnd"/>
      <w:r w:rsidR="00247DA8" w:rsidRPr="008A65BF">
        <w:rPr>
          <w:rFonts w:cs="Arial"/>
          <w:i/>
          <w:szCs w:val="22"/>
        </w:rPr>
        <w:t xml:space="preserve"> pour la Protection de la </w:t>
      </w:r>
      <w:proofErr w:type="spellStart"/>
      <w:r w:rsidR="00247DA8" w:rsidRPr="008A65BF">
        <w:rPr>
          <w:rFonts w:cs="Arial"/>
          <w:i/>
          <w:szCs w:val="22"/>
        </w:rPr>
        <w:t>Propriété</w:t>
      </w:r>
      <w:proofErr w:type="spellEnd"/>
      <w:r w:rsidR="00247DA8" w:rsidRPr="008A65BF">
        <w:rPr>
          <w:rFonts w:cs="Arial"/>
          <w:i/>
          <w:szCs w:val="22"/>
        </w:rPr>
        <w:t xml:space="preserve"> </w:t>
      </w:r>
      <w:proofErr w:type="spellStart"/>
      <w:r w:rsidR="00247DA8" w:rsidRPr="008A65BF">
        <w:rPr>
          <w:rFonts w:cs="Arial"/>
          <w:i/>
          <w:szCs w:val="22"/>
        </w:rPr>
        <w:t>Intellectuelle</w:t>
      </w:r>
      <w:proofErr w:type="spellEnd"/>
      <w:r w:rsidR="00247DA8" w:rsidRPr="008A65BF">
        <w:rPr>
          <w:rFonts w:cs="Arial"/>
          <w:szCs w:val="22"/>
        </w:rPr>
        <w:t xml:space="preserve">) to administer the </w:t>
      </w:r>
      <w:r w:rsidRPr="008A65BF">
        <w:rPr>
          <w:rFonts w:cs="Arial"/>
          <w:szCs w:val="22"/>
        </w:rPr>
        <w:t xml:space="preserve">Paris Convention for the Protection of Industrial Property </w:t>
      </w:r>
      <w:r w:rsidR="00247DA8" w:rsidRPr="008A65BF">
        <w:rPr>
          <w:rFonts w:cs="Arial"/>
          <w:szCs w:val="22"/>
        </w:rPr>
        <w:t xml:space="preserve">(1883) </w:t>
      </w:r>
      <w:r w:rsidRPr="008A65BF">
        <w:rPr>
          <w:rFonts w:cs="Arial"/>
          <w:szCs w:val="22"/>
        </w:rPr>
        <w:t>and the Berne Convention for the Protection of Literary and Artistic Wo</w:t>
      </w:r>
      <w:r w:rsidR="00F112EE" w:rsidRPr="008A65BF">
        <w:rPr>
          <w:rFonts w:cs="Arial"/>
          <w:szCs w:val="22"/>
        </w:rPr>
        <w:t>r</w:t>
      </w:r>
      <w:r w:rsidRPr="008A65BF">
        <w:rPr>
          <w:rFonts w:cs="Arial"/>
          <w:szCs w:val="22"/>
        </w:rPr>
        <w:t>ks</w:t>
      </w:r>
      <w:r w:rsidR="00247DA8" w:rsidRPr="008A65BF">
        <w:rPr>
          <w:rFonts w:cs="Arial"/>
          <w:szCs w:val="22"/>
        </w:rPr>
        <w:t xml:space="preserve"> (1886)</w:t>
      </w:r>
      <w:r w:rsidRPr="008A65BF">
        <w:rPr>
          <w:rFonts w:cs="Arial"/>
          <w:szCs w:val="22"/>
        </w:rPr>
        <w:t xml:space="preserve">.  In 1974, WIPO </w:t>
      </w:r>
      <w:r w:rsidR="00247DA8" w:rsidRPr="008A65BF">
        <w:rPr>
          <w:rFonts w:cs="Arial"/>
          <w:szCs w:val="22"/>
        </w:rPr>
        <w:t xml:space="preserve">was recognized as </w:t>
      </w:r>
      <w:r w:rsidRPr="008A65BF">
        <w:rPr>
          <w:rFonts w:cs="Arial"/>
          <w:szCs w:val="22"/>
        </w:rPr>
        <w:t xml:space="preserve">a specialized agency of the United Nations.  </w:t>
      </w:r>
      <w:r w:rsidR="00E5032E" w:rsidRPr="008A65BF">
        <w:rPr>
          <w:rFonts w:cs="Arial"/>
          <w:szCs w:val="22"/>
        </w:rPr>
        <w:t xml:space="preserve"> </w:t>
      </w:r>
    </w:p>
    <w:p w:rsidR="00E5032E" w:rsidRPr="008A65BF" w:rsidRDefault="00E5032E" w:rsidP="007C6D77">
      <w:pPr>
        <w:pStyle w:val="Style3"/>
        <w:spacing w:after="0"/>
        <w:rPr>
          <w:rFonts w:cs="Arial"/>
          <w:szCs w:val="22"/>
        </w:rPr>
      </w:pPr>
    </w:p>
    <w:p w:rsidR="00E5032E" w:rsidRPr="008A65BF" w:rsidRDefault="00E5032E" w:rsidP="007C6D77">
      <w:pPr>
        <w:pStyle w:val="Style3"/>
        <w:spacing w:after="0"/>
        <w:rPr>
          <w:rFonts w:cs="Arial"/>
          <w:szCs w:val="22"/>
        </w:rPr>
      </w:pPr>
      <w:r w:rsidRPr="008A65BF">
        <w:rPr>
          <w:rFonts w:cs="Arial"/>
          <w:szCs w:val="22"/>
        </w:rPr>
        <w:t>WIPO carries out a wide variety of tasks related to the protection of IP rights including</w:t>
      </w:r>
      <w:r w:rsidR="00E842C8" w:rsidRPr="008A65BF">
        <w:rPr>
          <w:rFonts w:cs="Arial"/>
          <w:szCs w:val="22"/>
        </w:rPr>
        <w:t>:</w:t>
      </w:r>
      <w:r w:rsidRPr="008A65BF">
        <w:rPr>
          <w:rFonts w:cs="Arial"/>
          <w:szCs w:val="22"/>
        </w:rPr>
        <w:t xml:space="preserve"> assisting governments and organizations to develop the policies, structures and skills needed to harness the potential of IP for economic development; working with Member States to develop international IP law; administering treaties; </w:t>
      </w:r>
      <w:r w:rsidR="006E695B" w:rsidRPr="008A65BF">
        <w:rPr>
          <w:rFonts w:cs="Arial"/>
          <w:szCs w:val="22"/>
        </w:rPr>
        <w:t>managing</w:t>
      </w:r>
      <w:r w:rsidRPr="008A65BF">
        <w:rPr>
          <w:rFonts w:cs="Arial"/>
          <w:szCs w:val="22"/>
        </w:rPr>
        <w:t xml:space="preserve"> global registration systems for trademarks, industrial designs and appellations of origin and a filing system for patents; </w:t>
      </w:r>
      <w:r w:rsidR="006E695B" w:rsidRPr="008A65BF">
        <w:rPr>
          <w:rFonts w:cs="Arial"/>
          <w:szCs w:val="22"/>
        </w:rPr>
        <w:t>providing</w:t>
      </w:r>
      <w:r w:rsidRPr="008A65BF">
        <w:rPr>
          <w:rFonts w:cs="Arial"/>
          <w:szCs w:val="22"/>
        </w:rPr>
        <w:t xml:space="preserve"> dispute resolution services; and </w:t>
      </w:r>
      <w:r w:rsidR="00E842C8" w:rsidRPr="008A65BF">
        <w:rPr>
          <w:rFonts w:cs="Arial"/>
          <w:szCs w:val="22"/>
        </w:rPr>
        <w:t xml:space="preserve">acting as </w:t>
      </w:r>
      <w:r w:rsidRPr="008A65BF">
        <w:rPr>
          <w:rFonts w:cs="Arial"/>
          <w:szCs w:val="22"/>
        </w:rPr>
        <w:t>a forum for informed debate and for the exchange of expertise.</w:t>
      </w:r>
    </w:p>
    <w:p w:rsidR="00E5032E" w:rsidRPr="008A65BF" w:rsidRDefault="00E5032E" w:rsidP="007C6D77">
      <w:pPr>
        <w:pStyle w:val="Style3"/>
        <w:spacing w:after="0"/>
        <w:rPr>
          <w:rFonts w:cs="Arial"/>
          <w:szCs w:val="22"/>
        </w:rPr>
      </w:pPr>
    </w:p>
    <w:p w:rsidR="0028170E" w:rsidRPr="008A65BF" w:rsidRDefault="00E5032E" w:rsidP="007C6D77">
      <w:pPr>
        <w:pStyle w:val="Style3"/>
        <w:spacing w:after="0"/>
        <w:rPr>
          <w:rFonts w:cs="Arial"/>
          <w:szCs w:val="22"/>
        </w:rPr>
      </w:pPr>
      <w:r w:rsidRPr="008A65BF">
        <w:rPr>
          <w:rFonts w:cs="Arial"/>
          <w:szCs w:val="22"/>
        </w:rPr>
        <w:t xml:space="preserve">The </w:t>
      </w:r>
      <w:r w:rsidR="008651BC" w:rsidRPr="008A65BF">
        <w:rPr>
          <w:rFonts w:cs="Arial"/>
          <w:szCs w:val="22"/>
        </w:rPr>
        <w:t xml:space="preserve">Organization </w:t>
      </w:r>
      <w:r w:rsidRPr="008A65BF">
        <w:rPr>
          <w:rFonts w:cs="Arial"/>
          <w:szCs w:val="22"/>
        </w:rPr>
        <w:t>function</w:t>
      </w:r>
      <w:r w:rsidR="008651BC" w:rsidRPr="008A65BF">
        <w:rPr>
          <w:rFonts w:cs="Arial"/>
          <w:szCs w:val="22"/>
        </w:rPr>
        <w:t>s</w:t>
      </w:r>
      <w:r w:rsidRPr="008A65BF">
        <w:rPr>
          <w:rFonts w:cs="Arial"/>
          <w:szCs w:val="22"/>
        </w:rPr>
        <w:t xml:space="preserve"> in accordance with the WIPO convention signed in Stockho</w:t>
      </w:r>
      <w:r w:rsidR="008651BC" w:rsidRPr="008A65BF">
        <w:rPr>
          <w:rFonts w:cs="Arial"/>
          <w:szCs w:val="22"/>
        </w:rPr>
        <w:t>l</w:t>
      </w:r>
      <w:r w:rsidRPr="008A65BF">
        <w:rPr>
          <w:rFonts w:cs="Arial"/>
          <w:szCs w:val="22"/>
        </w:rPr>
        <w:t>m on</w:t>
      </w:r>
      <w:r w:rsidR="004C250F">
        <w:rPr>
          <w:rFonts w:cs="Arial"/>
          <w:szCs w:val="22"/>
        </w:rPr>
        <w:t xml:space="preserve"> </w:t>
      </w:r>
      <w:r w:rsidRPr="008A65BF">
        <w:rPr>
          <w:rFonts w:cs="Arial"/>
          <w:szCs w:val="22"/>
        </w:rPr>
        <w:t>July</w:t>
      </w:r>
      <w:r w:rsidR="004C250F">
        <w:rPr>
          <w:rFonts w:cs="Arial"/>
          <w:szCs w:val="22"/>
        </w:rPr>
        <w:t xml:space="preserve"> 14,</w:t>
      </w:r>
      <w:r w:rsidRPr="008A65BF">
        <w:rPr>
          <w:rFonts w:cs="Arial"/>
          <w:szCs w:val="22"/>
        </w:rPr>
        <w:t xml:space="preserve"> 1967 and amended on September</w:t>
      </w:r>
      <w:r w:rsidR="004C250F">
        <w:rPr>
          <w:rFonts w:cs="Arial"/>
          <w:szCs w:val="22"/>
        </w:rPr>
        <w:t xml:space="preserve"> 28,</w:t>
      </w:r>
      <w:r w:rsidRPr="008A65BF">
        <w:rPr>
          <w:rFonts w:cs="Arial"/>
          <w:szCs w:val="22"/>
        </w:rPr>
        <w:t xml:space="preserve"> 1979.  WIPO currently has 18</w:t>
      </w:r>
      <w:r w:rsidR="00C476F7" w:rsidRPr="008A65BF">
        <w:rPr>
          <w:rFonts w:cs="Arial"/>
          <w:szCs w:val="22"/>
        </w:rPr>
        <w:t>5</w:t>
      </w:r>
      <w:r w:rsidRPr="008A65BF">
        <w:rPr>
          <w:rFonts w:cs="Arial"/>
          <w:szCs w:val="22"/>
        </w:rPr>
        <w:t xml:space="preserve"> member countries</w:t>
      </w:r>
      <w:r w:rsidR="0028170E" w:rsidRPr="008A65BF">
        <w:rPr>
          <w:rFonts w:cs="Arial"/>
          <w:szCs w:val="22"/>
        </w:rPr>
        <w:t xml:space="preserve">.  WIPO is based in Geneva, Switzerland with representation offices in New York, </w:t>
      </w:r>
      <w:r w:rsidR="00805F6B">
        <w:rPr>
          <w:rFonts w:cs="Arial"/>
          <w:szCs w:val="22"/>
        </w:rPr>
        <w:t>Rio </w:t>
      </w:r>
      <w:r w:rsidR="00A84919" w:rsidRPr="008A65BF">
        <w:rPr>
          <w:rFonts w:cs="Arial"/>
          <w:szCs w:val="22"/>
        </w:rPr>
        <w:t xml:space="preserve">de Janeiro, </w:t>
      </w:r>
      <w:r w:rsidR="0028170E" w:rsidRPr="008A65BF">
        <w:rPr>
          <w:rFonts w:cs="Arial"/>
          <w:szCs w:val="22"/>
        </w:rPr>
        <w:t>Singapore and Tokyo</w:t>
      </w:r>
      <w:r w:rsidR="008651BC" w:rsidRPr="008A65BF">
        <w:rPr>
          <w:rFonts w:cs="Arial"/>
          <w:szCs w:val="22"/>
        </w:rPr>
        <w:t xml:space="preserve">. </w:t>
      </w:r>
      <w:r w:rsidR="00402EE4" w:rsidRPr="008A65BF">
        <w:rPr>
          <w:rFonts w:cs="Arial"/>
          <w:szCs w:val="22"/>
        </w:rPr>
        <w:t xml:space="preserve">The </w:t>
      </w:r>
      <w:r w:rsidR="00401DE4" w:rsidRPr="008A65BF">
        <w:rPr>
          <w:rFonts w:cs="Arial"/>
          <w:szCs w:val="22"/>
        </w:rPr>
        <w:t>O</w:t>
      </w:r>
      <w:r w:rsidR="00402EE4" w:rsidRPr="008A65BF">
        <w:rPr>
          <w:rFonts w:cs="Arial"/>
          <w:szCs w:val="22"/>
        </w:rPr>
        <w:t>rganization enjoys privileges and immunities</w:t>
      </w:r>
      <w:r w:rsidR="006E695B" w:rsidRPr="008A65BF">
        <w:rPr>
          <w:rFonts w:cs="Arial"/>
          <w:szCs w:val="22"/>
        </w:rPr>
        <w:t xml:space="preserve"> </w:t>
      </w:r>
      <w:r w:rsidR="00A84919" w:rsidRPr="008A65BF">
        <w:rPr>
          <w:rFonts w:cs="Arial"/>
          <w:szCs w:val="22"/>
        </w:rPr>
        <w:t xml:space="preserve">as granted under the 1947 Convention on Privileges and Immunities of Specialized Agencies of the United Nations and the 1970 Headquarters Agreement with the Swiss Federal Council, notably being </w:t>
      </w:r>
      <w:r w:rsidR="00402EE4" w:rsidRPr="008A65BF">
        <w:rPr>
          <w:rFonts w:cs="Arial"/>
          <w:szCs w:val="22"/>
        </w:rPr>
        <w:t>exempt from paying most form</w:t>
      </w:r>
      <w:r w:rsidR="006E695B" w:rsidRPr="008A65BF">
        <w:rPr>
          <w:rFonts w:cs="Arial"/>
          <w:szCs w:val="22"/>
        </w:rPr>
        <w:t>s</w:t>
      </w:r>
      <w:r w:rsidR="00402EE4" w:rsidRPr="008A65BF">
        <w:rPr>
          <w:rFonts w:cs="Arial"/>
          <w:szCs w:val="22"/>
        </w:rPr>
        <w:t xml:space="preserve"> of </w:t>
      </w:r>
      <w:r w:rsidR="00A84919" w:rsidRPr="008A65BF">
        <w:rPr>
          <w:rFonts w:cs="Arial"/>
          <w:szCs w:val="22"/>
        </w:rPr>
        <w:t xml:space="preserve">direct and indirect </w:t>
      </w:r>
      <w:r w:rsidR="00402EE4" w:rsidRPr="008A65BF">
        <w:rPr>
          <w:rFonts w:cs="Arial"/>
          <w:szCs w:val="22"/>
        </w:rPr>
        <w:t>taxation.</w:t>
      </w:r>
    </w:p>
    <w:p w:rsidR="0028170E" w:rsidRPr="008A65BF" w:rsidRDefault="0028170E" w:rsidP="007C6D77">
      <w:pPr>
        <w:pStyle w:val="Style3"/>
        <w:spacing w:after="0"/>
        <w:rPr>
          <w:rFonts w:cs="Arial"/>
          <w:szCs w:val="22"/>
        </w:rPr>
      </w:pPr>
    </w:p>
    <w:p w:rsidR="0028170E" w:rsidRPr="008A65BF" w:rsidRDefault="0028170E" w:rsidP="007C6D77">
      <w:pPr>
        <w:pStyle w:val="Style3"/>
        <w:spacing w:after="0"/>
        <w:rPr>
          <w:rFonts w:cs="Arial"/>
          <w:szCs w:val="22"/>
        </w:rPr>
      </w:pPr>
      <w:r w:rsidRPr="008A65BF">
        <w:rPr>
          <w:rFonts w:cs="Arial"/>
          <w:szCs w:val="22"/>
        </w:rPr>
        <w:t>WIPO is governed by the following constituent b</w:t>
      </w:r>
      <w:r w:rsidR="002514BA">
        <w:rPr>
          <w:rFonts w:cs="Arial"/>
          <w:szCs w:val="22"/>
        </w:rPr>
        <w:t>odies, established by the WIPO C</w:t>
      </w:r>
      <w:r w:rsidRPr="008A65BF">
        <w:rPr>
          <w:rFonts w:cs="Arial"/>
          <w:szCs w:val="22"/>
        </w:rPr>
        <w:t xml:space="preserve">onvention, that meet at least every second year in ordinary session and </w:t>
      </w:r>
      <w:r w:rsidR="00443A01" w:rsidRPr="008A65BF">
        <w:rPr>
          <w:rFonts w:cs="Arial"/>
          <w:szCs w:val="22"/>
        </w:rPr>
        <w:t xml:space="preserve">may meet </w:t>
      </w:r>
      <w:r w:rsidRPr="008A65BF">
        <w:rPr>
          <w:rFonts w:cs="Arial"/>
          <w:szCs w:val="22"/>
        </w:rPr>
        <w:t>in extraordi</w:t>
      </w:r>
      <w:r w:rsidR="00E842C8" w:rsidRPr="008A65BF">
        <w:rPr>
          <w:rFonts w:cs="Arial"/>
          <w:szCs w:val="22"/>
        </w:rPr>
        <w:t>nary session in alternate years:</w:t>
      </w:r>
      <w:r w:rsidRPr="008A65BF">
        <w:rPr>
          <w:rFonts w:cs="Arial"/>
          <w:szCs w:val="22"/>
        </w:rPr>
        <w:t xml:space="preserve">  </w:t>
      </w:r>
    </w:p>
    <w:p w:rsidR="0028170E" w:rsidRPr="008A65BF" w:rsidRDefault="0028170E" w:rsidP="007C6D77">
      <w:pPr>
        <w:pStyle w:val="Style3"/>
        <w:spacing w:after="0"/>
        <w:rPr>
          <w:rFonts w:cs="Arial"/>
          <w:szCs w:val="22"/>
        </w:rPr>
      </w:pPr>
    </w:p>
    <w:p w:rsidR="00E5032E" w:rsidRPr="008A65BF" w:rsidRDefault="008651BC" w:rsidP="00BB447D">
      <w:pPr>
        <w:pStyle w:val="STYLEDUTEXTE"/>
        <w:rPr>
          <w:rFonts w:cs="Arial"/>
          <w:szCs w:val="22"/>
        </w:rPr>
      </w:pPr>
      <w:r w:rsidRPr="008A65BF">
        <w:rPr>
          <w:rFonts w:cs="Arial"/>
          <w:szCs w:val="22"/>
        </w:rPr>
        <w:t>The General Assembly</w:t>
      </w:r>
      <w:r w:rsidR="00A32374" w:rsidRPr="008A65BF">
        <w:rPr>
          <w:rFonts w:cs="Arial"/>
          <w:szCs w:val="22"/>
        </w:rPr>
        <w:t>,</w:t>
      </w:r>
      <w:r w:rsidRPr="008A65BF">
        <w:rPr>
          <w:rFonts w:cs="Arial"/>
          <w:szCs w:val="22"/>
        </w:rPr>
        <w:t xml:space="preserve"> </w:t>
      </w:r>
      <w:r w:rsidR="00A32374" w:rsidRPr="008A65BF">
        <w:rPr>
          <w:rFonts w:cs="Arial"/>
          <w:szCs w:val="22"/>
        </w:rPr>
        <w:t xml:space="preserve">consisting of States party to the WIPO Convention which </w:t>
      </w:r>
      <w:r w:rsidR="00E842C8" w:rsidRPr="008A65BF">
        <w:rPr>
          <w:rFonts w:cs="Arial"/>
          <w:szCs w:val="22"/>
        </w:rPr>
        <w:t xml:space="preserve">are </w:t>
      </w:r>
      <w:r w:rsidR="00A32374" w:rsidRPr="008A65BF">
        <w:rPr>
          <w:rFonts w:cs="Arial"/>
          <w:szCs w:val="22"/>
        </w:rPr>
        <w:t xml:space="preserve">members of </w:t>
      </w:r>
      <w:r w:rsidR="00A84919" w:rsidRPr="008A65BF">
        <w:rPr>
          <w:rFonts w:cs="Arial"/>
          <w:szCs w:val="22"/>
        </w:rPr>
        <w:t>any</w:t>
      </w:r>
      <w:r w:rsidR="00A32374" w:rsidRPr="008A65BF">
        <w:rPr>
          <w:rFonts w:cs="Arial"/>
          <w:szCs w:val="22"/>
        </w:rPr>
        <w:t xml:space="preserve"> of the Unions,</w:t>
      </w:r>
      <w:r w:rsidRPr="008A65BF">
        <w:rPr>
          <w:rFonts w:cs="Arial"/>
          <w:szCs w:val="22"/>
        </w:rPr>
        <w:t xml:space="preserve"> </w:t>
      </w:r>
      <w:r w:rsidR="00A32374" w:rsidRPr="008A65BF">
        <w:rPr>
          <w:rFonts w:cs="Arial"/>
          <w:szCs w:val="22"/>
        </w:rPr>
        <w:t xml:space="preserve">is </w:t>
      </w:r>
      <w:r w:rsidRPr="008A65BF">
        <w:rPr>
          <w:rFonts w:cs="Arial"/>
          <w:szCs w:val="22"/>
        </w:rPr>
        <w:t>responsible for appointing the Director</w:t>
      </w:r>
      <w:r w:rsidR="00A621A1">
        <w:rPr>
          <w:rFonts w:cs="Arial"/>
          <w:szCs w:val="22"/>
        </w:rPr>
        <w:t xml:space="preserve"> </w:t>
      </w:r>
      <w:r w:rsidRPr="008A65BF">
        <w:rPr>
          <w:rFonts w:cs="Arial"/>
          <w:szCs w:val="22"/>
        </w:rPr>
        <w:t xml:space="preserve">General for a fixed term of not less than six years, for the adoption of the budget </w:t>
      </w:r>
      <w:r w:rsidR="0028170E" w:rsidRPr="008A65BF">
        <w:rPr>
          <w:rFonts w:cs="Arial"/>
          <w:szCs w:val="22"/>
        </w:rPr>
        <w:t xml:space="preserve">for </w:t>
      </w:r>
      <w:r w:rsidR="00A84919" w:rsidRPr="008A65BF">
        <w:rPr>
          <w:rFonts w:cs="Arial"/>
          <w:szCs w:val="22"/>
        </w:rPr>
        <w:t>expenses</w:t>
      </w:r>
      <w:r w:rsidR="0028170E" w:rsidRPr="008A65BF">
        <w:rPr>
          <w:rFonts w:cs="Arial"/>
          <w:szCs w:val="22"/>
        </w:rPr>
        <w:t xml:space="preserve"> common to all Unions, adoption of the</w:t>
      </w:r>
      <w:r w:rsidRPr="008A65BF">
        <w:rPr>
          <w:rFonts w:cs="Arial"/>
          <w:szCs w:val="22"/>
        </w:rPr>
        <w:t xml:space="preserve"> </w:t>
      </w:r>
      <w:r w:rsidR="0028170E" w:rsidRPr="008A65BF">
        <w:rPr>
          <w:rFonts w:cs="Arial"/>
          <w:szCs w:val="22"/>
        </w:rPr>
        <w:t>F</w:t>
      </w:r>
      <w:r w:rsidRPr="008A65BF">
        <w:rPr>
          <w:rFonts w:cs="Arial"/>
          <w:szCs w:val="22"/>
        </w:rPr>
        <w:t xml:space="preserve">inancial </w:t>
      </w:r>
      <w:r w:rsidR="0028170E" w:rsidRPr="008A65BF">
        <w:rPr>
          <w:rFonts w:cs="Arial"/>
          <w:szCs w:val="22"/>
        </w:rPr>
        <w:t>R</w:t>
      </w:r>
      <w:r w:rsidRPr="008A65BF">
        <w:rPr>
          <w:rFonts w:cs="Arial"/>
          <w:szCs w:val="22"/>
        </w:rPr>
        <w:t>egulations, inviting States to become member</w:t>
      </w:r>
      <w:r w:rsidR="00B75780" w:rsidRPr="008A65BF">
        <w:rPr>
          <w:rFonts w:cs="Arial"/>
          <w:szCs w:val="22"/>
        </w:rPr>
        <w:t xml:space="preserve">s </w:t>
      </w:r>
      <w:r w:rsidRPr="008A65BF">
        <w:rPr>
          <w:rFonts w:cs="Arial"/>
          <w:szCs w:val="22"/>
        </w:rPr>
        <w:t xml:space="preserve">and other functions specified by the Convention.  </w:t>
      </w:r>
    </w:p>
    <w:p w:rsidR="007628A0" w:rsidRPr="008A65BF" w:rsidRDefault="007628A0" w:rsidP="00BB447D">
      <w:pPr>
        <w:pStyle w:val="STYLEDUTEXTE"/>
        <w:rPr>
          <w:rFonts w:cs="Arial"/>
          <w:szCs w:val="22"/>
        </w:rPr>
      </w:pPr>
    </w:p>
    <w:p w:rsidR="0028170E" w:rsidRPr="008A65BF" w:rsidRDefault="00FA35E4" w:rsidP="00BB447D">
      <w:pPr>
        <w:pStyle w:val="STYLEDUTEXTE"/>
        <w:rPr>
          <w:rFonts w:cs="Arial"/>
          <w:szCs w:val="22"/>
        </w:rPr>
      </w:pPr>
      <w:r w:rsidRPr="008A65BF">
        <w:rPr>
          <w:rFonts w:cs="Arial"/>
          <w:szCs w:val="22"/>
        </w:rPr>
        <w:t>The Conference consists of all M</w:t>
      </w:r>
      <w:r w:rsidR="0028170E" w:rsidRPr="008A65BF">
        <w:rPr>
          <w:rFonts w:cs="Arial"/>
          <w:szCs w:val="22"/>
        </w:rPr>
        <w:t xml:space="preserve">ember </w:t>
      </w:r>
      <w:r w:rsidRPr="008A65BF">
        <w:rPr>
          <w:rFonts w:cs="Arial"/>
          <w:szCs w:val="22"/>
        </w:rPr>
        <w:t>S</w:t>
      </w:r>
      <w:r w:rsidR="0028170E" w:rsidRPr="008A65BF">
        <w:rPr>
          <w:rFonts w:cs="Arial"/>
          <w:szCs w:val="22"/>
        </w:rPr>
        <w:t>tates whether or not they are member</w:t>
      </w:r>
      <w:r w:rsidR="00E842C8" w:rsidRPr="008A65BF">
        <w:rPr>
          <w:rFonts w:cs="Arial"/>
          <w:szCs w:val="22"/>
        </w:rPr>
        <w:t>s</w:t>
      </w:r>
      <w:r w:rsidR="0028170E" w:rsidRPr="008A65BF">
        <w:rPr>
          <w:rFonts w:cs="Arial"/>
          <w:szCs w:val="22"/>
        </w:rPr>
        <w:t xml:space="preserve"> of any of the Unions.  The Conference adopts its budget, adopts amendments to the Convention and other functions as appropriate.</w:t>
      </w:r>
    </w:p>
    <w:p w:rsidR="007628A0" w:rsidRPr="008A65BF" w:rsidRDefault="007628A0" w:rsidP="00BB447D">
      <w:pPr>
        <w:pStyle w:val="STYLEDUTEXTE"/>
        <w:rPr>
          <w:rFonts w:cs="Arial"/>
          <w:szCs w:val="22"/>
        </w:rPr>
      </w:pPr>
    </w:p>
    <w:p w:rsidR="0028170E" w:rsidRPr="008A65BF" w:rsidRDefault="0028170E" w:rsidP="007C6D77">
      <w:pPr>
        <w:pStyle w:val="Style3"/>
        <w:spacing w:after="0"/>
        <w:rPr>
          <w:rFonts w:cs="Arial"/>
          <w:szCs w:val="22"/>
        </w:rPr>
      </w:pPr>
      <w:r w:rsidRPr="008A65BF">
        <w:rPr>
          <w:rFonts w:cs="Arial"/>
          <w:szCs w:val="22"/>
        </w:rPr>
        <w:t xml:space="preserve">The Coordination Committee consists of members of the Executive Committees of the Paris </w:t>
      </w:r>
      <w:r w:rsidR="00A32374" w:rsidRPr="008A65BF">
        <w:rPr>
          <w:rFonts w:cs="Arial"/>
          <w:szCs w:val="22"/>
        </w:rPr>
        <w:t>or the</w:t>
      </w:r>
      <w:r w:rsidRPr="008A65BF">
        <w:rPr>
          <w:rFonts w:cs="Arial"/>
          <w:szCs w:val="22"/>
        </w:rPr>
        <w:t xml:space="preserve"> Berne Unions.  The Coordination Committee nominates candidates for Director</w:t>
      </w:r>
      <w:r w:rsidR="00A621A1">
        <w:rPr>
          <w:rFonts w:cs="Arial"/>
          <w:szCs w:val="22"/>
        </w:rPr>
        <w:t xml:space="preserve"> </w:t>
      </w:r>
      <w:r w:rsidRPr="008A65BF">
        <w:rPr>
          <w:rFonts w:cs="Arial"/>
          <w:szCs w:val="22"/>
        </w:rPr>
        <w:t>General</w:t>
      </w:r>
      <w:r w:rsidR="00A84919" w:rsidRPr="008A65BF">
        <w:rPr>
          <w:rFonts w:cs="Arial"/>
          <w:szCs w:val="22"/>
        </w:rPr>
        <w:t xml:space="preserve"> and</w:t>
      </w:r>
      <w:r w:rsidR="00774F8C" w:rsidRPr="008A65BF">
        <w:rPr>
          <w:rFonts w:cs="Arial"/>
          <w:szCs w:val="22"/>
        </w:rPr>
        <w:t xml:space="preserve"> </w:t>
      </w:r>
      <w:r w:rsidRPr="008A65BF">
        <w:rPr>
          <w:rFonts w:cs="Arial"/>
          <w:szCs w:val="22"/>
        </w:rPr>
        <w:t>drafts the agendas fo</w:t>
      </w:r>
      <w:r w:rsidR="00B94E49" w:rsidRPr="008A65BF">
        <w:rPr>
          <w:rFonts w:cs="Arial"/>
          <w:szCs w:val="22"/>
        </w:rPr>
        <w:t>r the General Ass</w:t>
      </w:r>
      <w:r w:rsidRPr="008A65BF">
        <w:rPr>
          <w:rFonts w:cs="Arial"/>
          <w:szCs w:val="22"/>
        </w:rPr>
        <w:t>embly and the program and budget of the Conference</w:t>
      </w:r>
      <w:r w:rsidR="00A84919" w:rsidRPr="008A65BF">
        <w:rPr>
          <w:rFonts w:cs="Arial"/>
          <w:szCs w:val="22"/>
        </w:rPr>
        <w:t xml:space="preserve"> and</w:t>
      </w:r>
      <w:r w:rsidRPr="008A65BF">
        <w:rPr>
          <w:rFonts w:cs="Arial"/>
          <w:szCs w:val="22"/>
        </w:rPr>
        <w:t xml:space="preserve"> </w:t>
      </w:r>
      <w:r w:rsidR="00A84919" w:rsidRPr="008A65BF">
        <w:rPr>
          <w:rFonts w:cs="Arial"/>
          <w:szCs w:val="22"/>
        </w:rPr>
        <w:t xml:space="preserve">performs </w:t>
      </w:r>
      <w:r w:rsidRPr="008A65BF">
        <w:rPr>
          <w:rFonts w:cs="Arial"/>
          <w:szCs w:val="22"/>
        </w:rPr>
        <w:t xml:space="preserve">other duties </w:t>
      </w:r>
      <w:r w:rsidR="002514BA">
        <w:rPr>
          <w:rFonts w:cs="Arial"/>
          <w:szCs w:val="22"/>
        </w:rPr>
        <w:t>allocated to it under the WIPO C</w:t>
      </w:r>
      <w:r w:rsidRPr="008A65BF">
        <w:rPr>
          <w:rFonts w:cs="Arial"/>
          <w:szCs w:val="22"/>
        </w:rPr>
        <w:t>onvention.</w:t>
      </w:r>
    </w:p>
    <w:p w:rsidR="006E695B" w:rsidRPr="008A65BF" w:rsidRDefault="006E695B" w:rsidP="007C6D77">
      <w:pPr>
        <w:pStyle w:val="Style3"/>
        <w:spacing w:after="0"/>
        <w:rPr>
          <w:rFonts w:cs="Arial"/>
          <w:szCs w:val="22"/>
        </w:rPr>
      </w:pPr>
    </w:p>
    <w:p w:rsidR="00C86375" w:rsidRPr="008A65BF" w:rsidRDefault="009437F0" w:rsidP="007C6D77">
      <w:pPr>
        <w:pStyle w:val="Style3"/>
        <w:spacing w:after="0"/>
        <w:rPr>
          <w:rFonts w:cs="Arial"/>
          <w:szCs w:val="22"/>
        </w:rPr>
      </w:pPr>
      <w:r w:rsidRPr="008A65BF">
        <w:rPr>
          <w:rFonts w:cs="Arial"/>
          <w:szCs w:val="22"/>
        </w:rPr>
        <w:t xml:space="preserve">The </w:t>
      </w:r>
      <w:r w:rsidR="00A82C1F" w:rsidRPr="008A65BF">
        <w:rPr>
          <w:rFonts w:cs="Arial"/>
          <w:szCs w:val="22"/>
        </w:rPr>
        <w:t xml:space="preserve">Assemblies of the </w:t>
      </w:r>
      <w:r w:rsidRPr="008A65BF">
        <w:rPr>
          <w:rFonts w:cs="Arial"/>
          <w:szCs w:val="22"/>
        </w:rPr>
        <w:t xml:space="preserve">Berne, </w:t>
      </w:r>
      <w:r w:rsidR="00774F8C" w:rsidRPr="008A65BF">
        <w:rPr>
          <w:rFonts w:cs="Arial"/>
          <w:szCs w:val="22"/>
        </w:rPr>
        <w:t xml:space="preserve">Hague, Nice, </w:t>
      </w:r>
      <w:r w:rsidRPr="008A65BF">
        <w:rPr>
          <w:rFonts w:cs="Arial"/>
          <w:szCs w:val="22"/>
        </w:rPr>
        <w:t xml:space="preserve">Lisbon, Locarno, </w:t>
      </w:r>
      <w:r w:rsidR="00A84919" w:rsidRPr="008A65BF">
        <w:rPr>
          <w:rFonts w:cs="Arial"/>
          <w:szCs w:val="22"/>
        </w:rPr>
        <w:t xml:space="preserve">Vienna, Budapest </w:t>
      </w:r>
      <w:r w:rsidRPr="008A65BF">
        <w:rPr>
          <w:rFonts w:cs="Arial"/>
          <w:szCs w:val="22"/>
        </w:rPr>
        <w:t xml:space="preserve">International Patent Classification and Paris Unions meet under the authority of the individual treaties creating each </w:t>
      </w:r>
      <w:r w:rsidR="00A84919" w:rsidRPr="008A65BF">
        <w:rPr>
          <w:rFonts w:cs="Arial"/>
          <w:szCs w:val="22"/>
        </w:rPr>
        <w:t>U</w:t>
      </w:r>
      <w:r w:rsidRPr="008A65BF">
        <w:rPr>
          <w:rFonts w:cs="Arial"/>
          <w:szCs w:val="22"/>
        </w:rPr>
        <w:t xml:space="preserve">nion </w:t>
      </w:r>
      <w:r w:rsidR="00E842C8" w:rsidRPr="008A65BF">
        <w:rPr>
          <w:rFonts w:cs="Arial"/>
          <w:szCs w:val="22"/>
        </w:rPr>
        <w:t>administered by WIPO</w:t>
      </w:r>
      <w:r w:rsidR="0093482F" w:rsidRPr="008A65BF">
        <w:rPr>
          <w:rFonts w:cs="Arial"/>
          <w:szCs w:val="22"/>
        </w:rPr>
        <w:t xml:space="preserve"> </w:t>
      </w:r>
      <w:r w:rsidRPr="008A65BF">
        <w:rPr>
          <w:rFonts w:cs="Arial"/>
          <w:szCs w:val="22"/>
        </w:rPr>
        <w:t xml:space="preserve">and adopt those portions of the WIPO budget that relate to revenue and expense exclusively attributable to each </w:t>
      </w:r>
      <w:r w:rsidR="00A84919" w:rsidRPr="008A65BF">
        <w:rPr>
          <w:rFonts w:cs="Arial"/>
          <w:szCs w:val="22"/>
        </w:rPr>
        <w:t xml:space="preserve">of them and </w:t>
      </w:r>
      <w:r w:rsidR="008B03E5" w:rsidRPr="008A65BF">
        <w:rPr>
          <w:rFonts w:cs="Arial"/>
          <w:szCs w:val="22"/>
        </w:rPr>
        <w:t xml:space="preserve">determine the level of the fees payable to WIPO for services rendered pursuant to each treaty.  </w:t>
      </w:r>
    </w:p>
    <w:p w:rsidR="00C86375" w:rsidRPr="008A65BF" w:rsidRDefault="00C86375" w:rsidP="007C6D77">
      <w:pPr>
        <w:pStyle w:val="Style3"/>
        <w:spacing w:after="0"/>
        <w:rPr>
          <w:rFonts w:cs="Arial"/>
          <w:szCs w:val="22"/>
        </w:rPr>
      </w:pPr>
    </w:p>
    <w:p w:rsidR="0028170E" w:rsidRPr="008A65BF" w:rsidRDefault="00B94E49" w:rsidP="007C6D77">
      <w:pPr>
        <w:pStyle w:val="Style3"/>
        <w:spacing w:after="0"/>
        <w:rPr>
          <w:rFonts w:cs="Arial"/>
          <w:szCs w:val="22"/>
        </w:rPr>
      </w:pPr>
      <w:r w:rsidRPr="008A65BF">
        <w:rPr>
          <w:rFonts w:cs="Arial"/>
          <w:szCs w:val="22"/>
        </w:rPr>
        <w:t xml:space="preserve">WIPO is funded </w:t>
      </w:r>
      <w:r w:rsidR="002F1095" w:rsidRPr="008A65BF">
        <w:rPr>
          <w:rFonts w:cs="Arial"/>
          <w:szCs w:val="22"/>
        </w:rPr>
        <w:t xml:space="preserve">from </w:t>
      </w:r>
      <w:r w:rsidR="007C32ED" w:rsidRPr="008A65BF">
        <w:rPr>
          <w:rFonts w:cs="Arial"/>
          <w:szCs w:val="22"/>
        </w:rPr>
        <w:t>fees derived from services provided by the Organization</w:t>
      </w:r>
      <w:r w:rsidR="00A84919" w:rsidRPr="008A65BF">
        <w:rPr>
          <w:rFonts w:cs="Arial"/>
          <w:szCs w:val="22"/>
        </w:rPr>
        <w:t xml:space="preserve">, </w:t>
      </w:r>
      <w:r w:rsidR="00D72B7B" w:rsidRPr="008A65BF">
        <w:rPr>
          <w:rFonts w:cs="Arial"/>
          <w:szCs w:val="22"/>
        </w:rPr>
        <w:t>assessed contributions paid by its Member States</w:t>
      </w:r>
      <w:r w:rsidRPr="008A65BF">
        <w:rPr>
          <w:rFonts w:cs="Arial"/>
          <w:szCs w:val="22"/>
        </w:rPr>
        <w:t xml:space="preserve"> and voluntary contributions from </w:t>
      </w:r>
      <w:r w:rsidR="00FA35E4" w:rsidRPr="008A65BF">
        <w:rPr>
          <w:rFonts w:cs="Arial"/>
          <w:szCs w:val="22"/>
        </w:rPr>
        <w:t>M</w:t>
      </w:r>
      <w:r w:rsidRPr="008A65BF">
        <w:rPr>
          <w:rFonts w:cs="Arial"/>
          <w:szCs w:val="22"/>
        </w:rPr>
        <w:t xml:space="preserve">ember States and </w:t>
      </w:r>
      <w:r w:rsidRPr="008A65BF">
        <w:rPr>
          <w:rFonts w:cs="Arial"/>
          <w:szCs w:val="22"/>
        </w:rPr>
        <w:lastRenderedPageBreak/>
        <w:t xml:space="preserve">other donors.  The Organization operates within the framework of a biennial program and budget </w:t>
      </w:r>
      <w:r w:rsidR="00FA35E4" w:rsidRPr="008A65BF">
        <w:rPr>
          <w:rFonts w:cs="Arial"/>
          <w:szCs w:val="22"/>
        </w:rPr>
        <w:t>which provides</w:t>
      </w:r>
      <w:r w:rsidRPr="008A65BF">
        <w:rPr>
          <w:rFonts w:cs="Arial"/>
          <w:szCs w:val="22"/>
        </w:rPr>
        <w:t xml:space="preserve"> the appropriations </w:t>
      </w:r>
      <w:r w:rsidR="00FA35E4" w:rsidRPr="008A65BF">
        <w:rPr>
          <w:rFonts w:cs="Arial"/>
          <w:szCs w:val="22"/>
        </w:rPr>
        <w:t>that constitute the</w:t>
      </w:r>
      <w:r w:rsidR="000B30F5" w:rsidRPr="008A65BF">
        <w:rPr>
          <w:rFonts w:cs="Arial"/>
          <w:szCs w:val="22"/>
        </w:rPr>
        <w:t xml:space="preserve"> budgetary expenditure authorizations approved by the General Assembly for </w:t>
      </w:r>
      <w:r w:rsidR="00D72B7B" w:rsidRPr="008A65BF">
        <w:rPr>
          <w:rFonts w:cs="Arial"/>
          <w:szCs w:val="22"/>
        </w:rPr>
        <w:t>each</w:t>
      </w:r>
      <w:r w:rsidR="000B30F5" w:rsidRPr="008A65BF">
        <w:rPr>
          <w:rFonts w:cs="Arial"/>
          <w:szCs w:val="22"/>
        </w:rPr>
        <w:t xml:space="preserve"> financial period</w:t>
      </w:r>
      <w:r w:rsidRPr="008A65BF">
        <w:rPr>
          <w:rFonts w:cs="Arial"/>
          <w:szCs w:val="22"/>
        </w:rPr>
        <w:t xml:space="preserve">. </w:t>
      </w:r>
      <w:r w:rsidR="00BB0B8D" w:rsidRPr="008A65BF">
        <w:rPr>
          <w:rFonts w:cs="Arial"/>
          <w:szCs w:val="22"/>
        </w:rPr>
        <w:t xml:space="preserve">The approval of the </w:t>
      </w:r>
      <w:r w:rsidR="000B30F5" w:rsidRPr="008A65BF">
        <w:rPr>
          <w:rFonts w:cs="Arial"/>
          <w:szCs w:val="22"/>
        </w:rPr>
        <w:t>appropriations</w:t>
      </w:r>
      <w:r w:rsidR="00BB0B8D" w:rsidRPr="008A65BF">
        <w:rPr>
          <w:rFonts w:cs="Arial"/>
          <w:szCs w:val="22"/>
        </w:rPr>
        <w:t xml:space="preserve"> provides the authority for the Director</w:t>
      </w:r>
      <w:r w:rsidR="00A621A1">
        <w:rPr>
          <w:rFonts w:cs="Arial"/>
          <w:szCs w:val="22"/>
        </w:rPr>
        <w:t xml:space="preserve"> </w:t>
      </w:r>
      <w:r w:rsidR="00BB0B8D" w:rsidRPr="008A65BF">
        <w:rPr>
          <w:rFonts w:cs="Arial"/>
          <w:szCs w:val="22"/>
        </w:rPr>
        <w:t>General to commit and authorize expenses and to make payments for the purposes assigned within the limits of the appropriations.</w:t>
      </w:r>
    </w:p>
    <w:p w:rsidR="00BB0B8D" w:rsidRDefault="00BB0B8D" w:rsidP="00901633">
      <w:pPr>
        <w:jc w:val="both"/>
        <w:rPr>
          <w:rFonts w:ascii="Arial" w:hAnsi="Arial" w:cs="Arial"/>
          <w:b/>
          <w:sz w:val="22"/>
          <w:szCs w:val="22"/>
        </w:rPr>
      </w:pPr>
    </w:p>
    <w:p w:rsidR="00E1413C" w:rsidRPr="008A65BF" w:rsidRDefault="00E1413C" w:rsidP="00901633">
      <w:pPr>
        <w:jc w:val="both"/>
        <w:rPr>
          <w:rFonts w:ascii="Arial" w:hAnsi="Arial" w:cs="Arial"/>
          <w:b/>
          <w:sz w:val="22"/>
          <w:szCs w:val="22"/>
        </w:rPr>
      </w:pPr>
    </w:p>
    <w:p w:rsidR="00E1413C" w:rsidRPr="00E1413C" w:rsidRDefault="00BB0B8D" w:rsidP="00901633">
      <w:pPr>
        <w:pStyle w:val="StyleHeading211ptNotBoldNotItalicAllcaps"/>
        <w:tabs>
          <w:tab w:val="left" w:pos="1260"/>
        </w:tabs>
        <w:spacing w:before="0" w:after="0"/>
        <w:rPr>
          <w:rFonts w:eastAsia="SimSun"/>
          <w:szCs w:val="22"/>
        </w:rPr>
      </w:pPr>
      <w:r w:rsidRPr="00203C93">
        <w:rPr>
          <w:rFonts w:eastAsia="SimSun"/>
        </w:rPr>
        <w:t>Note 2:</w:t>
      </w:r>
      <w:r w:rsidR="00203C93">
        <w:rPr>
          <w:rFonts w:eastAsia="SimSun"/>
          <w:i/>
        </w:rPr>
        <w:tab/>
      </w:r>
      <w:r w:rsidRPr="00203C93">
        <w:rPr>
          <w:rFonts w:eastAsia="SimSun"/>
        </w:rPr>
        <w:t>Significant accounting policies</w:t>
      </w:r>
    </w:p>
    <w:p w:rsidR="00BB0B8D" w:rsidRPr="00E1413C" w:rsidRDefault="00BB0B8D" w:rsidP="00901633">
      <w:pPr>
        <w:pStyle w:val="StyleHeading211ptNotBoldNotItalicAllcaps"/>
        <w:tabs>
          <w:tab w:val="left" w:pos="1260"/>
        </w:tabs>
        <w:spacing w:before="0" w:after="0"/>
      </w:pPr>
    </w:p>
    <w:p w:rsidR="00BB0B8D" w:rsidRPr="00E1413C" w:rsidRDefault="000A2080" w:rsidP="00901633">
      <w:pPr>
        <w:pStyle w:val="Style3Bold"/>
        <w:spacing w:after="0"/>
        <w:rPr>
          <w:rFonts w:cs="Arial"/>
          <w:szCs w:val="22"/>
        </w:rPr>
      </w:pPr>
      <w:r w:rsidRPr="00E1413C">
        <w:rPr>
          <w:rFonts w:cs="Arial"/>
          <w:szCs w:val="22"/>
        </w:rPr>
        <w:t xml:space="preserve">Basis of </w:t>
      </w:r>
      <w:r w:rsidR="00901633">
        <w:rPr>
          <w:rFonts w:cs="Arial"/>
          <w:szCs w:val="22"/>
        </w:rPr>
        <w:t>P</w:t>
      </w:r>
      <w:r w:rsidRPr="00E1413C">
        <w:rPr>
          <w:rFonts w:cs="Arial"/>
          <w:szCs w:val="22"/>
        </w:rPr>
        <w:t>reparation</w:t>
      </w:r>
    </w:p>
    <w:p w:rsidR="000A2080" w:rsidRPr="00E1413C" w:rsidRDefault="000A2080" w:rsidP="00E1413C">
      <w:pPr>
        <w:pStyle w:val="Style3"/>
        <w:spacing w:after="0"/>
        <w:rPr>
          <w:rFonts w:cs="Arial"/>
          <w:szCs w:val="22"/>
        </w:rPr>
      </w:pPr>
    </w:p>
    <w:p w:rsidR="000A2080" w:rsidRDefault="000A2080" w:rsidP="00E1413C">
      <w:pPr>
        <w:pStyle w:val="Style3"/>
        <w:spacing w:after="0"/>
        <w:rPr>
          <w:rFonts w:cs="Arial"/>
          <w:szCs w:val="22"/>
        </w:rPr>
      </w:pPr>
      <w:r w:rsidRPr="00E1413C">
        <w:rPr>
          <w:rFonts w:cs="Arial"/>
          <w:szCs w:val="22"/>
        </w:rPr>
        <w:t>These financial statements have been prepared on a</w:t>
      </w:r>
      <w:r w:rsidR="00E8347F" w:rsidRPr="00E1413C">
        <w:rPr>
          <w:rFonts w:cs="Arial"/>
          <w:szCs w:val="22"/>
        </w:rPr>
        <w:t>n accrual and</w:t>
      </w:r>
      <w:r w:rsidRPr="00E1413C">
        <w:rPr>
          <w:rFonts w:cs="Arial"/>
          <w:szCs w:val="22"/>
        </w:rPr>
        <w:t xml:space="preserve"> going-concern basis and the accounting policies have been applied consistently throughout the period.</w:t>
      </w:r>
      <w:r w:rsidR="00E8347F" w:rsidRPr="00E1413C">
        <w:rPr>
          <w:rFonts w:cs="Arial"/>
          <w:szCs w:val="22"/>
        </w:rPr>
        <w:t xml:space="preserve">  The statements comply with the re</w:t>
      </w:r>
      <w:r w:rsidR="002514BA">
        <w:rPr>
          <w:rFonts w:cs="Arial"/>
          <w:szCs w:val="22"/>
        </w:rPr>
        <w:t xml:space="preserve">quirements of </w:t>
      </w:r>
      <w:r w:rsidR="00E8347F" w:rsidRPr="00E1413C">
        <w:rPr>
          <w:rFonts w:cs="Arial"/>
          <w:szCs w:val="22"/>
        </w:rPr>
        <w:t>IPSAS.</w:t>
      </w:r>
    </w:p>
    <w:p w:rsidR="005D1841" w:rsidRPr="005D1841" w:rsidRDefault="005D1841" w:rsidP="00E1413C">
      <w:pPr>
        <w:pStyle w:val="Style3"/>
        <w:spacing w:after="0"/>
        <w:rPr>
          <w:rFonts w:cs="Arial"/>
          <w:szCs w:val="22"/>
        </w:rPr>
      </w:pPr>
    </w:p>
    <w:p w:rsidR="00D602C9" w:rsidRPr="00D602C9" w:rsidRDefault="003852F9" w:rsidP="00D602C9">
      <w:pPr>
        <w:autoSpaceDE w:val="0"/>
        <w:autoSpaceDN w:val="0"/>
        <w:adjustRightInd w:val="0"/>
        <w:jc w:val="both"/>
        <w:rPr>
          <w:rFonts w:ascii="Arial" w:hAnsi="Arial" w:cs="Arial"/>
          <w:sz w:val="22"/>
          <w:szCs w:val="22"/>
        </w:rPr>
      </w:pPr>
      <w:r>
        <w:rPr>
          <w:rFonts w:ascii="Arial" w:hAnsi="Arial" w:cs="Arial"/>
          <w:sz w:val="22"/>
          <w:szCs w:val="22"/>
        </w:rPr>
        <w:t xml:space="preserve">In accordance with the effective date of </w:t>
      </w:r>
      <w:r w:rsidR="005D1841" w:rsidRPr="005D1841">
        <w:rPr>
          <w:rFonts w:ascii="Arial" w:hAnsi="Arial" w:cs="Arial"/>
          <w:sz w:val="22"/>
          <w:szCs w:val="22"/>
        </w:rPr>
        <w:t>IPSAS 31 Intangible Assets</w:t>
      </w:r>
      <w:r>
        <w:rPr>
          <w:rFonts w:ascii="Arial" w:hAnsi="Arial" w:cs="Arial"/>
          <w:sz w:val="22"/>
          <w:szCs w:val="22"/>
        </w:rPr>
        <w:t>, WIPO has fully applied this standard for the first time in its 2012 financial statements.</w:t>
      </w:r>
      <w:r w:rsidR="005D1841" w:rsidRPr="005D1841">
        <w:rPr>
          <w:rFonts w:ascii="Arial" w:hAnsi="Arial" w:cs="Arial"/>
          <w:sz w:val="22"/>
          <w:szCs w:val="22"/>
        </w:rPr>
        <w:t xml:space="preserve"> </w:t>
      </w:r>
      <w:r>
        <w:rPr>
          <w:rFonts w:ascii="Arial" w:hAnsi="Arial" w:cs="Arial"/>
          <w:sz w:val="22"/>
          <w:szCs w:val="22"/>
        </w:rPr>
        <w:t xml:space="preserve">As such, externally acquired software and internally developed software costs have been capitalized as assets of </w:t>
      </w:r>
      <w:r w:rsidR="00D602C9">
        <w:rPr>
          <w:rFonts w:ascii="Arial" w:hAnsi="Arial" w:cs="Arial"/>
          <w:sz w:val="22"/>
          <w:szCs w:val="22"/>
        </w:rPr>
        <w:t>the Organization during</w:t>
      </w:r>
      <w:r>
        <w:rPr>
          <w:rFonts w:ascii="Arial" w:hAnsi="Arial" w:cs="Arial"/>
          <w:sz w:val="22"/>
          <w:szCs w:val="22"/>
        </w:rPr>
        <w:t xml:space="preserve"> 2012</w:t>
      </w:r>
      <w:r w:rsidRPr="00D602C9">
        <w:rPr>
          <w:rFonts w:ascii="Arial" w:hAnsi="Arial" w:cs="Arial"/>
          <w:sz w:val="22"/>
          <w:szCs w:val="22"/>
        </w:rPr>
        <w:t>.</w:t>
      </w:r>
      <w:r w:rsidR="00D602C9" w:rsidRPr="00D602C9">
        <w:rPr>
          <w:rFonts w:ascii="Arial" w:hAnsi="Arial" w:cs="Arial"/>
          <w:sz w:val="22"/>
          <w:szCs w:val="22"/>
        </w:rPr>
        <w:t xml:space="preserve"> In the previous WIPO financial statements prepared in accordance with IPSAS, IPSAS 31 was applied on an exceptional basis to land surface rights held by the Organization. The Organization does not retrospectively apply IPSAS 31 to other intangible assets as this is considered impracticable.</w:t>
      </w:r>
    </w:p>
    <w:p w:rsidR="00E8347F" w:rsidRPr="00E1413C" w:rsidRDefault="00E8347F" w:rsidP="00D602C9">
      <w:pPr>
        <w:pStyle w:val="Style3"/>
        <w:spacing w:after="0"/>
        <w:rPr>
          <w:rFonts w:cs="Arial"/>
          <w:szCs w:val="22"/>
        </w:rPr>
      </w:pPr>
    </w:p>
    <w:p w:rsidR="005845E8" w:rsidRPr="00E1413C" w:rsidRDefault="005845E8" w:rsidP="00D602C9">
      <w:pPr>
        <w:pStyle w:val="Style3Bold"/>
        <w:spacing w:after="0"/>
        <w:rPr>
          <w:rFonts w:cs="Arial"/>
          <w:szCs w:val="22"/>
        </w:rPr>
      </w:pPr>
      <w:r w:rsidRPr="00E1413C">
        <w:rPr>
          <w:rFonts w:cs="Arial"/>
          <w:szCs w:val="22"/>
        </w:rPr>
        <w:t>Borrowing Costs</w:t>
      </w:r>
    </w:p>
    <w:p w:rsidR="005845E8" w:rsidRPr="00E1413C" w:rsidRDefault="005845E8" w:rsidP="007C6D77">
      <w:pPr>
        <w:pStyle w:val="Style3"/>
        <w:spacing w:after="0"/>
        <w:rPr>
          <w:rFonts w:cs="Arial"/>
          <w:szCs w:val="22"/>
        </w:rPr>
      </w:pPr>
    </w:p>
    <w:p w:rsidR="005845E8" w:rsidRPr="00E1413C" w:rsidRDefault="005845E8" w:rsidP="007C6D77">
      <w:pPr>
        <w:pStyle w:val="Style3"/>
        <w:spacing w:after="0"/>
        <w:rPr>
          <w:rFonts w:cs="Arial"/>
          <w:szCs w:val="22"/>
        </w:rPr>
      </w:pPr>
      <w:r w:rsidRPr="00E1413C">
        <w:rPr>
          <w:rFonts w:cs="Arial"/>
          <w:szCs w:val="22"/>
        </w:rPr>
        <w:t>All of the costs incurred in connection with borrowing are treated as expense</w:t>
      </w:r>
      <w:r w:rsidR="00E842C8" w:rsidRPr="00E1413C">
        <w:rPr>
          <w:rFonts w:cs="Arial"/>
          <w:szCs w:val="22"/>
        </w:rPr>
        <w:t>s</w:t>
      </w:r>
      <w:r w:rsidRPr="00E1413C">
        <w:rPr>
          <w:rFonts w:cs="Arial"/>
          <w:szCs w:val="22"/>
        </w:rPr>
        <w:t xml:space="preserve"> in the period in which they are incurred.  </w:t>
      </w:r>
      <w:r w:rsidR="00C26D98" w:rsidRPr="00E1413C">
        <w:rPr>
          <w:rFonts w:cs="Arial"/>
          <w:szCs w:val="22"/>
        </w:rPr>
        <w:t>B</w:t>
      </w:r>
      <w:r w:rsidRPr="00E1413C">
        <w:rPr>
          <w:rFonts w:cs="Arial"/>
          <w:szCs w:val="22"/>
        </w:rPr>
        <w:t xml:space="preserve">orrowing costs </w:t>
      </w:r>
      <w:r w:rsidR="005A431B" w:rsidRPr="00E1413C">
        <w:rPr>
          <w:rFonts w:cs="Arial"/>
          <w:szCs w:val="22"/>
        </w:rPr>
        <w:t xml:space="preserve">(interest and fees) </w:t>
      </w:r>
      <w:r w:rsidR="00175168" w:rsidRPr="00E1413C">
        <w:rPr>
          <w:rFonts w:cs="Arial"/>
          <w:szCs w:val="22"/>
        </w:rPr>
        <w:t>relat</w:t>
      </w:r>
      <w:r w:rsidR="00866220" w:rsidRPr="00E1413C">
        <w:rPr>
          <w:rFonts w:cs="Arial"/>
          <w:szCs w:val="22"/>
        </w:rPr>
        <w:t>ing</w:t>
      </w:r>
      <w:r w:rsidR="00C26D98" w:rsidRPr="00E1413C">
        <w:rPr>
          <w:rFonts w:cs="Arial"/>
          <w:szCs w:val="22"/>
        </w:rPr>
        <w:t xml:space="preserve"> to the construction of the </w:t>
      </w:r>
      <w:r w:rsidR="00866220" w:rsidRPr="00E1413C">
        <w:rPr>
          <w:rFonts w:cs="Arial"/>
          <w:szCs w:val="22"/>
        </w:rPr>
        <w:t>N</w:t>
      </w:r>
      <w:r w:rsidR="00C26D98" w:rsidRPr="00E1413C">
        <w:rPr>
          <w:rFonts w:cs="Arial"/>
          <w:szCs w:val="22"/>
        </w:rPr>
        <w:t xml:space="preserve">ew </w:t>
      </w:r>
      <w:r w:rsidR="00866220" w:rsidRPr="00E1413C">
        <w:rPr>
          <w:rFonts w:cs="Arial"/>
          <w:szCs w:val="22"/>
        </w:rPr>
        <w:t>B</w:t>
      </w:r>
      <w:r w:rsidR="00C26D98" w:rsidRPr="00E1413C">
        <w:rPr>
          <w:rFonts w:cs="Arial"/>
          <w:szCs w:val="22"/>
        </w:rPr>
        <w:t xml:space="preserve">uilding </w:t>
      </w:r>
      <w:r w:rsidR="00866220" w:rsidRPr="00E1413C">
        <w:rPr>
          <w:rFonts w:cs="Arial"/>
          <w:szCs w:val="22"/>
        </w:rPr>
        <w:t>were</w:t>
      </w:r>
      <w:r w:rsidR="005A431B" w:rsidRPr="00E1413C">
        <w:rPr>
          <w:rFonts w:cs="Arial"/>
          <w:szCs w:val="22"/>
        </w:rPr>
        <w:t xml:space="preserve"> capitalized as work in progress </w:t>
      </w:r>
      <w:r w:rsidR="00866220" w:rsidRPr="00E1413C">
        <w:rPr>
          <w:rFonts w:cs="Arial"/>
          <w:szCs w:val="22"/>
        </w:rPr>
        <w:t>during the construction phase</w:t>
      </w:r>
      <w:r w:rsidR="00E1413C" w:rsidRPr="00E1413C">
        <w:rPr>
          <w:rFonts w:cs="Arial"/>
          <w:szCs w:val="22"/>
        </w:rPr>
        <w:t xml:space="preserve"> (see Note 9)</w:t>
      </w:r>
      <w:r w:rsidR="005A431B" w:rsidRPr="00E1413C">
        <w:rPr>
          <w:rFonts w:cs="Arial"/>
          <w:szCs w:val="22"/>
        </w:rPr>
        <w:t>.</w:t>
      </w:r>
      <w:r w:rsidR="00866220" w:rsidRPr="00E1413C">
        <w:rPr>
          <w:rFonts w:cs="Arial"/>
          <w:szCs w:val="22"/>
        </w:rPr>
        <w:t xml:space="preserve"> </w:t>
      </w:r>
      <w:r w:rsidR="005A431B" w:rsidRPr="00E1413C">
        <w:rPr>
          <w:rFonts w:cs="Arial"/>
          <w:szCs w:val="22"/>
        </w:rPr>
        <w:t>Borrowing costs (interest and fees) which relate to the acquisition from the World Meteorological Organization</w:t>
      </w:r>
      <w:r w:rsidR="00805F6B">
        <w:rPr>
          <w:rFonts w:cs="Arial"/>
          <w:szCs w:val="22"/>
        </w:rPr>
        <w:t xml:space="preserve"> (WMO)</w:t>
      </w:r>
      <w:r w:rsidR="005A431B" w:rsidRPr="00E1413C">
        <w:rPr>
          <w:rFonts w:cs="Arial"/>
          <w:szCs w:val="22"/>
        </w:rPr>
        <w:t xml:space="preserve"> of the land rights (</w:t>
      </w:r>
      <w:proofErr w:type="spellStart"/>
      <w:r w:rsidR="005A431B" w:rsidRPr="00E1413C">
        <w:rPr>
          <w:rFonts w:cs="Arial"/>
          <w:i/>
          <w:szCs w:val="22"/>
        </w:rPr>
        <w:t>droits</w:t>
      </w:r>
      <w:proofErr w:type="spellEnd"/>
      <w:r w:rsidR="005A431B" w:rsidRPr="00E1413C">
        <w:rPr>
          <w:rFonts w:cs="Arial"/>
          <w:i/>
          <w:szCs w:val="22"/>
        </w:rPr>
        <w:t xml:space="preserve"> de </w:t>
      </w:r>
      <w:proofErr w:type="spellStart"/>
      <w:r w:rsidR="005A431B" w:rsidRPr="00E1413C">
        <w:rPr>
          <w:rFonts w:cs="Arial"/>
          <w:i/>
          <w:szCs w:val="22"/>
        </w:rPr>
        <w:t>superficie</w:t>
      </w:r>
      <w:proofErr w:type="spellEnd"/>
      <w:r w:rsidR="005A431B" w:rsidRPr="00E1413C">
        <w:rPr>
          <w:rFonts w:cs="Arial"/>
          <w:szCs w:val="22"/>
        </w:rPr>
        <w:t xml:space="preserve">) to the site on which the PCT building has been constructed </w:t>
      </w:r>
      <w:r w:rsidRPr="00E1413C">
        <w:rPr>
          <w:rFonts w:cs="Arial"/>
          <w:szCs w:val="22"/>
        </w:rPr>
        <w:t>have been capitalized</w:t>
      </w:r>
      <w:r w:rsidR="005A431B" w:rsidRPr="00E1413C">
        <w:rPr>
          <w:rFonts w:cs="Arial"/>
          <w:szCs w:val="22"/>
        </w:rPr>
        <w:t xml:space="preserve"> as part of the asset value and amortized over the remaining life of the land rights</w:t>
      </w:r>
      <w:r w:rsidR="008D5371" w:rsidRPr="00E1413C">
        <w:rPr>
          <w:rFonts w:cs="Arial"/>
          <w:szCs w:val="22"/>
        </w:rPr>
        <w:t xml:space="preserve"> (see Note 8)</w:t>
      </w:r>
      <w:r w:rsidR="005A431B" w:rsidRPr="00E1413C">
        <w:rPr>
          <w:rFonts w:cs="Arial"/>
          <w:szCs w:val="22"/>
        </w:rPr>
        <w:t>.</w:t>
      </w:r>
    </w:p>
    <w:p w:rsidR="005845E8" w:rsidRPr="00E1413C" w:rsidRDefault="005845E8" w:rsidP="007C6D77">
      <w:pPr>
        <w:pStyle w:val="Style3"/>
        <w:spacing w:after="0"/>
        <w:rPr>
          <w:rFonts w:cs="Arial"/>
          <w:szCs w:val="22"/>
        </w:rPr>
      </w:pPr>
    </w:p>
    <w:p w:rsidR="005845E8" w:rsidRPr="00E1413C" w:rsidRDefault="005845E8" w:rsidP="007C6D77">
      <w:pPr>
        <w:pStyle w:val="Style3Bold"/>
        <w:spacing w:after="0"/>
        <w:rPr>
          <w:rFonts w:cs="Arial"/>
          <w:szCs w:val="22"/>
        </w:rPr>
      </w:pPr>
      <w:r w:rsidRPr="00E1413C">
        <w:rPr>
          <w:rFonts w:cs="Arial"/>
          <w:szCs w:val="22"/>
        </w:rPr>
        <w:t xml:space="preserve">Cash, </w:t>
      </w:r>
      <w:r w:rsidR="00901633">
        <w:rPr>
          <w:rFonts w:cs="Arial"/>
          <w:szCs w:val="22"/>
        </w:rPr>
        <w:t>I</w:t>
      </w:r>
      <w:r w:rsidRPr="00E1413C">
        <w:rPr>
          <w:rFonts w:cs="Arial"/>
          <w:szCs w:val="22"/>
        </w:rPr>
        <w:t xml:space="preserve">nvestments and </w:t>
      </w:r>
      <w:r w:rsidR="00901633">
        <w:rPr>
          <w:rFonts w:cs="Arial"/>
          <w:szCs w:val="22"/>
        </w:rPr>
        <w:t>O</w:t>
      </w:r>
      <w:r w:rsidRPr="00E1413C">
        <w:rPr>
          <w:rFonts w:cs="Arial"/>
          <w:szCs w:val="22"/>
        </w:rPr>
        <w:t xml:space="preserve">ther </w:t>
      </w:r>
      <w:r w:rsidR="00901633">
        <w:rPr>
          <w:rFonts w:cs="Arial"/>
          <w:szCs w:val="22"/>
        </w:rPr>
        <w:t>F</w:t>
      </w:r>
      <w:r w:rsidRPr="00E1413C">
        <w:rPr>
          <w:rFonts w:cs="Arial"/>
          <w:szCs w:val="22"/>
        </w:rPr>
        <w:t xml:space="preserve">inancial </w:t>
      </w:r>
      <w:r w:rsidR="00901633">
        <w:rPr>
          <w:rFonts w:cs="Arial"/>
          <w:szCs w:val="22"/>
        </w:rPr>
        <w:t>A</w:t>
      </w:r>
      <w:r w:rsidRPr="00E1413C">
        <w:rPr>
          <w:rFonts w:cs="Arial"/>
          <w:szCs w:val="22"/>
        </w:rPr>
        <w:t>ssets</w:t>
      </w:r>
    </w:p>
    <w:p w:rsidR="005845E8" w:rsidRPr="00E1413C" w:rsidRDefault="005845E8" w:rsidP="007C6D77">
      <w:pPr>
        <w:pStyle w:val="Style3"/>
        <w:spacing w:after="0"/>
        <w:rPr>
          <w:rFonts w:cs="Arial"/>
          <w:szCs w:val="22"/>
        </w:rPr>
      </w:pPr>
    </w:p>
    <w:p w:rsidR="005845E8" w:rsidRPr="00E1413C" w:rsidRDefault="005845E8" w:rsidP="007C6D77">
      <w:pPr>
        <w:pStyle w:val="Style3"/>
        <w:spacing w:after="0"/>
        <w:rPr>
          <w:rFonts w:cs="Arial"/>
          <w:szCs w:val="22"/>
        </w:rPr>
      </w:pPr>
      <w:r w:rsidRPr="00E1413C">
        <w:rPr>
          <w:rFonts w:cs="Arial"/>
          <w:szCs w:val="22"/>
        </w:rPr>
        <w:t>Cash and cash equivalents include cash in hand, deposits held at call with banks</w:t>
      </w:r>
      <w:r w:rsidR="00250924" w:rsidRPr="00E1413C">
        <w:rPr>
          <w:rFonts w:cs="Arial"/>
          <w:szCs w:val="22"/>
        </w:rPr>
        <w:t>, deposits held up to 90 days</w:t>
      </w:r>
      <w:r w:rsidRPr="00E1413C">
        <w:rPr>
          <w:rFonts w:cs="Arial"/>
          <w:szCs w:val="22"/>
        </w:rPr>
        <w:t xml:space="preserve"> and other short-term highly liquid investments </w:t>
      </w:r>
      <w:r w:rsidR="00FA35E4" w:rsidRPr="00E1413C">
        <w:rPr>
          <w:rFonts w:cs="Arial"/>
          <w:szCs w:val="22"/>
        </w:rPr>
        <w:t xml:space="preserve">that are </w:t>
      </w:r>
      <w:r w:rsidRPr="00E1413C">
        <w:rPr>
          <w:rFonts w:cs="Arial"/>
          <w:szCs w:val="22"/>
        </w:rPr>
        <w:t xml:space="preserve">readily convertible to cash and subject to insignificant risk of changes in value.  </w:t>
      </w:r>
    </w:p>
    <w:p w:rsidR="00E47BB1" w:rsidRPr="00E1413C" w:rsidRDefault="00E47BB1" w:rsidP="007C6D77">
      <w:pPr>
        <w:pStyle w:val="Style3"/>
        <w:spacing w:after="0"/>
        <w:rPr>
          <w:rFonts w:cs="Arial"/>
          <w:szCs w:val="22"/>
        </w:rPr>
      </w:pPr>
    </w:p>
    <w:p w:rsidR="002760C4" w:rsidRPr="00E1413C" w:rsidRDefault="002760C4" w:rsidP="007C6D77">
      <w:pPr>
        <w:pStyle w:val="Style3Bold"/>
        <w:spacing w:after="0"/>
        <w:rPr>
          <w:rFonts w:cs="Arial"/>
          <w:szCs w:val="22"/>
        </w:rPr>
      </w:pPr>
      <w:r w:rsidRPr="00E1413C">
        <w:rPr>
          <w:rFonts w:cs="Arial"/>
          <w:szCs w:val="22"/>
        </w:rPr>
        <w:t xml:space="preserve">Employee </w:t>
      </w:r>
      <w:r w:rsidR="00901633">
        <w:rPr>
          <w:rFonts w:cs="Arial"/>
          <w:szCs w:val="22"/>
        </w:rPr>
        <w:t>B</w:t>
      </w:r>
      <w:r w:rsidRPr="00E1413C">
        <w:rPr>
          <w:rFonts w:cs="Arial"/>
          <w:szCs w:val="22"/>
        </w:rPr>
        <w:t>enefits</w:t>
      </w:r>
    </w:p>
    <w:p w:rsidR="002760C4" w:rsidRPr="00E1413C" w:rsidRDefault="002760C4" w:rsidP="007C6D77">
      <w:pPr>
        <w:pStyle w:val="Style3"/>
        <w:spacing w:after="0"/>
        <w:rPr>
          <w:rFonts w:cs="Arial"/>
          <w:szCs w:val="22"/>
        </w:rPr>
      </w:pPr>
    </w:p>
    <w:p w:rsidR="00562598" w:rsidRDefault="009D3AE0" w:rsidP="007C6D77">
      <w:pPr>
        <w:pStyle w:val="Style3"/>
        <w:spacing w:after="0"/>
        <w:rPr>
          <w:rFonts w:cs="Arial"/>
          <w:szCs w:val="22"/>
        </w:rPr>
      </w:pPr>
      <w:r w:rsidRPr="00E1413C">
        <w:rPr>
          <w:rFonts w:cs="Arial"/>
          <w:szCs w:val="22"/>
        </w:rPr>
        <w:t>Liabilities</w:t>
      </w:r>
      <w:r w:rsidR="00776D43" w:rsidRPr="00E1413C">
        <w:rPr>
          <w:rFonts w:cs="Arial"/>
          <w:szCs w:val="22"/>
        </w:rPr>
        <w:t xml:space="preserve"> are established for </w:t>
      </w:r>
      <w:r w:rsidR="00A43D7E" w:rsidRPr="00E1413C">
        <w:rPr>
          <w:rFonts w:cs="Arial"/>
          <w:szCs w:val="22"/>
        </w:rPr>
        <w:t>After Service Health Insurance (ASHI) and separation benefits payable (repatriation grants and travel)</w:t>
      </w:r>
      <w:r w:rsidR="00803415" w:rsidRPr="00E1413C">
        <w:rPr>
          <w:rFonts w:cs="Arial"/>
          <w:szCs w:val="22"/>
        </w:rPr>
        <w:t xml:space="preserve"> as determined by an independent actuary on </w:t>
      </w:r>
      <w:r w:rsidR="00776D43" w:rsidRPr="00E1413C">
        <w:rPr>
          <w:rFonts w:cs="Arial"/>
          <w:szCs w:val="22"/>
        </w:rPr>
        <w:t xml:space="preserve">an </w:t>
      </w:r>
      <w:r w:rsidR="00C631B1" w:rsidRPr="00E1413C">
        <w:rPr>
          <w:rFonts w:cs="Arial"/>
          <w:szCs w:val="22"/>
        </w:rPr>
        <w:t>annual basis utili</w:t>
      </w:r>
      <w:r w:rsidR="00803415" w:rsidRPr="00E1413C">
        <w:rPr>
          <w:rFonts w:cs="Arial"/>
          <w:szCs w:val="22"/>
        </w:rPr>
        <w:t xml:space="preserve">zing the projected unit credit methodology of valuation.  </w:t>
      </w:r>
      <w:r w:rsidR="00DB3D0E" w:rsidRPr="00E1413C">
        <w:rPr>
          <w:rFonts w:cs="Arial"/>
          <w:szCs w:val="22"/>
        </w:rPr>
        <w:t>Actuarial g</w:t>
      </w:r>
      <w:r w:rsidR="00FD73D0" w:rsidRPr="00E1413C">
        <w:rPr>
          <w:rFonts w:cs="Arial"/>
          <w:szCs w:val="22"/>
        </w:rPr>
        <w:t>ains and losses are recognized utilizing the corridor approach and amortized over the average years of future service of active staff</w:t>
      </w:r>
      <w:r w:rsidR="00DB3D0E" w:rsidRPr="00E1413C">
        <w:rPr>
          <w:rFonts w:cs="Arial"/>
          <w:szCs w:val="22"/>
        </w:rPr>
        <w:t xml:space="preserve">. </w:t>
      </w:r>
      <w:r w:rsidR="00803415" w:rsidRPr="00E1413C">
        <w:rPr>
          <w:rFonts w:cs="Arial"/>
          <w:szCs w:val="22"/>
        </w:rPr>
        <w:t xml:space="preserve">In addition, </w:t>
      </w:r>
      <w:r w:rsidRPr="00E1413C">
        <w:rPr>
          <w:rFonts w:cs="Arial"/>
          <w:szCs w:val="22"/>
        </w:rPr>
        <w:t>liabilities</w:t>
      </w:r>
      <w:r w:rsidR="00803415" w:rsidRPr="00E1413C">
        <w:rPr>
          <w:rFonts w:cs="Arial"/>
          <w:szCs w:val="22"/>
        </w:rPr>
        <w:t xml:space="preserve"> are established </w:t>
      </w:r>
      <w:r w:rsidR="00A43D7E" w:rsidRPr="00E1413C">
        <w:rPr>
          <w:rFonts w:cs="Arial"/>
          <w:szCs w:val="22"/>
        </w:rPr>
        <w:t>for the value of accumulated leave</w:t>
      </w:r>
      <w:r w:rsidR="007E0000" w:rsidRPr="00E1413C">
        <w:rPr>
          <w:rFonts w:cs="Arial"/>
          <w:szCs w:val="22"/>
        </w:rPr>
        <w:t>, home leave deferred</w:t>
      </w:r>
      <w:r w:rsidR="00A43D7E" w:rsidRPr="00E1413C">
        <w:rPr>
          <w:rFonts w:cs="Arial"/>
          <w:szCs w:val="22"/>
        </w:rPr>
        <w:t xml:space="preserve"> </w:t>
      </w:r>
      <w:r w:rsidR="00803415" w:rsidRPr="00E1413C">
        <w:rPr>
          <w:rFonts w:cs="Arial"/>
          <w:szCs w:val="22"/>
        </w:rPr>
        <w:t xml:space="preserve">and overtime </w:t>
      </w:r>
      <w:r w:rsidR="00A43D7E" w:rsidRPr="00E1413C">
        <w:rPr>
          <w:rFonts w:cs="Arial"/>
          <w:szCs w:val="22"/>
        </w:rPr>
        <w:t xml:space="preserve">earned </w:t>
      </w:r>
      <w:r w:rsidR="007E0000" w:rsidRPr="00E1413C">
        <w:rPr>
          <w:rFonts w:cs="Arial"/>
          <w:szCs w:val="22"/>
        </w:rPr>
        <w:t xml:space="preserve">but unpaid </w:t>
      </w:r>
      <w:r w:rsidR="00A43D7E" w:rsidRPr="00E1413C">
        <w:rPr>
          <w:rFonts w:cs="Arial"/>
          <w:szCs w:val="22"/>
        </w:rPr>
        <w:t xml:space="preserve">at the reporting date </w:t>
      </w:r>
      <w:r w:rsidR="00803415" w:rsidRPr="00E1413C">
        <w:rPr>
          <w:rFonts w:cs="Arial"/>
          <w:szCs w:val="22"/>
        </w:rPr>
        <w:t xml:space="preserve">and </w:t>
      </w:r>
      <w:r w:rsidR="00776D43" w:rsidRPr="00E1413C">
        <w:rPr>
          <w:rFonts w:cs="Arial"/>
          <w:szCs w:val="22"/>
        </w:rPr>
        <w:t xml:space="preserve">for </w:t>
      </w:r>
      <w:r w:rsidR="00A43D7E" w:rsidRPr="00E1413C">
        <w:rPr>
          <w:rFonts w:cs="Arial"/>
          <w:szCs w:val="22"/>
        </w:rPr>
        <w:t>education grants payable at the reporting date that have not been included in current expenditure.</w:t>
      </w:r>
    </w:p>
    <w:p w:rsidR="00562598" w:rsidRPr="00271CA9" w:rsidRDefault="00562598" w:rsidP="004A1F02">
      <w:pPr>
        <w:pStyle w:val="Style3"/>
        <w:spacing w:after="0"/>
        <w:rPr>
          <w:rFonts w:cs="Arial"/>
          <w:szCs w:val="22"/>
        </w:rPr>
      </w:pPr>
    </w:p>
    <w:p w:rsidR="00271CA9" w:rsidRPr="00271CA9" w:rsidRDefault="00271CA9" w:rsidP="00266221">
      <w:pPr>
        <w:autoSpaceDE w:val="0"/>
        <w:autoSpaceDN w:val="0"/>
        <w:adjustRightInd w:val="0"/>
        <w:jc w:val="both"/>
        <w:rPr>
          <w:rFonts w:ascii="Arial" w:hAnsi="Arial" w:cs="Arial"/>
          <w:sz w:val="22"/>
          <w:szCs w:val="22"/>
        </w:rPr>
      </w:pPr>
      <w:r>
        <w:rPr>
          <w:rFonts w:ascii="Arial" w:hAnsi="Arial" w:cs="Arial"/>
          <w:sz w:val="22"/>
          <w:szCs w:val="22"/>
        </w:rPr>
        <w:t>WIPO</w:t>
      </w:r>
      <w:r w:rsidRPr="00271CA9">
        <w:rPr>
          <w:rFonts w:ascii="Arial" w:hAnsi="Arial" w:cs="Arial"/>
          <w:sz w:val="22"/>
          <w:szCs w:val="22"/>
        </w:rPr>
        <w:t xml:space="preserve"> is a member organization participating in the United Nations Joint Staff Pension </w:t>
      </w:r>
      <w:r w:rsidRPr="00271CA9">
        <w:rPr>
          <w:rFonts w:ascii="Arial" w:hAnsi="Arial" w:cs="Arial"/>
          <w:color w:val="000000"/>
          <w:sz w:val="22"/>
          <w:szCs w:val="22"/>
        </w:rPr>
        <w:t xml:space="preserve">Fund (UNJSPF), which was established by the United Nations General Assembly to provide retirement, death, disability and related benefits to employees. The Pension Fund is a funded, multi-employer defined benefit plan. As specified by Article 3(b) of the Regulations of the Fund, membership in the Fund shall be open to the specialized agencies and to any other </w:t>
      </w:r>
      <w:r w:rsidRPr="00271CA9">
        <w:rPr>
          <w:rFonts w:ascii="Arial" w:hAnsi="Arial" w:cs="Arial"/>
          <w:color w:val="000000"/>
          <w:sz w:val="22"/>
          <w:szCs w:val="22"/>
        </w:rPr>
        <w:lastRenderedPageBreak/>
        <w:t xml:space="preserve">international, intergovernmental organization which participates in the common system of salaries, allowances and other conditions of service of the United Nations and the specialized agencies. </w:t>
      </w:r>
    </w:p>
    <w:p w:rsidR="00271CA9" w:rsidRPr="00271CA9" w:rsidRDefault="00271CA9" w:rsidP="00266221">
      <w:pPr>
        <w:autoSpaceDE w:val="0"/>
        <w:autoSpaceDN w:val="0"/>
        <w:adjustRightInd w:val="0"/>
        <w:jc w:val="both"/>
        <w:rPr>
          <w:rFonts w:ascii="Arial" w:hAnsi="Arial" w:cs="Arial"/>
          <w:b/>
          <w:sz w:val="22"/>
          <w:szCs w:val="22"/>
        </w:rPr>
      </w:pPr>
    </w:p>
    <w:p w:rsidR="00271CA9" w:rsidRPr="00271CA9" w:rsidRDefault="00271CA9" w:rsidP="00266221">
      <w:pPr>
        <w:autoSpaceDE w:val="0"/>
        <w:autoSpaceDN w:val="0"/>
        <w:adjustRightInd w:val="0"/>
        <w:jc w:val="both"/>
        <w:rPr>
          <w:rFonts w:ascii="Arial" w:hAnsi="Arial" w:cs="Arial"/>
          <w:sz w:val="22"/>
          <w:szCs w:val="22"/>
        </w:rPr>
      </w:pPr>
      <w:r w:rsidRPr="00271CA9">
        <w:rPr>
          <w:rFonts w:ascii="Arial" w:hAnsi="Arial" w:cs="Arial"/>
          <w:sz w:val="22"/>
          <w:szCs w:val="22"/>
        </w:rPr>
        <w:t xml:space="preserve">The plan exposes participating organizations to actuarial risks associated with the current and former employees of other organizations participating in the Fund, with the result that there is no consistent and reliable basis for allocating the obligation, plan assets, and costs to individual organizations participating in the plan. </w:t>
      </w:r>
      <w:r>
        <w:rPr>
          <w:rFonts w:ascii="Arial" w:hAnsi="Arial" w:cs="Arial"/>
          <w:sz w:val="22"/>
          <w:szCs w:val="22"/>
        </w:rPr>
        <w:t>WIPO</w:t>
      </w:r>
      <w:r w:rsidRPr="00271CA9">
        <w:rPr>
          <w:rFonts w:ascii="Arial" w:hAnsi="Arial" w:cs="Arial"/>
          <w:sz w:val="22"/>
          <w:szCs w:val="22"/>
        </w:rPr>
        <w:t xml:space="preserve"> and the UNJSPF, in line with the other participating organizations in the Fund, are not in a position to identify </w:t>
      </w:r>
      <w:r>
        <w:rPr>
          <w:rFonts w:ascii="Arial" w:hAnsi="Arial" w:cs="Arial"/>
          <w:sz w:val="22"/>
          <w:szCs w:val="22"/>
        </w:rPr>
        <w:t>WIPO</w:t>
      </w:r>
      <w:r w:rsidRPr="00271CA9">
        <w:rPr>
          <w:rFonts w:ascii="Arial" w:hAnsi="Arial" w:cs="Arial"/>
          <w:sz w:val="22"/>
          <w:szCs w:val="22"/>
        </w:rPr>
        <w:t xml:space="preserve">’s proportionate share of the defined benefit obligation, the plan assets and the costs associated with the plan with sufficient reliability for accounting purposes. Hence </w:t>
      </w:r>
      <w:r>
        <w:rPr>
          <w:rFonts w:ascii="Arial" w:hAnsi="Arial" w:cs="Arial"/>
          <w:sz w:val="22"/>
          <w:szCs w:val="22"/>
        </w:rPr>
        <w:t>WIPO</w:t>
      </w:r>
      <w:r w:rsidRPr="00271CA9">
        <w:rPr>
          <w:rFonts w:ascii="Arial" w:hAnsi="Arial" w:cs="Arial"/>
          <w:sz w:val="22"/>
          <w:szCs w:val="22"/>
        </w:rPr>
        <w:t xml:space="preserve"> has treated this plan as if it were a defined contribution plan in line with the requirements of IPSAS 25. </w:t>
      </w:r>
      <w:r>
        <w:rPr>
          <w:rFonts w:ascii="Arial" w:hAnsi="Arial" w:cs="Arial"/>
          <w:sz w:val="22"/>
          <w:szCs w:val="22"/>
        </w:rPr>
        <w:t>WIPO</w:t>
      </w:r>
      <w:r w:rsidRPr="00271CA9">
        <w:rPr>
          <w:rFonts w:ascii="Arial" w:hAnsi="Arial" w:cs="Arial"/>
          <w:sz w:val="22"/>
          <w:szCs w:val="22"/>
        </w:rPr>
        <w:t>’s contributions to the plan during the financial period are recognized as expenses in the statement of financial performance.</w:t>
      </w:r>
    </w:p>
    <w:p w:rsidR="007C6D77" w:rsidRPr="00271CA9" w:rsidRDefault="007C6D77" w:rsidP="007C6D77">
      <w:pPr>
        <w:pStyle w:val="Style3"/>
        <w:spacing w:after="0"/>
        <w:rPr>
          <w:rFonts w:cs="Arial"/>
          <w:szCs w:val="22"/>
        </w:rPr>
      </w:pPr>
    </w:p>
    <w:p w:rsidR="00A22046" w:rsidRPr="00E1413C" w:rsidRDefault="00A22046" w:rsidP="007C6D77">
      <w:pPr>
        <w:pStyle w:val="Style3Bold"/>
        <w:spacing w:after="0"/>
        <w:rPr>
          <w:rFonts w:cs="Arial"/>
          <w:szCs w:val="22"/>
        </w:rPr>
      </w:pPr>
      <w:r w:rsidRPr="00E1413C">
        <w:rPr>
          <w:rFonts w:cs="Arial"/>
          <w:szCs w:val="22"/>
        </w:rPr>
        <w:t xml:space="preserve">Expense </w:t>
      </w:r>
      <w:r w:rsidR="00901633">
        <w:rPr>
          <w:rFonts w:cs="Arial"/>
          <w:szCs w:val="22"/>
        </w:rPr>
        <w:t>R</w:t>
      </w:r>
      <w:r w:rsidRPr="00E1413C">
        <w:rPr>
          <w:rFonts w:cs="Arial"/>
          <w:szCs w:val="22"/>
        </w:rPr>
        <w:t>ecognition</w:t>
      </w:r>
    </w:p>
    <w:p w:rsidR="00A22046" w:rsidRPr="00E1413C" w:rsidRDefault="00A22046" w:rsidP="007C6D77">
      <w:pPr>
        <w:pStyle w:val="Style3"/>
        <w:spacing w:after="0"/>
        <w:rPr>
          <w:rFonts w:cs="Arial"/>
          <w:szCs w:val="22"/>
        </w:rPr>
      </w:pPr>
    </w:p>
    <w:p w:rsidR="00A22046" w:rsidRPr="00E1413C" w:rsidRDefault="00A22046" w:rsidP="007C6D77">
      <w:pPr>
        <w:pStyle w:val="Style3"/>
        <w:spacing w:after="0"/>
        <w:rPr>
          <w:rFonts w:cs="Arial"/>
          <w:szCs w:val="22"/>
        </w:rPr>
      </w:pPr>
      <w:r w:rsidRPr="00E1413C">
        <w:rPr>
          <w:rFonts w:cs="Arial"/>
          <w:szCs w:val="22"/>
        </w:rPr>
        <w:t>Expenses are recognized as goods are received and services delivered.</w:t>
      </w:r>
    </w:p>
    <w:p w:rsidR="00A22046" w:rsidRPr="00E1413C" w:rsidRDefault="00A22046" w:rsidP="007C6D77">
      <w:pPr>
        <w:pStyle w:val="Style3"/>
        <w:spacing w:after="0"/>
        <w:rPr>
          <w:rFonts w:cs="Arial"/>
          <w:szCs w:val="22"/>
        </w:rPr>
      </w:pPr>
    </w:p>
    <w:p w:rsidR="002760C4" w:rsidRPr="00E1413C" w:rsidRDefault="002760C4" w:rsidP="007C6D77">
      <w:pPr>
        <w:pStyle w:val="Style3Bold"/>
        <w:spacing w:after="0"/>
        <w:rPr>
          <w:rFonts w:cs="Arial"/>
          <w:szCs w:val="22"/>
        </w:rPr>
      </w:pPr>
      <w:r w:rsidRPr="00E1413C">
        <w:rPr>
          <w:rFonts w:cs="Arial"/>
          <w:szCs w:val="22"/>
        </w:rPr>
        <w:t>Financial Risks</w:t>
      </w:r>
    </w:p>
    <w:p w:rsidR="002760C4" w:rsidRPr="00E1413C" w:rsidRDefault="002760C4" w:rsidP="007C6D77">
      <w:pPr>
        <w:pStyle w:val="Style3"/>
        <w:spacing w:after="0"/>
        <w:rPr>
          <w:rFonts w:cs="Arial"/>
          <w:szCs w:val="22"/>
        </w:rPr>
      </w:pPr>
    </w:p>
    <w:p w:rsidR="002760C4" w:rsidRPr="00E1413C" w:rsidRDefault="002760C4" w:rsidP="007C6D77">
      <w:pPr>
        <w:pStyle w:val="Style3"/>
        <w:spacing w:after="0"/>
        <w:rPr>
          <w:rFonts w:cs="Arial"/>
          <w:szCs w:val="22"/>
        </w:rPr>
      </w:pPr>
      <w:r w:rsidRPr="00E1413C">
        <w:rPr>
          <w:rFonts w:cs="Arial"/>
          <w:szCs w:val="22"/>
        </w:rPr>
        <w:t xml:space="preserve">The Organization is exposed to </w:t>
      </w:r>
      <w:r w:rsidR="003D5A77" w:rsidRPr="00E1413C">
        <w:rPr>
          <w:rFonts w:cs="Arial"/>
          <w:szCs w:val="22"/>
        </w:rPr>
        <w:t xml:space="preserve">certain </w:t>
      </w:r>
      <w:r w:rsidRPr="00E1413C">
        <w:rPr>
          <w:rFonts w:cs="Arial"/>
          <w:szCs w:val="22"/>
        </w:rPr>
        <w:t>foreign currency exchange</w:t>
      </w:r>
      <w:r w:rsidR="003D5A77" w:rsidRPr="00E1413C">
        <w:rPr>
          <w:rFonts w:cs="Arial"/>
          <w:szCs w:val="22"/>
        </w:rPr>
        <w:t>, credit, interest rate</w:t>
      </w:r>
      <w:r w:rsidRPr="00E1413C">
        <w:rPr>
          <w:rFonts w:cs="Arial"/>
          <w:szCs w:val="22"/>
        </w:rPr>
        <w:t xml:space="preserve"> and liquidity risk</w:t>
      </w:r>
      <w:r w:rsidR="003D5A77" w:rsidRPr="00E1413C">
        <w:rPr>
          <w:rFonts w:cs="Arial"/>
          <w:szCs w:val="22"/>
        </w:rPr>
        <w:t>s</w:t>
      </w:r>
      <w:r w:rsidRPr="00E1413C">
        <w:rPr>
          <w:rFonts w:cs="Arial"/>
          <w:szCs w:val="22"/>
        </w:rPr>
        <w:t>.  The Organization</w:t>
      </w:r>
      <w:r w:rsidR="00E41285" w:rsidRPr="00E1413C">
        <w:rPr>
          <w:rFonts w:cs="Arial"/>
          <w:szCs w:val="22"/>
        </w:rPr>
        <w:t xml:space="preserve"> </w:t>
      </w:r>
      <w:r w:rsidRPr="00E1413C">
        <w:rPr>
          <w:rFonts w:cs="Arial"/>
          <w:szCs w:val="22"/>
        </w:rPr>
        <w:t xml:space="preserve">receives revenue from fees and voluntary contributions </w:t>
      </w:r>
      <w:r w:rsidR="00A22046" w:rsidRPr="00E1413C">
        <w:rPr>
          <w:rFonts w:cs="Arial"/>
          <w:szCs w:val="22"/>
        </w:rPr>
        <w:t xml:space="preserve">in currencies </w:t>
      </w:r>
      <w:r w:rsidRPr="00E1413C">
        <w:rPr>
          <w:rFonts w:cs="Arial"/>
          <w:szCs w:val="22"/>
        </w:rPr>
        <w:t xml:space="preserve">and incurs expenses in currencies other than its functional </w:t>
      </w:r>
      <w:r w:rsidR="00E41285" w:rsidRPr="00E1413C">
        <w:rPr>
          <w:rFonts w:cs="Arial"/>
          <w:szCs w:val="22"/>
        </w:rPr>
        <w:t>currency</w:t>
      </w:r>
      <w:r w:rsidR="00932A4C" w:rsidRPr="00E1413C">
        <w:rPr>
          <w:rFonts w:cs="Arial"/>
          <w:szCs w:val="22"/>
        </w:rPr>
        <w:t>,</w:t>
      </w:r>
      <w:r w:rsidR="00E41285" w:rsidRPr="00E1413C">
        <w:rPr>
          <w:rFonts w:cs="Arial"/>
          <w:szCs w:val="22"/>
        </w:rPr>
        <w:t xml:space="preserve"> </w:t>
      </w:r>
      <w:r w:rsidRPr="00E1413C">
        <w:rPr>
          <w:rFonts w:cs="Arial"/>
          <w:szCs w:val="22"/>
        </w:rPr>
        <w:t xml:space="preserve">the Swiss franc and is exposed to foreign currency exchange risk arising from fluctuations of currency exchange rates.  </w:t>
      </w:r>
    </w:p>
    <w:p w:rsidR="002760C4" w:rsidRPr="00E1413C" w:rsidRDefault="002760C4" w:rsidP="007C6D77">
      <w:pPr>
        <w:pStyle w:val="Style3"/>
        <w:spacing w:after="0"/>
        <w:rPr>
          <w:rFonts w:cs="Arial"/>
          <w:szCs w:val="22"/>
        </w:rPr>
      </w:pPr>
    </w:p>
    <w:p w:rsidR="002760C4" w:rsidRPr="00E1413C" w:rsidRDefault="002760C4" w:rsidP="007C6D77">
      <w:pPr>
        <w:pStyle w:val="Style3"/>
        <w:spacing w:after="0"/>
        <w:rPr>
          <w:rFonts w:cs="Arial"/>
          <w:szCs w:val="22"/>
        </w:rPr>
      </w:pPr>
      <w:r w:rsidRPr="00E1413C">
        <w:rPr>
          <w:rFonts w:cs="Arial"/>
          <w:szCs w:val="22"/>
        </w:rPr>
        <w:t xml:space="preserve">The Organization is also exposed to exchange risk </w:t>
      </w:r>
      <w:r w:rsidR="00E41285" w:rsidRPr="00E1413C">
        <w:rPr>
          <w:rFonts w:cs="Arial"/>
          <w:szCs w:val="22"/>
        </w:rPr>
        <w:t xml:space="preserve">arising from the </w:t>
      </w:r>
      <w:r w:rsidR="00CE10D7" w:rsidRPr="00E1413C">
        <w:rPr>
          <w:rFonts w:cs="Arial"/>
          <w:szCs w:val="22"/>
        </w:rPr>
        <w:t xml:space="preserve">currency </w:t>
      </w:r>
      <w:r w:rsidRPr="00E1413C">
        <w:rPr>
          <w:rFonts w:cs="Arial"/>
          <w:szCs w:val="22"/>
        </w:rPr>
        <w:t>differences between amounts payable to International Searching Authorities</w:t>
      </w:r>
      <w:r w:rsidR="00805F6B">
        <w:rPr>
          <w:rFonts w:cs="Arial"/>
          <w:szCs w:val="22"/>
        </w:rPr>
        <w:t xml:space="preserve"> (ISA)</w:t>
      </w:r>
      <w:r w:rsidRPr="00E1413C">
        <w:rPr>
          <w:rFonts w:cs="Arial"/>
          <w:szCs w:val="22"/>
        </w:rPr>
        <w:t xml:space="preserve"> pursuant to the </w:t>
      </w:r>
      <w:r w:rsidRPr="00E1413C">
        <w:rPr>
          <w:rFonts w:cs="Arial"/>
          <w:i/>
          <w:szCs w:val="22"/>
        </w:rPr>
        <w:t xml:space="preserve">Regulations under the Patent </w:t>
      </w:r>
      <w:r w:rsidR="00776D43" w:rsidRPr="00E1413C">
        <w:rPr>
          <w:rFonts w:cs="Arial"/>
          <w:i/>
          <w:szCs w:val="22"/>
        </w:rPr>
        <w:t>Co</w:t>
      </w:r>
      <w:r w:rsidR="00DE7502">
        <w:rPr>
          <w:rFonts w:cs="Arial"/>
          <w:i/>
          <w:szCs w:val="22"/>
        </w:rPr>
        <w:t>-</w:t>
      </w:r>
      <w:r w:rsidR="00776D43" w:rsidRPr="00E1413C">
        <w:rPr>
          <w:rFonts w:cs="Arial"/>
          <w:i/>
          <w:szCs w:val="22"/>
        </w:rPr>
        <w:t xml:space="preserve">operation </w:t>
      </w:r>
      <w:r w:rsidRPr="00E1413C">
        <w:rPr>
          <w:rFonts w:cs="Arial"/>
          <w:i/>
          <w:szCs w:val="22"/>
        </w:rPr>
        <w:t xml:space="preserve">Treaty </w:t>
      </w:r>
      <w:r w:rsidRPr="00E1413C">
        <w:rPr>
          <w:rFonts w:cs="Arial"/>
          <w:szCs w:val="22"/>
        </w:rPr>
        <w:t>and amounts received by national patent offices for international search fees from applicants for international patents.</w:t>
      </w:r>
    </w:p>
    <w:p w:rsidR="00241252" w:rsidRPr="00E1413C" w:rsidRDefault="00241252" w:rsidP="007C6D77">
      <w:pPr>
        <w:pStyle w:val="Style3"/>
        <w:spacing w:after="0"/>
        <w:rPr>
          <w:rFonts w:cs="Arial"/>
          <w:szCs w:val="22"/>
        </w:rPr>
      </w:pPr>
    </w:p>
    <w:p w:rsidR="009D0481" w:rsidRDefault="002760C4" w:rsidP="007C6D77">
      <w:pPr>
        <w:pStyle w:val="Style3"/>
        <w:spacing w:after="0"/>
        <w:rPr>
          <w:rFonts w:cs="Arial"/>
          <w:szCs w:val="22"/>
        </w:rPr>
      </w:pPr>
      <w:r w:rsidRPr="00E1413C">
        <w:rPr>
          <w:rFonts w:cs="Arial"/>
          <w:szCs w:val="22"/>
        </w:rPr>
        <w:t xml:space="preserve">The Organization has a further exposure to exchange risk in connection with the cost of </w:t>
      </w:r>
      <w:r w:rsidRPr="00E260D4">
        <w:rPr>
          <w:rFonts w:cs="Arial"/>
          <w:szCs w:val="22"/>
        </w:rPr>
        <w:t xml:space="preserve">pensions for staff previously enrolled in the Closed Pension Fund </w:t>
      </w:r>
      <w:r w:rsidR="00DE62BA" w:rsidRPr="00E260D4">
        <w:rPr>
          <w:rFonts w:cs="Arial"/>
          <w:szCs w:val="22"/>
        </w:rPr>
        <w:t>who</w:t>
      </w:r>
      <w:r w:rsidRPr="00E260D4">
        <w:rPr>
          <w:rFonts w:cs="Arial"/>
          <w:szCs w:val="22"/>
        </w:rPr>
        <w:t xml:space="preserve"> are now members of the </w:t>
      </w:r>
      <w:r w:rsidR="002514BA">
        <w:rPr>
          <w:rFonts w:cs="Arial"/>
          <w:szCs w:val="22"/>
        </w:rPr>
        <w:t>UNJSPF</w:t>
      </w:r>
      <w:r w:rsidRPr="00E260D4">
        <w:rPr>
          <w:rFonts w:cs="Arial"/>
          <w:szCs w:val="22"/>
        </w:rPr>
        <w:t>.</w:t>
      </w:r>
      <w:r w:rsidR="00E260D4" w:rsidRPr="00E260D4">
        <w:rPr>
          <w:rFonts w:cs="Arial"/>
          <w:szCs w:val="22"/>
        </w:rPr>
        <w:t xml:space="preserve"> </w:t>
      </w:r>
      <w:r w:rsidRPr="00E260D4">
        <w:rPr>
          <w:rFonts w:cs="Arial"/>
          <w:szCs w:val="22"/>
        </w:rPr>
        <w:t>In addition, the Organization has rep</w:t>
      </w:r>
      <w:r w:rsidR="00A22046" w:rsidRPr="00E260D4">
        <w:rPr>
          <w:rFonts w:cs="Arial"/>
          <w:szCs w:val="22"/>
        </w:rPr>
        <w:t xml:space="preserve">resentation offices in Brazil, </w:t>
      </w:r>
      <w:r w:rsidRPr="00E260D4">
        <w:rPr>
          <w:rFonts w:cs="Arial"/>
          <w:szCs w:val="22"/>
        </w:rPr>
        <w:t>Japan</w:t>
      </w:r>
      <w:r w:rsidR="00A22046" w:rsidRPr="00E260D4">
        <w:rPr>
          <w:rFonts w:cs="Arial"/>
          <w:szCs w:val="22"/>
        </w:rPr>
        <w:t>,</w:t>
      </w:r>
      <w:r w:rsidRPr="00E260D4">
        <w:rPr>
          <w:rFonts w:cs="Arial"/>
          <w:szCs w:val="22"/>
        </w:rPr>
        <w:t xml:space="preserve"> Singapore </w:t>
      </w:r>
      <w:r w:rsidR="00805F6B">
        <w:rPr>
          <w:rFonts w:cs="Arial"/>
          <w:szCs w:val="22"/>
        </w:rPr>
        <w:t>and the United States of America</w:t>
      </w:r>
      <w:r w:rsidR="00A22046" w:rsidRPr="00E260D4">
        <w:rPr>
          <w:rFonts w:cs="Arial"/>
          <w:szCs w:val="22"/>
        </w:rPr>
        <w:t xml:space="preserve"> </w:t>
      </w:r>
      <w:r w:rsidRPr="00E260D4">
        <w:rPr>
          <w:rFonts w:cs="Arial"/>
          <w:szCs w:val="22"/>
        </w:rPr>
        <w:t xml:space="preserve">with limited assets in local currency. </w:t>
      </w:r>
    </w:p>
    <w:p w:rsidR="009D0481" w:rsidRDefault="009D0481" w:rsidP="007C6D77">
      <w:pPr>
        <w:pStyle w:val="Style3"/>
        <w:spacing w:after="0"/>
        <w:rPr>
          <w:rFonts w:cs="Arial"/>
          <w:szCs w:val="22"/>
        </w:rPr>
      </w:pPr>
    </w:p>
    <w:p w:rsidR="002760C4" w:rsidRPr="00E260D4" w:rsidRDefault="009D0481" w:rsidP="007C6D77">
      <w:pPr>
        <w:pStyle w:val="Style3"/>
        <w:spacing w:after="0"/>
        <w:rPr>
          <w:rFonts w:cs="Arial"/>
          <w:szCs w:val="22"/>
        </w:rPr>
      </w:pPr>
      <w:r>
        <w:rPr>
          <w:rFonts w:cs="Arial"/>
          <w:szCs w:val="22"/>
        </w:rPr>
        <w:t>The Organization makes only limited use of financial instruments to hedge exchange risks, specifically for short term investments under which Swiss francs are converted to Euros for a period of up to one month.</w:t>
      </w:r>
      <w:r w:rsidR="002760C4" w:rsidRPr="00E260D4">
        <w:rPr>
          <w:rFonts w:cs="Arial"/>
          <w:szCs w:val="22"/>
        </w:rPr>
        <w:t xml:space="preserve"> </w:t>
      </w:r>
    </w:p>
    <w:p w:rsidR="002760C4" w:rsidRPr="00E260D4" w:rsidRDefault="002760C4" w:rsidP="007C6D77">
      <w:pPr>
        <w:pStyle w:val="Style3Bold"/>
        <w:spacing w:after="0"/>
        <w:rPr>
          <w:rFonts w:cs="Arial"/>
          <w:b w:val="0"/>
          <w:szCs w:val="22"/>
        </w:rPr>
      </w:pPr>
    </w:p>
    <w:p w:rsidR="003D5A77" w:rsidRPr="00E1413C" w:rsidRDefault="003D5A77" w:rsidP="007C6D77">
      <w:pPr>
        <w:pStyle w:val="Style3"/>
        <w:spacing w:after="0"/>
        <w:rPr>
          <w:rFonts w:cs="Arial"/>
          <w:szCs w:val="22"/>
        </w:rPr>
      </w:pPr>
      <w:r w:rsidRPr="00E260D4">
        <w:rPr>
          <w:rFonts w:cs="Arial"/>
          <w:szCs w:val="22"/>
        </w:rPr>
        <w:t>The Organization</w:t>
      </w:r>
      <w:r w:rsidR="000922E1" w:rsidRPr="00E260D4">
        <w:rPr>
          <w:rFonts w:cs="Arial"/>
          <w:szCs w:val="22"/>
        </w:rPr>
        <w:t xml:space="preserve"> does not have significant</w:t>
      </w:r>
      <w:r w:rsidRPr="00E260D4">
        <w:rPr>
          <w:rFonts w:cs="Arial"/>
          <w:szCs w:val="22"/>
        </w:rPr>
        <w:t xml:space="preserve"> exposure to liquidity risk </w:t>
      </w:r>
      <w:r w:rsidR="00686D94" w:rsidRPr="00E260D4">
        <w:rPr>
          <w:rFonts w:cs="Arial"/>
          <w:szCs w:val="22"/>
        </w:rPr>
        <w:t xml:space="preserve">as </w:t>
      </w:r>
      <w:r w:rsidRPr="00E260D4">
        <w:rPr>
          <w:rFonts w:cs="Arial"/>
          <w:szCs w:val="22"/>
        </w:rPr>
        <w:t xml:space="preserve">it </w:t>
      </w:r>
      <w:r w:rsidR="00686D94" w:rsidRPr="00E260D4">
        <w:rPr>
          <w:rFonts w:cs="Arial"/>
          <w:szCs w:val="22"/>
        </w:rPr>
        <w:t>h</w:t>
      </w:r>
      <w:r w:rsidRPr="00E260D4">
        <w:rPr>
          <w:rFonts w:cs="Arial"/>
          <w:szCs w:val="22"/>
        </w:rPr>
        <w:t>as substantial unrestricted</w:t>
      </w:r>
      <w:r w:rsidRPr="00E1413C">
        <w:rPr>
          <w:rFonts w:cs="Arial"/>
          <w:szCs w:val="22"/>
        </w:rPr>
        <w:t xml:space="preserve"> cash resources which are replenished from the results of its operations. </w:t>
      </w:r>
      <w:r w:rsidR="006541F7">
        <w:rPr>
          <w:rFonts w:cs="Arial"/>
          <w:szCs w:val="22"/>
        </w:rPr>
        <w:t xml:space="preserve"> </w:t>
      </w:r>
      <w:r w:rsidRPr="00E1413C">
        <w:rPr>
          <w:rFonts w:cs="Arial"/>
          <w:szCs w:val="22"/>
        </w:rPr>
        <w:t>The Organization’s investment policy has been developed to ensure that its investments are</w:t>
      </w:r>
      <w:r w:rsidR="006541F7">
        <w:rPr>
          <w:rFonts w:cs="Arial"/>
          <w:szCs w:val="22"/>
        </w:rPr>
        <w:t xml:space="preserve"> </w:t>
      </w:r>
      <w:r w:rsidR="008E3D9C" w:rsidRPr="00E1413C">
        <w:rPr>
          <w:rFonts w:cs="Arial"/>
          <w:szCs w:val="22"/>
        </w:rPr>
        <w:t>held</w:t>
      </w:r>
      <w:r w:rsidRPr="00E1413C">
        <w:rPr>
          <w:rFonts w:cs="Arial"/>
          <w:szCs w:val="22"/>
        </w:rPr>
        <w:t xml:space="preserve"> primarily in liquid short-term deposits.  </w:t>
      </w:r>
    </w:p>
    <w:p w:rsidR="003D5A77" w:rsidRPr="00E1413C" w:rsidRDefault="003D5A77" w:rsidP="007C6D77">
      <w:pPr>
        <w:pStyle w:val="Style3"/>
        <w:spacing w:after="0"/>
        <w:rPr>
          <w:rFonts w:cs="Arial"/>
          <w:szCs w:val="22"/>
        </w:rPr>
      </w:pPr>
    </w:p>
    <w:p w:rsidR="003D5A77" w:rsidRPr="00E1413C" w:rsidRDefault="003D5A77" w:rsidP="007C6D77">
      <w:pPr>
        <w:pStyle w:val="Style3"/>
        <w:spacing w:after="0"/>
        <w:rPr>
          <w:rFonts w:cs="Arial"/>
          <w:szCs w:val="22"/>
        </w:rPr>
      </w:pPr>
      <w:r w:rsidRPr="00E1413C">
        <w:rPr>
          <w:rFonts w:cs="Arial"/>
          <w:szCs w:val="22"/>
        </w:rPr>
        <w:t xml:space="preserve">The Organization is to a limited extent exposed to the risk of falling interest rates, since </w:t>
      </w:r>
      <w:r w:rsidR="00501AE8" w:rsidRPr="00E1413C">
        <w:rPr>
          <w:rFonts w:cs="Arial"/>
          <w:szCs w:val="22"/>
        </w:rPr>
        <w:t xml:space="preserve">only </w:t>
      </w:r>
      <w:r w:rsidR="00805F6B">
        <w:rPr>
          <w:rFonts w:cs="Arial"/>
          <w:szCs w:val="22"/>
        </w:rPr>
        <w:t>1.26 </w:t>
      </w:r>
      <w:r w:rsidR="004D413D">
        <w:rPr>
          <w:rFonts w:cs="Arial"/>
          <w:szCs w:val="22"/>
        </w:rPr>
        <w:t>per cent</w:t>
      </w:r>
      <w:r w:rsidRPr="00E1413C">
        <w:rPr>
          <w:rFonts w:cs="Arial"/>
          <w:szCs w:val="22"/>
        </w:rPr>
        <w:t xml:space="preserve"> of its operating budget is financed from revenue derived from investment income.  The Organization does not use financial instruments to hedge interest rate risk. </w:t>
      </w:r>
    </w:p>
    <w:p w:rsidR="003D5A77" w:rsidRPr="00E1413C" w:rsidRDefault="003D5A77" w:rsidP="007C6D77">
      <w:pPr>
        <w:pStyle w:val="Style3"/>
        <w:spacing w:after="0"/>
        <w:rPr>
          <w:rFonts w:cs="Arial"/>
          <w:szCs w:val="22"/>
        </w:rPr>
      </w:pPr>
    </w:p>
    <w:p w:rsidR="00A37730" w:rsidRPr="00E1413C" w:rsidRDefault="003D5A77" w:rsidP="007C6D77">
      <w:pPr>
        <w:pStyle w:val="Style3"/>
        <w:spacing w:after="0"/>
        <w:rPr>
          <w:rFonts w:cs="Arial"/>
          <w:szCs w:val="22"/>
        </w:rPr>
      </w:pPr>
      <w:r w:rsidRPr="00E1413C">
        <w:rPr>
          <w:rFonts w:cs="Arial"/>
          <w:szCs w:val="22"/>
        </w:rPr>
        <w:t>The Organization’s accounts receivable are almost exclusively from its Member States representing sovereign governments</w:t>
      </w:r>
      <w:r w:rsidR="00C766FD" w:rsidRPr="00E1413C">
        <w:rPr>
          <w:rFonts w:cs="Arial"/>
          <w:szCs w:val="22"/>
        </w:rPr>
        <w:t>, and therefore risks related to credit are</w:t>
      </w:r>
      <w:r w:rsidR="00584861" w:rsidRPr="00E1413C">
        <w:rPr>
          <w:rFonts w:cs="Arial"/>
          <w:szCs w:val="22"/>
        </w:rPr>
        <w:t xml:space="preserve"> considered</w:t>
      </w:r>
      <w:r w:rsidR="00C766FD" w:rsidRPr="00E1413C">
        <w:rPr>
          <w:rFonts w:cs="Arial"/>
          <w:szCs w:val="22"/>
        </w:rPr>
        <w:t xml:space="preserve"> minor.  </w:t>
      </w:r>
      <w:r w:rsidR="004E0CE7" w:rsidRPr="00E1413C">
        <w:rPr>
          <w:rFonts w:cs="Arial"/>
          <w:szCs w:val="22"/>
        </w:rPr>
        <w:t>Investments</w:t>
      </w:r>
      <w:r w:rsidR="00501AE8" w:rsidRPr="00E1413C">
        <w:rPr>
          <w:rFonts w:cs="Arial"/>
          <w:szCs w:val="22"/>
        </w:rPr>
        <w:t xml:space="preserve"> are held in banks with sovereign risk or with credit ratings of A</w:t>
      </w:r>
      <w:r w:rsidR="00901A9A" w:rsidRPr="00E1413C">
        <w:rPr>
          <w:rFonts w:cs="Arial"/>
          <w:szCs w:val="22"/>
        </w:rPr>
        <w:t>A-</w:t>
      </w:r>
      <w:r w:rsidR="00501AE8" w:rsidRPr="00E1413C">
        <w:rPr>
          <w:rFonts w:cs="Arial"/>
          <w:szCs w:val="22"/>
        </w:rPr>
        <w:t xml:space="preserve"> or higher.</w:t>
      </w:r>
      <w:r w:rsidR="00584861" w:rsidRPr="00E1413C">
        <w:rPr>
          <w:rFonts w:cs="Arial"/>
          <w:szCs w:val="22"/>
        </w:rPr>
        <w:t xml:space="preserve"> A</w:t>
      </w:r>
      <w:r w:rsidR="004E0CE7" w:rsidRPr="00E1413C">
        <w:rPr>
          <w:rFonts w:cs="Arial"/>
          <w:szCs w:val="22"/>
        </w:rPr>
        <w:t>n</w:t>
      </w:r>
      <w:r w:rsidR="00584861" w:rsidRPr="00E1413C">
        <w:rPr>
          <w:rFonts w:cs="Arial"/>
          <w:szCs w:val="22"/>
        </w:rPr>
        <w:t xml:space="preserve"> </w:t>
      </w:r>
      <w:r w:rsidR="004E0CE7" w:rsidRPr="00E1413C">
        <w:rPr>
          <w:rFonts w:cs="Arial"/>
          <w:szCs w:val="22"/>
        </w:rPr>
        <w:t>allowance</w:t>
      </w:r>
      <w:r w:rsidR="00584861" w:rsidRPr="00E1413C">
        <w:rPr>
          <w:rFonts w:cs="Arial"/>
          <w:szCs w:val="22"/>
        </w:rPr>
        <w:t xml:space="preserve"> has been </w:t>
      </w:r>
      <w:r w:rsidR="004E0CE7" w:rsidRPr="00E1413C">
        <w:rPr>
          <w:rFonts w:cs="Arial"/>
          <w:szCs w:val="22"/>
        </w:rPr>
        <w:t>established</w:t>
      </w:r>
      <w:r w:rsidR="00584861" w:rsidRPr="00E1413C">
        <w:rPr>
          <w:rFonts w:cs="Arial"/>
          <w:szCs w:val="22"/>
        </w:rPr>
        <w:t xml:space="preserve"> against t</w:t>
      </w:r>
      <w:r w:rsidR="00C766FD" w:rsidRPr="00E1413C">
        <w:rPr>
          <w:rFonts w:cs="Arial"/>
          <w:szCs w:val="22"/>
        </w:rPr>
        <w:t>he asset value of accounts receivable to reflect receivables for which payment is not anticipated in the short-term.</w:t>
      </w:r>
      <w:r w:rsidRPr="00E1413C">
        <w:rPr>
          <w:rFonts w:cs="Arial"/>
          <w:szCs w:val="22"/>
        </w:rPr>
        <w:t xml:space="preserve"> </w:t>
      </w:r>
    </w:p>
    <w:p w:rsidR="003401A4" w:rsidRPr="00E1413C" w:rsidRDefault="003401A4" w:rsidP="007C6D77">
      <w:pPr>
        <w:pStyle w:val="Style3"/>
        <w:spacing w:after="0"/>
        <w:rPr>
          <w:rFonts w:cs="Arial"/>
          <w:szCs w:val="22"/>
        </w:rPr>
      </w:pPr>
    </w:p>
    <w:p w:rsidR="00E8347F" w:rsidRPr="00E1413C" w:rsidRDefault="00E8347F" w:rsidP="007C6D77">
      <w:pPr>
        <w:pStyle w:val="Style3Bold"/>
        <w:spacing w:after="0"/>
        <w:rPr>
          <w:rFonts w:cs="Arial"/>
          <w:szCs w:val="22"/>
        </w:rPr>
      </w:pPr>
      <w:r w:rsidRPr="00E1413C">
        <w:rPr>
          <w:rFonts w:cs="Arial"/>
          <w:szCs w:val="22"/>
        </w:rPr>
        <w:t xml:space="preserve">Foreign </w:t>
      </w:r>
      <w:r w:rsidR="00901633">
        <w:rPr>
          <w:rFonts w:cs="Arial"/>
          <w:szCs w:val="22"/>
        </w:rPr>
        <w:t>C</w:t>
      </w:r>
      <w:r w:rsidRPr="00E1413C">
        <w:rPr>
          <w:rFonts w:cs="Arial"/>
          <w:szCs w:val="22"/>
        </w:rPr>
        <w:t xml:space="preserve">urrency </w:t>
      </w:r>
      <w:r w:rsidR="00901633">
        <w:rPr>
          <w:rFonts w:cs="Arial"/>
          <w:szCs w:val="22"/>
        </w:rPr>
        <w:t>T</w:t>
      </w:r>
      <w:r w:rsidRPr="00E1413C">
        <w:rPr>
          <w:rFonts w:cs="Arial"/>
          <w:szCs w:val="22"/>
        </w:rPr>
        <w:t>ransactions</w:t>
      </w:r>
    </w:p>
    <w:p w:rsidR="00E8347F" w:rsidRPr="00E1413C" w:rsidRDefault="00E8347F" w:rsidP="007C6D77">
      <w:pPr>
        <w:pStyle w:val="Style3"/>
        <w:spacing w:after="0"/>
        <w:rPr>
          <w:rFonts w:cs="Arial"/>
          <w:szCs w:val="22"/>
        </w:rPr>
      </w:pPr>
    </w:p>
    <w:p w:rsidR="00E8347F" w:rsidRPr="00E1413C" w:rsidRDefault="00E8347F" w:rsidP="007C6D77">
      <w:pPr>
        <w:pStyle w:val="Style3"/>
        <w:spacing w:after="0"/>
        <w:rPr>
          <w:rFonts w:cs="Arial"/>
          <w:szCs w:val="22"/>
        </w:rPr>
      </w:pPr>
      <w:r w:rsidRPr="00E1413C">
        <w:rPr>
          <w:rFonts w:cs="Arial"/>
          <w:szCs w:val="22"/>
        </w:rPr>
        <w:t xml:space="preserve">The functional currency of WIPO is the Swiss franc and these financial statements are presented in that currency.  All transactions occurring in other currencies are translated into </w:t>
      </w:r>
      <w:r w:rsidR="00D920B3" w:rsidRPr="00E1413C">
        <w:rPr>
          <w:rFonts w:cs="Arial"/>
          <w:szCs w:val="22"/>
        </w:rPr>
        <w:t>Swiss francs</w:t>
      </w:r>
      <w:r w:rsidRPr="00E1413C">
        <w:rPr>
          <w:rFonts w:cs="Arial"/>
          <w:szCs w:val="22"/>
        </w:rPr>
        <w:t xml:space="preserve"> using </w:t>
      </w:r>
      <w:r w:rsidR="008F6234" w:rsidRPr="00E1413C">
        <w:rPr>
          <w:rFonts w:cs="Arial"/>
          <w:szCs w:val="22"/>
        </w:rPr>
        <w:t xml:space="preserve">the UN </w:t>
      </w:r>
      <w:r w:rsidRPr="00E1413C">
        <w:rPr>
          <w:rFonts w:cs="Arial"/>
          <w:szCs w:val="22"/>
        </w:rPr>
        <w:t xml:space="preserve">exchange rates </w:t>
      </w:r>
      <w:r w:rsidR="008F6234" w:rsidRPr="00E1413C">
        <w:rPr>
          <w:rFonts w:cs="Arial"/>
          <w:szCs w:val="22"/>
        </w:rPr>
        <w:t xml:space="preserve">which represent those </w:t>
      </w:r>
      <w:r w:rsidRPr="00E1413C">
        <w:rPr>
          <w:rFonts w:cs="Arial"/>
          <w:szCs w:val="22"/>
        </w:rPr>
        <w:t>prevailing at the date of the transactions.  Both realized and unrealized gains and losses resulting from the settlement of such transactions and from the translation at the reporting date of assets and liabilities denominated in currencies other than WIPO’s functional currency are recognized in the Statement of Financial Performance.</w:t>
      </w:r>
    </w:p>
    <w:p w:rsidR="00584861" w:rsidRPr="00E1413C" w:rsidRDefault="00584861" w:rsidP="007C6D77">
      <w:pPr>
        <w:pStyle w:val="Style3"/>
        <w:spacing w:after="0"/>
        <w:rPr>
          <w:rFonts w:cs="Arial"/>
          <w:szCs w:val="22"/>
        </w:rPr>
      </w:pPr>
    </w:p>
    <w:p w:rsidR="0028170E" w:rsidRPr="00E1413C" w:rsidRDefault="00BB2205" w:rsidP="007C6D77">
      <w:pPr>
        <w:pStyle w:val="Style3Bold"/>
        <w:spacing w:after="0"/>
        <w:rPr>
          <w:rFonts w:cs="Arial"/>
          <w:szCs w:val="22"/>
        </w:rPr>
      </w:pPr>
      <w:r w:rsidRPr="00E1413C">
        <w:rPr>
          <w:rFonts w:cs="Arial"/>
          <w:szCs w:val="22"/>
        </w:rPr>
        <w:t xml:space="preserve">Fixed </w:t>
      </w:r>
      <w:r w:rsidR="00901633">
        <w:rPr>
          <w:rFonts w:cs="Arial"/>
          <w:szCs w:val="22"/>
        </w:rPr>
        <w:t>A</w:t>
      </w:r>
      <w:r w:rsidRPr="00E1413C">
        <w:rPr>
          <w:rFonts w:cs="Arial"/>
          <w:szCs w:val="22"/>
        </w:rPr>
        <w:t>ssets</w:t>
      </w:r>
    </w:p>
    <w:p w:rsidR="007C6D77" w:rsidRPr="00E260D4" w:rsidRDefault="007C6D77" w:rsidP="007C6D77">
      <w:pPr>
        <w:pStyle w:val="Style3Bold"/>
        <w:spacing w:after="0"/>
        <w:rPr>
          <w:rFonts w:cs="Arial"/>
          <w:b w:val="0"/>
          <w:szCs w:val="22"/>
        </w:rPr>
      </w:pPr>
    </w:p>
    <w:p w:rsidR="001234DA" w:rsidRPr="00E1413C" w:rsidRDefault="001234DA" w:rsidP="007C6D77">
      <w:pPr>
        <w:pStyle w:val="Style3"/>
        <w:spacing w:after="0"/>
        <w:rPr>
          <w:rFonts w:cs="Arial"/>
          <w:szCs w:val="22"/>
        </w:rPr>
      </w:pPr>
      <w:r w:rsidRPr="00E260D4">
        <w:rPr>
          <w:rFonts w:cs="Arial"/>
          <w:szCs w:val="22"/>
        </w:rPr>
        <w:t>E</w:t>
      </w:r>
      <w:r w:rsidR="00BB2205" w:rsidRPr="00E260D4">
        <w:rPr>
          <w:rFonts w:cs="Arial"/>
          <w:szCs w:val="22"/>
        </w:rPr>
        <w:t xml:space="preserve">quipment </w:t>
      </w:r>
      <w:r w:rsidRPr="00E260D4">
        <w:rPr>
          <w:rFonts w:cs="Arial"/>
          <w:szCs w:val="22"/>
        </w:rPr>
        <w:t>is valued</w:t>
      </w:r>
      <w:r w:rsidR="00BB2205" w:rsidRPr="00E260D4">
        <w:rPr>
          <w:rFonts w:cs="Arial"/>
          <w:szCs w:val="22"/>
        </w:rPr>
        <w:t xml:space="preserve"> at cost less accumulated depreciation and impairment.</w:t>
      </w:r>
      <w:r w:rsidR="00485D9F">
        <w:rPr>
          <w:rFonts w:cs="Arial"/>
          <w:szCs w:val="22"/>
        </w:rPr>
        <w:t xml:space="preserve"> </w:t>
      </w:r>
      <w:r w:rsidR="00E05FB0">
        <w:rPr>
          <w:rFonts w:cs="Arial"/>
          <w:szCs w:val="22"/>
        </w:rPr>
        <w:t xml:space="preserve">Equipment is recognized as an asset if it has a cost of 5,000 Swiss francs or more per unit. </w:t>
      </w:r>
      <w:r w:rsidR="00F91721" w:rsidRPr="00E260D4">
        <w:rPr>
          <w:rFonts w:cs="Arial"/>
          <w:szCs w:val="22"/>
        </w:rPr>
        <w:t>Land and investment</w:t>
      </w:r>
      <w:r w:rsidR="00F91721" w:rsidRPr="00E1413C">
        <w:rPr>
          <w:rFonts w:cs="Arial"/>
          <w:szCs w:val="22"/>
        </w:rPr>
        <w:t xml:space="preserve"> property are shown at fair value as determined by an independent valuation in accordance with International Valuation Standards. </w:t>
      </w:r>
      <w:r w:rsidRPr="00E1413C">
        <w:rPr>
          <w:rFonts w:cs="Arial"/>
          <w:szCs w:val="22"/>
        </w:rPr>
        <w:t xml:space="preserve">Occupied buildings are valued at </w:t>
      </w:r>
      <w:r w:rsidR="00EC0199" w:rsidRPr="00E1413C">
        <w:rPr>
          <w:rFonts w:cs="Arial"/>
          <w:szCs w:val="22"/>
        </w:rPr>
        <w:t xml:space="preserve">the </w:t>
      </w:r>
      <w:r w:rsidRPr="00E1413C">
        <w:rPr>
          <w:rFonts w:cs="Arial"/>
          <w:szCs w:val="22"/>
        </w:rPr>
        <w:t xml:space="preserve">cost </w:t>
      </w:r>
      <w:r w:rsidR="00EC0199" w:rsidRPr="00E1413C">
        <w:rPr>
          <w:rFonts w:cs="Arial"/>
          <w:szCs w:val="22"/>
        </w:rPr>
        <w:t xml:space="preserve">of </w:t>
      </w:r>
      <w:r w:rsidR="00CF32FA" w:rsidRPr="00E1413C">
        <w:rPr>
          <w:rFonts w:cs="Arial"/>
          <w:szCs w:val="22"/>
        </w:rPr>
        <w:t xml:space="preserve">construction when new plus </w:t>
      </w:r>
      <w:r w:rsidR="00EC0199" w:rsidRPr="00E1413C">
        <w:rPr>
          <w:rFonts w:cs="Arial"/>
          <w:szCs w:val="22"/>
        </w:rPr>
        <w:t xml:space="preserve">the cost of </w:t>
      </w:r>
      <w:r w:rsidR="00CF32FA" w:rsidRPr="00E1413C">
        <w:rPr>
          <w:rFonts w:cs="Arial"/>
          <w:szCs w:val="22"/>
        </w:rPr>
        <w:t>subsequent improvements</w:t>
      </w:r>
      <w:r w:rsidR="00EC0199" w:rsidRPr="00E1413C">
        <w:rPr>
          <w:rFonts w:cs="Arial"/>
          <w:szCs w:val="22"/>
        </w:rPr>
        <w:t>,</w:t>
      </w:r>
      <w:r w:rsidR="00CF32FA" w:rsidRPr="00E1413C">
        <w:rPr>
          <w:rFonts w:cs="Arial"/>
          <w:szCs w:val="22"/>
        </w:rPr>
        <w:t xml:space="preserve"> </w:t>
      </w:r>
      <w:r w:rsidRPr="00E1413C">
        <w:rPr>
          <w:rFonts w:cs="Arial"/>
          <w:szCs w:val="22"/>
        </w:rPr>
        <w:t xml:space="preserve">as </w:t>
      </w:r>
      <w:r w:rsidR="00CF32FA" w:rsidRPr="00E1413C">
        <w:rPr>
          <w:rFonts w:cs="Arial"/>
          <w:szCs w:val="22"/>
        </w:rPr>
        <w:t>determined</w:t>
      </w:r>
      <w:r w:rsidRPr="00E1413C">
        <w:rPr>
          <w:rFonts w:cs="Arial"/>
          <w:szCs w:val="22"/>
        </w:rPr>
        <w:t xml:space="preserve"> by an independent expert, less accumulated depreciation. </w:t>
      </w:r>
      <w:r w:rsidR="00E260D4">
        <w:rPr>
          <w:rFonts w:cs="Arial"/>
          <w:szCs w:val="22"/>
        </w:rPr>
        <w:t>For the initial recognition of buildings occupied at</w:t>
      </w:r>
      <w:r w:rsidR="00360417">
        <w:rPr>
          <w:rFonts w:cs="Arial"/>
          <w:szCs w:val="22"/>
        </w:rPr>
        <w:t xml:space="preserve"> January 1, 2010,</w:t>
      </w:r>
      <w:r w:rsidR="00E260D4">
        <w:rPr>
          <w:rFonts w:cs="Arial"/>
          <w:szCs w:val="22"/>
        </w:rPr>
        <w:t xml:space="preserve"> the date of transition to IPSAS, t</w:t>
      </w:r>
      <w:r w:rsidR="00282461" w:rsidRPr="00E1413C">
        <w:rPr>
          <w:rFonts w:cs="Arial"/>
          <w:szCs w:val="22"/>
        </w:rPr>
        <w:t xml:space="preserve">he value when new </w:t>
      </w:r>
      <w:r w:rsidR="00EC0199" w:rsidRPr="00E1413C">
        <w:rPr>
          <w:rFonts w:cs="Arial"/>
          <w:szCs w:val="22"/>
        </w:rPr>
        <w:t>i</w:t>
      </w:r>
      <w:r w:rsidR="00282461" w:rsidRPr="00E1413C">
        <w:rPr>
          <w:rFonts w:cs="Arial"/>
          <w:szCs w:val="22"/>
        </w:rPr>
        <w:t xml:space="preserve">s determined </w:t>
      </w:r>
      <w:r w:rsidR="003350B7" w:rsidRPr="00E1413C">
        <w:rPr>
          <w:rFonts w:cs="Arial"/>
          <w:szCs w:val="22"/>
        </w:rPr>
        <w:t>by reference</w:t>
      </w:r>
      <w:r w:rsidR="00E35D4A" w:rsidRPr="00E1413C">
        <w:rPr>
          <w:rFonts w:cs="Arial"/>
          <w:szCs w:val="22"/>
        </w:rPr>
        <w:t xml:space="preserve"> to a deemed cost calculated by an external consultant and representing the value of each component at construction plus improvements existing at the initial recognition, less accumulated depreciation based upon the remaining useful life of each component</w:t>
      </w:r>
      <w:r w:rsidR="00282461" w:rsidRPr="00E1413C">
        <w:rPr>
          <w:rFonts w:cs="Arial"/>
          <w:szCs w:val="22"/>
        </w:rPr>
        <w:t xml:space="preserve">. </w:t>
      </w:r>
      <w:r w:rsidRPr="00E1413C">
        <w:rPr>
          <w:rFonts w:cs="Arial"/>
          <w:szCs w:val="22"/>
        </w:rPr>
        <w:t xml:space="preserve">Subsequent </w:t>
      </w:r>
      <w:r w:rsidR="00282461" w:rsidRPr="00E1413C">
        <w:rPr>
          <w:rFonts w:cs="Arial"/>
          <w:szCs w:val="22"/>
        </w:rPr>
        <w:t xml:space="preserve">costs of </w:t>
      </w:r>
      <w:r w:rsidRPr="00E1413C">
        <w:rPr>
          <w:rFonts w:cs="Arial"/>
          <w:szCs w:val="22"/>
        </w:rPr>
        <w:t xml:space="preserve">major renovations and improvements to fixed assets that increase or extend the future economic benefits or service </w:t>
      </w:r>
      <w:r w:rsidR="00282461" w:rsidRPr="00E1413C">
        <w:rPr>
          <w:rFonts w:cs="Arial"/>
          <w:szCs w:val="22"/>
        </w:rPr>
        <w:t xml:space="preserve">potential </w:t>
      </w:r>
      <w:r w:rsidRPr="00E1413C">
        <w:rPr>
          <w:rFonts w:cs="Arial"/>
          <w:szCs w:val="22"/>
        </w:rPr>
        <w:t>are valued a</w:t>
      </w:r>
      <w:r w:rsidR="00282461" w:rsidRPr="00E1413C">
        <w:rPr>
          <w:rFonts w:cs="Arial"/>
          <w:szCs w:val="22"/>
        </w:rPr>
        <w:t>t</w:t>
      </w:r>
      <w:r w:rsidRPr="00E1413C">
        <w:rPr>
          <w:rFonts w:cs="Arial"/>
          <w:szCs w:val="22"/>
        </w:rPr>
        <w:t xml:space="preserve"> cost. </w:t>
      </w:r>
      <w:r w:rsidR="00BB2205" w:rsidRPr="00E1413C">
        <w:rPr>
          <w:rFonts w:cs="Arial"/>
          <w:szCs w:val="22"/>
        </w:rPr>
        <w:t>Gains and losses on disposal are determined by comparing the proceeds with the carrying amount of the asset</w:t>
      </w:r>
      <w:r w:rsidR="00C12637" w:rsidRPr="00E1413C">
        <w:rPr>
          <w:rFonts w:cs="Arial"/>
          <w:szCs w:val="22"/>
        </w:rPr>
        <w:t xml:space="preserve"> and are</w:t>
      </w:r>
      <w:r w:rsidR="00BB2205" w:rsidRPr="00E1413C">
        <w:rPr>
          <w:rFonts w:cs="Arial"/>
          <w:szCs w:val="22"/>
        </w:rPr>
        <w:t xml:space="preserve"> included in the Statem</w:t>
      </w:r>
      <w:r w:rsidR="007C6D77" w:rsidRPr="00E1413C">
        <w:rPr>
          <w:rFonts w:cs="Arial"/>
          <w:szCs w:val="22"/>
        </w:rPr>
        <w:t xml:space="preserve">ent of Financial Performance. </w:t>
      </w:r>
      <w:r w:rsidR="001D2360" w:rsidRPr="00E1413C">
        <w:rPr>
          <w:rFonts w:cs="Arial"/>
          <w:szCs w:val="22"/>
        </w:rPr>
        <w:t>Heritage assets including donated works of art are not valued in the financial statements.</w:t>
      </w:r>
    </w:p>
    <w:p w:rsidR="00572323" w:rsidRPr="00E1413C" w:rsidRDefault="00572323" w:rsidP="007C6D77">
      <w:pPr>
        <w:pStyle w:val="Style3"/>
        <w:spacing w:after="0"/>
        <w:rPr>
          <w:rFonts w:cs="Arial"/>
          <w:szCs w:val="22"/>
        </w:rPr>
      </w:pPr>
    </w:p>
    <w:p w:rsidR="00E5032E" w:rsidRPr="00E1413C" w:rsidRDefault="00BB2205" w:rsidP="00D602C9">
      <w:pPr>
        <w:pStyle w:val="Style3"/>
        <w:spacing w:after="0"/>
        <w:rPr>
          <w:rFonts w:cs="Arial"/>
          <w:szCs w:val="22"/>
        </w:rPr>
      </w:pPr>
      <w:r w:rsidRPr="00E1413C">
        <w:rPr>
          <w:rFonts w:cs="Arial"/>
          <w:szCs w:val="22"/>
        </w:rPr>
        <w:t>Depreciation is charged so as to write off the full cost of fixed assets, other than land and properties under construction, over their estimated useful li</w:t>
      </w:r>
      <w:r w:rsidR="00EC0199" w:rsidRPr="00E1413C">
        <w:rPr>
          <w:rFonts w:cs="Arial"/>
          <w:szCs w:val="22"/>
        </w:rPr>
        <w:t>ves</w:t>
      </w:r>
      <w:r w:rsidRPr="00E1413C">
        <w:rPr>
          <w:rFonts w:cs="Arial"/>
          <w:szCs w:val="22"/>
        </w:rPr>
        <w:t xml:space="preserve"> using the straight-l</w:t>
      </w:r>
      <w:r w:rsidR="00C766FD" w:rsidRPr="00E1413C">
        <w:rPr>
          <w:rFonts w:cs="Arial"/>
          <w:szCs w:val="22"/>
        </w:rPr>
        <w:t>ine method</w:t>
      </w:r>
      <w:r w:rsidR="00D602C9">
        <w:rPr>
          <w:rFonts w:cs="Arial"/>
          <w:szCs w:val="22"/>
        </w:rPr>
        <w:t xml:space="preserve">. </w:t>
      </w:r>
      <w:r w:rsidR="00D602C9" w:rsidRPr="00D602C9">
        <w:rPr>
          <w:szCs w:val="22"/>
        </w:rPr>
        <w:t>Where fixed assets are only in use for part of the year (due to acquisition, disposal or retirement during the year), depreciation is charged only for the months during which the asset was in use.</w:t>
      </w:r>
      <w:r w:rsidR="00D602C9">
        <w:rPr>
          <w:szCs w:val="22"/>
        </w:rPr>
        <w:t xml:space="preserve"> </w:t>
      </w:r>
      <w:r w:rsidR="00C766FD" w:rsidRPr="00E1413C">
        <w:rPr>
          <w:rFonts w:cs="Arial"/>
          <w:szCs w:val="22"/>
        </w:rPr>
        <w:t xml:space="preserve"> </w:t>
      </w:r>
      <w:r w:rsidR="00D602C9">
        <w:rPr>
          <w:rFonts w:cs="Arial"/>
          <w:szCs w:val="22"/>
        </w:rPr>
        <w:t>The following useful lives are applied to the different classes of fixed assets</w:t>
      </w:r>
      <w:r w:rsidRPr="00E1413C">
        <w:rPr>
          <w:rFonts w:cs="Arial"/>
          <w:szCs w:val="22"/>
        </w:rPr>
        <w:t>:</w:t>
      </w:r>
    </w:p>
    <w:p w:rsidR="007C6D77" w:rsidRPr="00E1413C" w:rsidRDefault="007C6D77" w:rsidP="007C6D77">
      <w:pPr>
        <w:pStyle w:val="Style3"/>
        <w:spacing w:after="0"/>
        <w:rPr>
          <w:rFonts w:cs="Arial"/>
          <w:szCs w:val="22"/>
        </w:rPr>
      </w:pPr>
    </w:p>
    <w:tbl>
      <w:tblPr>
        <w:tblW w:w="7710" w:type="dxa"/>
        <w:jc w:val="center"/>
        <w:tblLook w:val="0000" w:firstRow="0" w:lastRow="0" w:firstColumn="0" w:lastColumn="0" w:noHBand="0" w:noVBand="0"/>
      </w:tblPr>
      <w:tblGrid>
        <w:gridCol w:w="3109"/>
        <w:gridCol w:w="2520"/>
        <w:gridCol w:w="2081"/>
      </w:tblGrid>
      <w:tr w:rsidR="00B47991" w:rsidRPr="006B05EE" w:rsidTr="00E4244B">
        <w:trPr>
          <w:trHeight w:val="345"/>
          <w:jc w:val="center"/>
        </w:trPr>
        <w:tc>
          <w:tcPr>
            <w:tcW w:w="3109" w:type="dxa"/>
            <w:tcBorders>
              <w:top w:val="single" w:sz="4" w:space="0" w:color="auto"/>
              <w:left w:val="nil"/>
              <w:bottom w:val="single" w:sz="4" w:space="0" w:color="auto"/>
              <w:right w:val="nil"/>
            </w:tcBorders>
            <w:shd w:val="clear" w:color="auto" w:fill="auto"/>
            <w:noWrap/>
            <w:vAlign w:val="center"/>
          </w:tcPr>
          <w:p w:rsidR="00B47991" w:rsidRPr="00E260D4" w:rsidRDefault="00B47991" w:rsidP="00E260D4">
            <w:pPr>
              <w:jc w:val="center"/>
              <w:rPr>
                <w:rFonts w:ascii="Arial" w:hAnsi="Arial" w:cs="Arial"/>
                <w:b/>
                <w:sz w:val="18"/>
                <w:szCs w:val="18"/>
              </w:rPr>
            </w:pPr>
            <w:r w:rsidRPr="00E260D4">
              <w:rPr>
                <w:rFonts w:ascii="Arial" w:hAnsi="Arial" w:cs="Arial"/>
                <w:b/>
                <w:sz w:val="18"/>
                <w:szCs w:val="18"/>
              </w:rPr>
              <w:t>Class</w:t>
            </w:r>
          </w:p>
        </w:tc>
        <w:tc>
          <w:tcPr>
            <w:tcW w:w="2520" w:type="dxa"/>
            <w:tcBorders>
              <w:top w:val="single" w:sz="4" w:space="0" w:color="auto"/>
              <w:left w:val="nil"/>
              <w:bottom w:val="single" w:sz="4" w:space="0" w:color="auto"/>
              <w:right w:val="nil"/>
            </w:tcBorders>
            <w:shd w:val="clear" w:color="auto" w:fill="auto"/>
            <w:vAlign w:val="center"/>
          </w:tcPr>
          <w:p w:rsidR="00B47991" w:rsidRPr="00E260D4" w:rsidRDefault="00E260D4" w:rsidP="00E260D4">
            <w:pPr>
              <w:jc w:val="center"/>
              <w:rPr>
                <w:rFonts w:ascii="Arial" w:hAnsi="Arial" w:cs="Arial"/>
                <w:b/>
                <w:sz w:val="18"/>
                <w:szCs w:val="18"/>
              </w:rPr>
            </w:pPr>
            <w:r>
              <w:rPr>
                <w:rFonts w:ascii="Arial" w:hAnsi="Arial" w:cs="Arial"/>
                <w:b/>
                <w:sz w:val="18"/>
                <w:szCs w:val="18"/>
              </w:rPr>
              <w:t>Component</w:t>
            </w:r>
          </w:p>
        </w:tc>
        <w:tc>
          <w:tcPr>
            <w:tcW w:w="2081" w:type="dxa"/>
            <w:tcBorders>
              <w:top w:val="single" w:sz="4" w:space="0" w:color="auto"/>
              <w:left w:val="nil"/>
              <w:bottom w:val="single" w:sz="4" w:space="0" w:color="auto"/>
              <w:right w:val="nil"/>
            </w:tcBorders>
            <w:shd w:val="clear" w:color="auto" w:fill="auto"/>
            <w:vAlign w:val="center"/>
          </w:tcPr>
          <w:p w:rsidR="00B47991" w:rsidRPr="0043404D" w:rsidRDefault="00B47991" w:rsidP="00E260D4">
            <w:pPr>
              <w:jc w:val="center"/>
              <w:rPr>
                <w:rFonts w:ascii="Arial" w:hAnsi="Arial" w:cs="Arial"/>
                <w:b/>
                <w:sz w:val="18"/>
                <w:szCs w:val="18"/>
              </w:rPr>
            </w:pPr>
            <w:r w:rsidRPr="0043404D">
              <w:rPr>
                <w:rFonts w:ascii="Arial" w:hAnsi="Arial" w:cs="Arial"/>
                <w:b/>
                <w:sz w:val="18"/>
                <w:szCs w:val="18"/>
              </w:rPr>
              <w:t>Estimated useful life</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Communications and IT equipment</w:t>
            </w: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5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Vehicles</w:t>
            </w: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5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Furniture and fixtures</w:t>
            </w: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10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Buildings:</w:t>
            </w: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Structure</w:t>
            </w:r>
            <w:r w:rsidR="00740AE2" w:rsidRPr="00E260D4">
              <w:rPr>
                <w:rFonts w:ascii="Arial" w:hAnsi="Arial" w:cs="Arial"/>
                <w:sz w:val="18"/>
                <w:szCs w:val="18"/>
              </w:rPr>
              <w:t xml:space="preserve"> and foundations</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100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Façade</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50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Land Improvements</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50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Roof</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60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Floors, walls, stairways</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50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Flooring, wall coverings</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40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Kitchen equipment</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40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Conference rooms</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40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Heating, ventilation</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30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Sanitary facilities</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40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Electrical installation</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50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Elevators</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40 years</w:t>
            </w:r>
          </w:p>
        </w:tc>
      </w:tr>
      <w:tr w:rsidR="00B47991" w:rsidTr="00E4244B">
        <w:trPr>
          <w:trHeight w:val="285"/>
          <w:jc w:val="center"/>
        </w:trPr>
        <w:tc>
          <w:tcPr>
            <w:tcW w:w="3109" w:type="dxa"/>
            <w:tcBorders>
              <w:top w:val="nil"/>
              <w:left w:val="nil"/>
              <w:bottom w:val="nil"/>
              <w:right w:val="nil"/>
            </w:tcBorders>
            <w:shd w:val="clear" w:color="auto" w:fill="auto"/>
            <w:noWrap/>
            <w:vAlign w:val="center"/>
          </w:tcPr>
          <w:p w:rsidR="00B47991" w:rsidRPr="00E260D4" w:rsidRDefault="00B47991" w:rsidP="00F03904">
            <w:pPr>
              <w:rPr>
                <w:rFonts w:ascii="Arial" w:hAnsi="Arial" w:cs="Arial"/>
                <w:sz w:val="18"/>
                <w:szCs w:val="18"/>
              </w:rPr>
            </w:pPr>
          </w:p>
        </w:tc>
        <w:tc>
          <w:tcPr>
            <w:tcW w:w="2520" w:type="dxa"/>
            <w:tcBorders>
              <w:top w:val="nil"/>
              <w:left w:val="nil"/>
              <w:bottom w:val="nil"/>
              <w:right w:val="nil"/>
            </w:tcBorders>
            <w:shd w:val="clear" w:color="auto" w:fill="auto"/>
            <w:vAlign w:val="center"/>
          </w:tcPr>
          <w:p w:rsidR="00B47991" w:rsidRPr="00E260D4" w:rsidRDefault="00B47991" w:rsidP="00F03904">
            <w:pPr>
              <w:rPr>
                <w:rFonts w:ascii="Arial" w:hAnsi="Arial" w:cs="Arial"/>
                <w:sz w:val="18"/>
                <w:szCs w:val="18"/>
              </w:rPr>
            </w:pPr>
            <w:r w:rsidRPr="00E260D4">
              <w:rPr>
                <w:rFonts w:ascii="Arial" w:hAnsi="Arial" w:cs="Arial"/>
                <w:sz w:val="18"/>
                <w:szCs w:val="18"/>
              </w:rPr>
              <w:t>Exterior cleaning equipment</w:t>
            </w:r>
          </w:p>
        </w:tc>
        <w:tc>
          <w:tcPr>
            <w:tcW w:w="2081" w:type="dxa"/>
            <w:tcBorders>
              <w:top w:val="nil"/>
              <w:left w:val="nil"/>
              <w:bottom w:val="nil"/>
              <w:right w:val="nil"/>
            </w:tcBorders>
            <w:shd w:val="clear" w:color="auto" w:fill="auto"/>
            <w:vAlign w:val="center"/>
          </w:tcPr>
          <w:p w:rsidR="00B47991" w:rsidRPr="00E260D4" w:rsidRDefault="00B47991" w:rsidP="00F03904">
            <w:pPr>
              <w:jc w:val="right"/>
              <w:rPr>
                <w:rFonts w:ascii="Arial" w:hAnsi="Arial" w:cs="Arial"/>
                <w:sz w:val="18"/>
                <w:szCs w:val="18"/>
              </w:rPr>
            </w:pPr>
            <w:r w:rsidRPr="00E260D4">
              <w:rPr>
                <w:rFonts w:ascii="Arial" w:hAnsi="Arial" w:cs="Arial"/>
                <w:sz w:val="18"/>
                <w:szCs w:val="18"/>
              </w:rPr>
              <w:t>45 years</w:t>
            </w:r>
          </w:p>
        </w:tc>
      </w:tr>
    </w:tbl>
    <w:p w:rsidR="007C6D77" w:rsidRPr="00AA1144" w:rsidRDefault="007C6D77" w:rsidP="007C6D77">
      <w:pPr>
        <w:pStyle w:val="Style3"/>
        <w:spacing w:after="0"/>
        <w:rPr>
          <w:sz w:val="20"/>
        </w:rPr>
      </w:pPr>
    </w:p>
    <w:p w:rsidR="00BB2205" w:rsidRPr="00485D9F" w:rsidRDefault="00C12637" w:rsidP="007C6D77">
      <w:pPr>
        <w:pStyle w:val="Style3"/>
        <w:spacing w:after="0"/>
        <w:rPr>
          <w:rFonts w:cs="Arial"/>
          <w:szCs w:val="22"/>
        </w:rPr>
      </w:pPr>
      <w:r w:rsidRPr="00485D9F">
        <w:rPr>
          <w:rFonts w:cs="Arial"/>
          <w:szCs w:val="22"/>
        </w:rPr>
        <w:t xml:space="preserve">The carrying values of fixed assets are reviewed for impairment if events or changes in circumstances indicate that the </w:t>
      </w:r>
      <w:r w:rsidR="00010FD5" w:rsidRPr="00485D9F">
        <w:rPr>
          <w:rFonts w:cs="Arial"/>
          <w:szCs w:val="22"/>
        </w:rPr>
        <w:t xml:space="preserve">book value of the </w:t>
      </w:r>
      <w:r w:rsidRPr="00485D9F">
        <w:rPr>
          <w:rFonts w:cs="Arial"/>
          <w:szCs w:val="22"/>
        </w:rPr>
        <w:t>asset may not be recoverable. If such an indication exists, the recoverable amount of the asset is estimated in order to determine the extent of impairment loss</w:t>
      </w:r>
      <w:r w:rsidR="003F5AEE">
        <w:rPr>
          <w:rFonts w:cs="Arial"/>
          <w:szCs w:val="22"/>
        </w:rPr>
        <w:t>,</w:t>
      </w:r>
      <w:r w:rsidRPr="00485D9F">
        <w:rPr>
          <w:rFonts w:cs="Arial"/>
          <w:szCs w:val="22"/>
        </w:rPr>
        <w:t xml:space="preserve"> if any. Any impairment</w:t>
      </w:r>
      <w:r w:rsidR="00EB2B54" w:rsidRPr="00485D9F">
        <w:rPr>
          <w:rFonts w:cs="Arial"/>
          <w:szCs w:val="22"/>
        </w:rPr>
        <w:t xml:space="preserve"> loss</w:t>
      </w:r>
      <w:r w:rsidRPr="00485D9F">
        <w:rPr>
          <w:rFonts w:cs="Arial"/>
          <w:szCs w:val="22"/>
        </w:rPr>
        <w:t xml:space="preserve"> is </w:t>
      </w:r>
      <w:r w:rsidR="00EB2B54" w:rsidRPr="00485D9F">
        <w:rPr>
          <w:rFonts w:cs="Arial"/>
          <w:szCs w:val="22"/>
        </w:rPr>
        <w:t>recognized</w:t>
      </w:r>
      <w:r w:rsidRPr="00485D9F">
        <w:rPr>
          <w:rFonts w:cs="Arial"/>
          <w:szCs w:val="22"/>
        </w:rPr>
        <w:t xml:space="preserve"> in the Statement of Financial Performance.  </w:t>
      </w:r>
    </w:p>
    <w:p w:rsidR="003852F9" w:rsidRPr="00485D9F" w:rsidRDefault="003852F9" w:rsidP="007C6D77">
      <w:pPr>
        <w:pStyle w:val="Style3"/>
        <w:spacing w:after="0"/>
        <w:rPr>
          <w:rFonts w:cs="Arial"/>
          <w:szCs w:val="22"/>
        </w:rPr>
      </w:pPr>
    </w:p>
    <w:p w:rsidR="00C12637" w:rsidRPr="00485D9F" w:rsidRDefault="006023DB" w:rsidP="007C6D77">
      <w:pPr>
        <w:pStyle w:val="Style3Bold"/>
        <w:spacing w:after="0"/>
        <w:rPr>
          <w:rFonts w:cs="Arial"/>
          <w:szCs w:val="22"/>
        </w:rPr>
      </w:pPr>
      <w:r w:rsidRPr="00485D9F">
        <w:rPr>
          <w:rFonts w:cs="Arial"/>
          <w:szCs w:val="22"/>
        </w:rPr>
        <w:t>Inventories</w:t>
      </w:r>
    </w:p>
    <w:p w:rsidR="007C6D77" w:rsidRPr="00E05FB0" w:rsidRDefault="007C6D77" w:rsidP="007C6D77">
      <w:pPr>
        <w:pStyle w:val="Style3Bold"/>
        <w:spacing w:after="0"/>
        <w:rPr>
          <w:rFonts w:cs="Arial"/>
          <w:b w:val="0"/>
          <w:szCs w:val="22"/>
        </w:rPr>
      </w:pPr>
    </w:p>
    <w:p w:rsidR="00DB3D0E" w:rsidRPr="00485D9F" w:rsidRDefault="00DB3D0E" w:rsidP="007C6D77">
      <w:pPr>
        <w:pStyle w:val="Style3"/>
        <w:spacing w:after="0"/>
        <w:rPr>
          <w:rFonts w:cs="Arial"/>
          <w:szCs w:val="22"/>
        </w:rPr>
      </w:pPr>
      <w:r w:rsidRPr="00E05FB0">
        <w:rPr>
          <w:rFonts w:cs="Arial"/>
          <w:szCs w:val="22"/>
        </w:rPr>
        <w:t>Inventories include the value of publications held for sale and publications distributed free of charge, the value of supplies and materials utilized in the production of publications and the value</w:t>
      </w:r>
      <w:r w:rsidRPr="00485D9F">
        <w:rPr>
          <w:rFonts w:cs="Arial"/>
          <w:szCs w:val="22"/>
        </w:rPr>
        <w:t xml:space="preserve"> of merchandise held in the retail shop. The total value of finished publications is determined </w:t>
      </w:r>
      <w:r w:rsidR="00A43E85" w:rsidRPr="00485D9F">
        <w:rPr>
          <w:rFonts w:cs="Arial"/>
          <w:szCs w:val="22"/>
        </w:rPr>
        <w:t xml:space="preserve">by </w:t>
      </w:r>
      <w:r w:rsidRPr="00485D9F">
        <w:rPr>
          <w:rFonts w:cs="Arial"/>
          <w:szCs w:val="22"/>
        </w:rPr>
        <w:t>using an average cost per printed page (excluding costs of marketing and distribution) multiplied by the number of pages of publications held in the publications inventory</w:t>
      </w:r>
      <w:r w:rsidR="00C631B1" w:rsidRPr="00485D9F">
        <w:rPr>
          <w:rFonts w:cs="Arial"/>
          <w:szCs w:val="22"/>
        </w:rPr>
        <w:t>,</w:t>
      </w:r>
      <w:r w:rsidR="0099511F" w:rsidRPr="00485D9F">
        <w:rPr>
          <w:rFonts w:cs="Arial"/>
          <w:szCs w:val="22"/>
        </w:rPr>
        <w:t xml:space="preserve"> adjusted to reflect the lower of cost or net realizable value</w:t>
      </w:r>
      <w:r w:rsidR="00A43E85" w:rsidRPr="00485D9F">
        <w:rPr>
          <w:rFonts w:cs="Arial"/>
          <w:szCs w:val="22"/>
        </w:rPr>
        <w:t>. The value</w:t>
      </w:r>
      <w:r w:rsidRPr="00485D9F">
        <w:rPr>
          <w:rFonts w:cs="Arial"/>
          <w:szCs w:val="22"/>
        </w:rPr>
        <w:t xml:space="preserve"> of publications that are withdrawn from sale or free distribution </w:t>
      </w:r>
      <w:r w:rsidR="00A43E85" w:rsidRPr="00485D9F">
        <w:rPr>
          <w:rFonts w:cs="Arial"/>
          <w:szCs w:val="22"/>
        </w:rPr>
        <w:t>is</w:t>
      </w:r>
      <w:r w:rsidRPr="00485D9F">
        <w:rPr>
          <w:rFonts w:cs="Arial"/>
          <w:szCs w:val="22"/>
        </w:rPr>
        <w:t xml:space="preserve"> written off during the year in which they become obsolete.</w:t>
      </w:r>
    </w:p>
    <w:p w:rsidR="00DB3D0E" w:rsidRPr="00485D9F" w:rsidRDefault="00DB3D0E" w:rsidP="007C6D77">
      <w:pPr>
        <w:jc w:val="both"/>
        <w:rPr>
          <w:rFonts w:ascii="Arial" w:hAnsi="Arial" w:cs="Arial"/>
          <w:sz w:val="22"/>
          <w:szCs w:val="22"/>
        </w:rPr>
      </w:pPr>
    </w:p>
    <w:p w:rsidR="00DB3D0E" w:rsidRPr="00485D9F" w:rsidRDefault="00DB3D0E" w:rsidP="007C6D77">
      <w:pPr>
        <w:pStyle w:val="Style3"/>
        <w:spacing w:after="0"/>
        <w:rPr>
          <w:rFonts w:cs="Arial"/>
          <w:szCs w:val="22"/>
        </w:rPr>
      </w:pPr>
      <w:r w:rsidRPr="00485D9F">
        <w:rPr>
          <w:rFonts w:cs="Arial"/>
          <w:szCs w:val="22"/>
        </w:rPr>
        <w:t xml:space="preserve">An annual physical inventory is conducted of all stocks of publication supplies and items for sale in the retail shop.  A perpetual inventory is maintained of the publications for sale and sample physical counts are undertaken throughout the year to verify inventory balances.  At the end of each year items removed from the catalogue of publications for sale or free distribution, along with items for which it is anticipated that there will be no further free distribution or anticipated sales, are </w:t>
      </w:r>
      <w:r w:rsidR="00A43E85" w:rsidRPr="00485D9F">
        <w:rPr>
          <w:rFonts w:cs="Arial"/>
          <w:szCs w:val="22"/>
        </w:rPr>
        <w:t>taken out of</w:t>
      </w:r>
      <w:r w:rsidRPr="00485D9F">
        <w:rPr>
          <w:rFonts w:cs="Arial"/>
          <w:szCs w:val="22"/>
        </w:rPr>
        <w:t xml:space="preserve"> the inventory and the</w:t>
      </w:r>
      <w:r w:rsidR="00A43E85" w:rsidRPr="00485D9F">
        <w:rPr>
          <w:rFonts w:cs="Arial"/>
          <w:szCs w:val="22"/>
        </w:rPr>
        <w:t>ir</w:t>
      </w:r>
      <w:r w:rsidRPr="00485D9F">
        <w:rPr>
          <w:rFonts w:cs="Arial"/>
          <w:szCs w:val="22"/>
        </w:rPr>
        <w:t xml:space="preserve"> value is written down to zero.</w:t>
      </w:r>
    </w:p>
    <w:p w:rsidR="00DB3D0E" w:rsidRPr="00485D9F" w:rsidRDefault="00DB3D0E" w:rsidP="007C6D77">
      <w:pPr>
        <w:pStyle w:val="Style3"/>
        <w:spacing w:after="0"/>
        <w:rPr>
          <w:rFonts w:cs="Arial"/>
          <w:szCs w:val="22"/>
        </w:rPr>
      </w:pPr>
    </w:p>
    <w:p w:rsidR="00EB3407" w:rsidRPr="00485D9F" w:rsidRDefault="00DB3D0E" w:rsidP="007C6D77">
      <w:pPr>
        <w:pStyle w:val="Style3"/>
        <w:spacing w:after="0"/>
        <w:rPr>
          <w:rFonts w:cs="Arial"/>
          <w:szCs w:val="22"/>
        </w:rPr>
      </w:pPr>
      <w:r w:rsidRPr="00485D9F">
        <w:rPr>
          <w:rFonts w:cs="Arial"/>
          <w:szCs w:val="22"/>
        </w:rPr>
        <w:t xml:space="preserve">The cost of paper and other supplies used in the production process </w:t>
      </w:r>
      <w:r w:rsidR="002514BA">
        <w:rPr>
          <w:rFonts w:cs="Arial"/>
          <w:szCs w:val="22"/>
        </w:rPr>
        <w:t>has been valued using the first-</w:t>
      </w:r>
      <w:r w:rsidRPr="00485D9F">
        <w:rPr>
          <w:rFonts w:cs="Arial"/>
          <w:szCs w:val="22"/>
        </w:rPr>
        <w:t>in</w:t>
      </w:r>
      <w:r w:rsidR="002514BA">
        <w:rPr>
          <w:rFonts w:cs="Arial"/>
          <w:szCs w:val="22"/>
        </w:rPr>
        <w:t>, first-</w:t>
      </w:r>
      <w:r w:rsidRPr="00485D9F">
        <w:rPr>
          <w:rFonts w:cs="Arial"/>
          <w:szCs w:val="22"/>
        </w:rPr>
        <w:t>out (FIFO) method. Items held in the retail shop are valued at cost to the Organization</w:t>
      </w:r>
      <w:r w:rsidR="009314E8">
        <w:rPr>
          <w:rFonts w:cs="Arial"/>
          <w:szCs w:val="22"/>
        </w:rPr>
        <w:t>, and</w:t>
      </w:r>
      <w:r w:rsidRPr="00485D9F">
        <w:rPr>
          <w:rFonts w:cs="Arial"/>
          <w:szCs w:val="22"/>
        </w:rPr>
        <w:t xml:space="preserve"> are marked down to reflect net realizable value if damaged or obsolete.  No inventories are pledged as security for liabilities.</w:t>
      </w:r>
    </w:p>
    <w:p w:rsidR="00A621A1" w:rsidRDefault="00A621A1" w:rsidP="007C6D77">
      <w:pPr>
        <w:pStyle w:val="Style3"/>
        <w:spacing w:after="0"/>
        <w:rPr>
          <w:rFonts w:cs="Arial"/>
          <w:b/>
          <w:szCs w:val="22"/>
        </w:rPr>
      </w:pPr>
    </w:p>
    <w:p w:rsidR="006023DB" w:rsidRPr="00CE0C6C" w:rsidRDefault="00475518" w:rsidP="007C6D77">
      <w:pPr>
        <w:pStyle w:val="Style3"/>
        <w:spacing w:after="0"/>
        <w:rPr>
          <w:rFonts w:cs="Arial"/>
          <w:b/>
          <w:szCs w:val="22"/>
        </w:rPr>
      </w:pPr>
      <w:r w:rsidRPr="00CE0C6C">
        <w:rPr>
          <w:rFonts w:cs="Arial"/>
          <w:b/>
          <w:szCs w:val="22"/>
        </w:rPr>
        <w:t xml:space="preserve">Intangible </w:t>
      </w:r>
      <w:r w:rsidR="00901633">
        <w:rPr>
          <w:rFonts w:cs="Arial"/>
          <w:b/>
          <w:szCs w:val="22"/>
        </w:rPr>
        <w:t>A</w:t>
      </w:r>
      <w:r w:rsidRPr="00CE0C6C">
        <w:rPr>
          <w:rFonts w:cs="Arial"/>
          <w:b/>
          <w:szCs w:val="22"/>
        </w:rPr>
        <w:t>ssets</w:t>
      </w:r>
    </w:p>
    <w:p w:rsidR="00740AE2" w:rsidRPr="00A74529" w:rsidRDefault="00740AE2" w:rsidP="007C6D77">
      <w:pPr>
        <w:pStyle w:val="Style3"/>
        <w:spacing w:after="0"/>
        <w:rPr>
          <w:rFonts w:cs="Arial"/>
          <w:szCs w:val="22"/>
        </w:rPr>
      </w:pPr>
    </w:p>
    <w:p w:rsidR="00A74529" w:rsidRPr="00A74529" w:rsidRDefault="004A1F02" w:rsidP="00A74529">
      <w:pPr>
        <w:jc w:val="both"/>
        <w:rPr>
          <w:rFonts w:ascii="Arial" w:hAnsi="Arial" w:cs="Arial"/>
          <w:sz w:val="22"/>
          <w:szCs w:val="22"/>
          <w:lang w:val="en-GB"/>
        </w:rPr>
      </w:pPr>
      <w:r w:rsidRPr="00A74529">
        <w:rPr>
          <w:rFonts w:ascii="Arial" w:hAnsi="Arial" w:cs="Arial"/>
          <w:szCs w:val="22"/>
        </w:rPr>
        <w:t>Intangible assets are carried at cost less accumulated amortization and impairment.</w:t>
      </w:r>
      <w:r w:rsidR="00A74529" w:rsidRPr="00A74529">
        <w:rPr>
          <w:rFonts w:ascii="Arial" w:hAnsi="Arial" w:cs="Arial"/>
          <w:szCs w:val="22"/>
        </w:rPr>
        <w:t xml:space="preserve"> </w:t>
      </w:r>
      <w:r w:rsidR="00A74529" w:rsidRPr="00A74529">
        <w:rPr>
          <w:rFonts w:ascii="Arial" w:hAnsi="Arial" w:cs="Arial"/>
          <w:sz w:val="22"/>
          <w:szCs w:val="22"/>
          <w:lang w:val="en-GB"/>
        </w:rPr>
        <w:t>Amortization is provided on a straight-line basis on all intangible assets of finite life, at rates that will write off the cost or value of the assets over their useful lives.  The useful lives of major classes of intangible assets have been estimated as follows:</w:t>
      </w:r>
    </w:p>
    <w:p w:rsidR="00A74529" w:rsidRPr="004A1F02" w:rsidRDefault="00A74529" w:rsidP="00A74529">
      <w:pPr>
        <w:pStyle w:val="Style3"/>
        <w:spacing w:after="0"/>
        <w:rPr>
          <w:rFonts w:cs="Arial"/>
          <w:szCs w:val="22"/>
        </w:rPr>
      </w:pPr>
    </w:p>
    <w:tbl>
      <w:tblPr>
        <w:tblW w:w="5610" w:type="dxa"/>
        <w:jc w:val="center"/>
        <w:tblInd w:w="328" w:type="dxa"/>
        <w:tblLook w:val="0000" w:firstRow="0" w:lastRow="0" w:firstColumn="0" w:lastColumn="0" w:noHBand="0" w:noVBand="0"/>
      </w:tblPr>
      <w:tblGrid>
        <w:gridCol w:w="3080"/>
        <w:gridCol w:w="2530"/>
      </w:tblGrid>
      <w:tr w:rsidR="00A74529" w:rsidRPr="004A1F02" w:rsidTr="00371221">
        <w:trPr>
          <w:trHeight w:val="345"/>
          <w:jc w:val="center"/>
        </w:trPr>
        <w:tc>
          <w:tcPr>
            <w:tcW w:w="3080" w:type="dxa"/>
            <w:tcBorders>
              <w:top w:val="single" w:sz="4" w:space="0" w:color="auto"/>
              <w:left w:val="nil"/>
              <w:bottom w:val="single" w:sz="4" w:space="0" w:color="auto"/>
              <w:right w:val="nil"/>
            </w:tcBorders>
            <w:shd w:val="clear" w:color="auto" w:fill="auto"/>
            <w:noWrap/>
            <w:vAlign w:val="center"/>
          </w:tcPr>
          <w:p w:rsidR="00A74529" w:rsidRPr="004A1F02" w:rsidRDefault="00A74529" w:rsidP="00B51C60">
            <w:pPr>
              <w:jc w:val="center"/>
              <w:rPr>
                <w:rFonts w:ascii="Arial" w:hAnsi="Arial" w:cs="Arial"/>
                <w:b/>
                <w:sz w:val="18"/>
                <w:szCs w:val="18"/>
              </w:rPr>
            </w:pPr>
            <w:r w:rsidRPr="004A1F02">
              <w:rPr>
                <w:rFonts w:ascii="Arial" w:hAnsi="Arial" w:cs="Arial"/>
                <w:b/>
                <w:sz w:val="18"/>
                <w:szCs w:val="18"/>
              </w:rPr>
              <w:t>Class</w:t>
            </w:r>
          </w:p>
        </w:tc>
        <w:tc>
          <w:tcPr>
            <w:tcW w:w="2530" w:type="dxa"/>
            <w:tcBorders>
              <w:top w:val="single" w:sz="4" w:space="0" w:color="auto"/>
              <w:left w:val="nil"/>
              <w:bottom w:val="single" w:sz="4" w:space="0" w:color="auto"/>
              <w:right w:val="nil"/>
            </w:tcBorders>
            <w:shd w:val="clear" w:color="auto" w:fill="auto"/>
            <w:vAlign w:val="center"/>
          </w:tcPr>
          <w:p w:rsidR="00A74529" w:rsidRPr="004A1F02" w:rsidRDefault="00A74529" w:rsidP="00B51C60">
            <w:pPr>
              <w:jc w:val="center"/>
              <w:rPr>
                <w:rFonts w:ascii="Arial" w:hAnsi="Arial" w:cs="Arial"/>
                <w:b/>
                <w:sz w:val="18"/>
                <w:szCs w:val="18"/>
              </w:rPr>
            </w:pPr>
            <w:r w:rsidRPr="004A1F02">
              <w:rPr>
                <w:rFonts w:ascii="Arial" w:hAnsi="Arial" w:cs="Arial"/>
                <w:b/>
                <w:sz w:val="18"/>
                <w:szCs w:val="18"/>
              </w:rPr>
              <w:t>Estimated useful life</w:t>
            </w:r>
          </w:p>
        </w:tc>
      </w:tr>
      <w:tr w:rsidR="00A74529" w:rsidRPr="004A1F02" w:rsidTr="00371221">
        <w:trPr>
          <w:trHeight w:val="285"/>
          <w:jc w:val="center"/>
        </w:trPr>
        <w:tc>
          <w:tcPr>
            <w:tcW w:w="3080" w:type="dxa"/>
            <w:tcBorders>
              <w:top w:val="nil"/>
              <w:left w:val="nil"/>
              <w:bottom w:val="nil"/>
              <w:right w:val="nil"/>
            </w:tcBorders>
            <w:shd w:val="clear" w:color="auto" w:fill="auto"/>
            <w:noWrap/>
            <w:vAlign w:val="center"/>
          </w:tcPr>
          <w:p w:rsidR="00A74529" w:rsidRPr="004A1F02" w:rsidRDefault="00A74529" w:rsidP="00B51C60">
            <w:pPr>
              <w:rPr>
                <w:rFonts w:ascii="Arial" w:hAnsi="Arial" w:cs="Arial"/>
                <w:sz w:val="18"/>
                <w:szCs w:val="18"/>
              </w:rPr>
            </w:pPr>
            <w:r w:rsidRPr="004A1F02">
              <w:rPr>
                <w:rFonts w:ascii="Arial" w:hAnsi="Arial" w:cs="Arial"/>
                <w:sz w:val="18"/>
                <w:szCs w:val="18"/>
              </w:rPr>
              <w:t>Software acquired externally</w:t>
            </w:r>
          </w:p>
        </w:tc>
        <w:tc>
          <w:tcPr>
            <w:tcW w:w="2530" w:type="dxa"/>
            <w:tcBorders>
              <w:top w:val="nil"/>
              <w:left w:val="nil"/>
              <w:bottom w:val="nil"/>
              <w:right w:val="nil"/>
            </w:tcBorders>
            <w:shd w:val="clear" w:color="auto" w:fill="auto"/>
            <w:vAlign w:val="center"/>
          </w:tcPr>
          <w:p w:rsidR="00A74529" w:rsidRPr="004A1F02" w:rsidRDefault="00A74529" w:rsidP="00B51C60">
            <w:pPr>
              <w:jc w:val="center"/>
              <w:rPr>
                <w:rFonts w:ascii="Arial" w:hAnsi="Arial" w:cs="Arial"/>
                <w:sz w:val="18"/>
                <w:szCs w:val="18"/>
              </w:rPr>
            </w:pPr>
            <w:r w:rsidRPr="004A1F02">
              <w:rPr>
                <w:rFonts w:ascii="Arial" w:hAnsi="Arial" w:cs="Arial"/>
                <w:sz w:val="18"/>
                <w:szCs w:val="18"/>
              </w:rPr>
              <w:t>5 years</w:t>
            </w:r>
          </w:p>
        </w:tc>
      </w:tr>
      <w:tr w:rsidR="00A74529" w:rsidRPr="004A1F02" w:rsidTr="00371221">
        <w:trPr>
          <w:trHeight w:val="285"/>
          <w:jc w:val="center"/>
        </w:trPr>
        <w:tc>
          <w:tcPr>
            <w:tcW w:w="3080" w:type="dxa"/>
            <w:tcBorders>
              <w:top w:val="nil"/>
              <w:left w:val="nil"/>
              <w:bottom w:val="nil"/>
              <w:right w:val="nil"/>
            </w:tcBorders>
            <w:shd w:val="clear" w:color="auto" w:fill="auto"/>
            <w:noWrap/>
            <w:vAlign w:val="center"/>
          </w:tcPr>
          <w:p w:rsidR="00A74529" w:rsidRPr="004A1F02" w:rsidRDefault="00A74529" w:rsidP="00B51C60">
            <w:pPr>
              <w:rPr>
                <w:rFonts w:ascii="Arial" w:hAnsi="Arial" w:cs="Arial"/>
                <w:sz w:val="18"/>
                <w:szCs w:val="18"/>
              </w:rPr>
            </w:pPr>
            <w:r w:rsidRPr="004A1F02">
              <w:rPr>
                <w:rFonts w:ascii="Arial" w:hAnsi="Arial" w:cs="Arial"/>
                <w:sz w:val="18"/>
                <w:szCs w:val="18"/>
              </w:rPr>
              <w:t>Software internally developed</w:t>
            </w:r>
          </w:p>
        </w:tc>
        <w:tc>
          <w:tcPr>
            <w:tcW w:w="2530" w:type="dxa"/>
            <w:tcBorders>
              <w:top w:val="nil"/>
              <w:left w:val="nil"/>
              <w:bottom w:val="nil"/>
              <w:right w:val="nil"/>
            </w:tcBorders>
            <w:shd w:val="clear" w:color="auto" w:fill="auto"/>
            <w:vAlign w:val="center"/>
          </w:tcPr>
          <w:p w:rsidR="00A74529" w:rsidRPr="004A1F02" w:rsidRDefault="00A74529" w:rsidP="00B51C60">
            <w:pPr>
              <w:jc w:val="center"/>
              <w:rPr>
                <w:rFonts w:ascii="Arial" w:hAnsi="Arial" w:cs="Arial"/>
                <w:sz w:val="18"/>
                <w:szCs w:val="18"/>
              </w:rPr>
            </w:pPr>
            <w:r w:rsidRPr="004A1F02">
              <w:rPr>
                <w:rFonts w:ascii="Arial" w:hAnsi="Arial" w:cs="Arial"/>
                <w:sz w:val="18"/>
                <w:szCs w:val="18"/>
              </w:rPr>
              <w:t>5 years</w:t>
            </w:r>
          </w:p>
        </w:tc>
      </w:tr>
      <w:tr w:rsidR="00A74529" w:rsidRPr="004A1F02" w:rsidTr="00371221">
        <w:trPr>
          <w:trHeight w:val="285"/>
          <w:jc w:val="center"/>
        </w:trPr>
        <w:tc>
          <w:tcPr>
            <w:tcW w:w="3080" w:type="dxa"/>
            <w:tcBorders>
              <w:top w:val="nil"/>
              <w:left w:val="nil"/>
              <w:bottom w:val="nil"/>
              <w:right w:val="nil"/>
            </w:tcBorders>
            <w:shd w:val="clear" w:color="auto" w:fill="auto"/>
            <w:noWrap/>
            <w:vAlign w:val="center"/>
          </w:tcPr>
          <w:p w:rsidR="00A74529" w:rsidRPr="004A1F02" w:rsidRDefault="00A74529" w:rsidP="00B51C60">
            <w:pPr>
              <w:rPr>
                <w:rFonts w:ascii="Arial" w:hAnsi="Arial" w:cs="Arial"/>
                <w:sz w:val="18"/>
                <w:szCs w:val="18"/>
              </w:rPr>
            </w:pPr>
            <w:r w:rsidRPr="004A1F02">
              <w:rPr>
                <w:rFonts w:ascii="Arial" w:hAnsi="Arial" w:cs="Arial"/>
                <w:sz w:val="18"/>
                <w:szCs w:val="18"/>
              </w:rPr>
              <w:t>Licenses and rights</w:t>
            </w:r>
          </w:p>
        </w:tc>
        <w:tc>
          <w:tcPr>
            <w:tcW w:w="2530" w:type="dxa"/>
            <w:tcBorders>
              <w:top w:val="nil"/>
              <w:left w:val="nil"/>
              <w:bottom w:val="nil"/>
              <w:right w:val="nil"/>
            </w:tcBorders>
            <w:shd w:val="clear" w:color="auto" w:fill="auto"/>
            <w:vAlign w:val="center"/>
          </w:tcPr>
          <w:p w:rsidR="00A74529" w:rsidRPr="004A1F02" w:rsidRDefault="00A74529" w:rsidP="00B51C60">
            <w:pPr>
              <w:jc w:val="center"/>
              <w:rPr>
                <w:rFonts w:ascii="Arial" w:hAnsi="Arial" w:cs="Arial"/>
                <w:sz w:val="18"/>
                <w:szCs w:val="18"/>
              </w:rPr>
            </w:pPr>
            <w:r w:rsidRPr="004A1F02">
              <w:rPr>
                <w:rFonts w:ascii="Arial" w:hAnsi="Arial" w:cs="Arial"/>
                <w:sz w:val="18"/>
                <w:szCs w:val="18"/>
              </w:rPr>
              <w:t>Period of license/right</w:t>
            </w:r>
          </w:p>
        </w:tc>
      </w:tr>
    </w:tbl>
    <w:p w:rsidR="004A1F02" w:rsidRPr="00A74529" w:rsidRDefault="004A1F02" w:rsidP="007C6D77">
      <w:pPr>
        <w:pStyle w:val="Style3"/>
        <w:spacing w:after="0"/>
        <w:rPr>
          <w:rFonts w:cs="Arial"/>
          <w:szCs w:val="22"/>
        </w:rPr>
      </w:pPr>
    </w:p>
    <w:p w:rsidR="00414B1A" w:rsidRPr="004A1F02" w:rsidRDefault="00414B1A" w:rsidP="00414B1A">
      <w:pPr>
        <w:jc w:val="both"/>
        <w:rPr>
          <w:rFonts w:ascii="Arial" w:hAnsi="Arial" w:cs="Arial"/>
          <w:i/>
          <w:sz w:val="22"/>
          <w:szCs w:val="22"/>
          <w:lang w:val="en-GB"/>
        </w:rPr>
      </w:pPr>
      <w:r w:rsidRPr="004A1F02">
        <w:rPr>
          <w:rFonts w:ascii="Arial" w:hAnsi="Arial" w:cs="Arial"/>
          <w:sz w:val="22"/>
          <w:szCs w:val="22"/>
        </w:rPr>
        <w:t xml:space="preserve">Acquired computer software licenses are capitalized based on costs incurred to acquire and bring to use the specific software. Costs that are directly associated with the development of software for use by WIPO </w:t>
      </w:r>
      <w:r>
        <w:rPr>
          <w:rFonts w:ascii="Arial" w:hAnsi="Arial" w:cs="Arial"/>
          <w:sz w:val="22"/>
          <w:szCs w:val="22"/>
          <w:lang w:val="en-GB"/>
        </w:rPr>
        <w:t>are capitalized as</w:t>
      </w:r>
      <w:r w:rsidRPr="004A1F02">
        <w:rPr>
          <w:rFonts w:ascii="Arial" w:hAnsi="Arial" w:cs="Arial"/>
          <w:sz w:val="22"/>
          <w:szCs w:val="22"/>
          <w:lang w:val="en-GB"/>
        </w:rPr>
        <w:t xml:space="preserve"> intangible asset</w:t>
      </w:r>
      <w:r>
        <w:rPr>
          <w:rFonts w:ascii="Arial" w:hAnsi="Arial" w:cs="Arial"/>
          <w:sz w:val="22"/>
          <w:szCs w:val="22"/>
          <w:lang w:val="en-GB"/>
        </w:rPr>
        <w:t>s</w:t>
      </w:r>
      <w:r w:rsidRPr="004A1F02">
        <w:rPr>
          <w:rFonts w:ascii="Arial" w:hAnsi="Arial" w:cs="Arial"/>
          <w:sz w:val="22"/>
          <w:szCs w:val="22"/>
          <w:lang w:val="en-GB"/>
        </w:rPr>
        <w:t>.  Direct costs include the software development employee costs.</w:t>
      </w:r>
    </w:p>
    <w:p w:rsidR="00414B1A" w:rsidRDefault="00414B1A" w:rsidP="007C6D77">
      <w:pPr>
        <w:pStyle w:val="Style3"/>
        <w:spacing w:after="0"/>
        <w:rPr>
          <w:rFonts w:cs="Arial"/>
          <w:szCs w:val="22"/>
        </w:rPr>
      </w:pPr>
    </w:p>
    <w:p w:rsidR="00EB2B54" w:rsidRDefault="00402845" w:rsidP="007C6D77">
      <w:pPr>
        <w:pStyle w:val="Style3"/>
        <w:spacing w:after="0"/>
        <w:rPr>
          <w:rFonts w:cs="Arial"/>
          <w:szCs w:val="22"/>
        </w:rPr>
      </w:pPr>
      <w:r w:rsidRPr="00485D9F">
        <w:rPr>
          <w:rFonts w:cs="Arial"/>
          <w:szCs w:val="22"/>
        </w:rPr>
        <w:t xml:space="preserve">The rights to use property in the Canton of Geneva acquired by the Organization through purchase have been recognized at historic cost and are amortized over the remaining period of </w:t>
      </w:r>
      <w:r w:rsidR="007D0150" w:rsidRPr="00485D9F">
        <w:rPr>
          <w:rFonts w:cs="Arial"/>
          <w:szCs w:val="22"/>
        </w:rPr>
        <w:t xml:space="preserve">the </w:t>
      </w:r>
      <w:r w:rsidRPr="00485D9F">
        <w:rPr>
          <w:rFonts w:cs="Arial"/>
          <w:szCs w:val="22"/>
        </w:rPr>
        <w:t>grant.  The rights to use property granted by the Canton of Geneva acquired without cost</w:t>
      </w:r>
      <w:r w:rsidR="003F5AEE">
        <w:rPr>
          <w:rFonts w:cs="Arial"/>
          <w:szCs w:val="22"/>
        </w:rPr>
        <w:t>,</w:t>
      </w:r>
      <w:r w:rsidRPr="00485D9F">
        <w:rPr>
          <w:rFonts w:cs="Arial"/>
          <w:szCs w:val="22"/>
        </w:rPr>
        <w:t xml:space="preserve"> that revert back to the Canton at the end of the grant</w:t>
      </w:r>
      <w:r w:rsidR="003F5AEE">
        <w:rPr>
          <w:rFonts w:cs="Arial"/>
          <w:szCs w:val="22"/>
        </w:rPr>
        <w:t>,</w:t>
      </w:r>
      <w:r w:rsidRPr="00485D9F">
        <w:rPr>
          <w:rFonts w:cs="Arial"/>
          <w:szCs w:val="22"/>
        </w:rPr>
        <w:t xml:space="preserve"> are not valued in the </w:t>
      </w:r>
      <w:r w:rsidR="00EB2B54" w:rsidRPr="00485D9F">
        <w:rPr>
          <w:rFonts w:cs="Arial"/>
          <w:szCs w:val="22"/>
        </w:rPr>
        <w:t>financial statements</w:t>
      </w:r>
      <w:r w:rsidRPr="00485D9F">
        <w:rPr>
          <w:rFonts w:cs="Arial"/>
          <w:szCs w:val="22"/>
        </w:rPr>
        <w:t>.</w:t>
      </w:r>
      <w:r w:rsidR="006C2948" w:rsidRPr="00485D9F">
        <w:rPr>
          <w:rFonts w:cs="Arial"/>
          <w:szCs w:val="22"/>
        </w:rPr>
        <w:t xml:space="preserve"> </w:t>
      </w:r>
    </w:p>
    <w:p w:rsidR="00562598" w:rsidRPr="004A1F02" w:rsidRDefault="00562598" w:rsidP="00562598">
      <w:pPr>
        <w:rPr>
          <w:rFonts w:ascii="Arial" w:hAnsi="Arial" w:cs="Arial"/>
          <w:i/>
          <w:sz w:val="22"/>
          <w:szCs w:val="22"/>
          <w:lang w:val="en-GB"/>
        </w:rPr>
      </w:pPr>
    </w:p>
    <w:p w:rsidR="00A4756A" w:rsidRDefault="00A4756A" w:rsidP="006C2948">
      <w:pPr>
        <w:pStyle w:val="Style3"/>
        <w:spacing w:after="0"/>
        <w:rPr>
          <w:rFonts w:cs="Arial"/>
          <w:b/>
          <w:szCs w:val="22"/>
        </w:rPr>
      </w:pPr>
    </w:p>
    <w:p w:rsidR="00A4756A" w:rsidRDefault="00A4756A" w:rsidP="006C2948">
      <w:pPr>
        <w:pStyle w:val="Style3"/>
        <w:spacing w:after="0"/>
        <w:rPr>
          <w:rFonts w:cs="Arial"/>
          <w:b/>
          <w:szCs w:val="22"/>
        </w:rPr>
      </w:pPr>
    </w:p>
    <w:p w:rsidR="008F1A30" w:rsidRPr="00485D9F" w:rsidRDefault="008F1A30" w:rsidP="006C2948">
      <w:pPr>
        <w:pStyle w:val="Style3"/>
        <w:spacing w:after="0"/>
        <w:rPr>
          <w:rFonts w:cs="Arial"/>
          <w:b/>
          <w:szCs w:val="22"/>
        </w:rPr>
      </w:pPr>
      <w:r w:rsidRPr="00485D9F">
        <w:rPr>
          <w:rFonts w:cs="Arial"/>
          <w:b/>
          <w:szCs w:val="22"/>
        </w:rPr>
        <w:lastRenderedPageBreak/>
        <w:t>Provisions</w:t>
      </w:r>
    </w:p>
    <w:p w:rsidR="008F1A30" w:rsidRPr="00E05FB0" w:rsidRDefault="008F1A30" w:rsidP="007C6D77">
      <w:pPr>
        <w:jc w:val="both"/>
        <w:rPr>
          <w:rFonts w:ascii="Arial" w:hAnsi="Arial" w:cs="Arial"/>
          <w:sz w:val="22"/>
          <w:szCs w:val="22"/>
        </w:rPr>
      </w:pPr>
    </w:p>
    <w:p w:rsidR="008F1A30" w:rsidRPr="00485D9F" w:rsidRDefault="008F1A30" w:rsidP="007C6D77">
      <w:pPr>
        <w:pStyle w:val="Style3"/>
        <w:spacing w:after="0"/>
        <w:rPr>
          <w:rFonts w:cs="Arial"/>
          <w:szCs w:val="22"/>
        </w:rPr>
      </w:pPr>
      <w:r w:rsidRPr="00E05FB0">
        <w:rPr>
          <w:rFonts w:cs="Arial"/>
          <w:szCs w:val="22"/>
        </w:rPr>
        <w:t>Provisions are recognized when the Organization has a legal or constructive obligation as a result of a past event, where</w:t>
      </w:r>
      <w:r w:rsidR="00386813" w:rsidRPr="00E05FB0">
        <w:rPr>
          <w:rFonts w:cs="Arial"/>
          <w:szCs w:val="22"/>
        </w:rPr>
        <w:t>by</w:t>
      </w:r>
      <w:r w:rsidRPr="00E05FB0">
        <w:rPr>
          <w:rFonts w:cs="Arial"/>
          <w:szCs w:val="22"/>
        </w:rPr>
        <w:t xml:space="preserve"> it is probable that an outflow of resources will be required to settle</w:t>
      </w:r>
      <w:r w:rsidRPr="00485D9F">
        <w:rPr>
          <w:rFonts w:cs="Arial"/>
          <w:szCs w:val="22"/>
        </w:rPr>
        <w:t xml:space="preserve"> the obligation and where a reliable estimate of the amount of the obligation can be made.  </w:t>
      </w:r>
    </w:p>
    <w:p w:rsidR="00A4756A" w:rsidRDefault="00A4756A" w:rsidP="007C6D77">
      <w:pPr>
        <w:pStyle w:val="Style3Bold"/>
        <w:spacing w:after="0"/>
        <w:rPr>
          <w:rFonts w:cs="Arial"/>
          <w:szCs w:val="22"/>
        </w:rPr>
      </w:pPr>
    </w:p>
    <w:p w:rsidR="002760C4" w:rsidRPr="00485D9F" w:rsidRDefault="002760C4" w:rsidP="007C6D77">
      <w:pPr>
        <w:pStyle w:val="Style3Bold"/>
        <w:spacing w:after="0"/>
        <w:rPr>
          <w:rFonts w:cs="Arial"/>
          <w:szCs w:val="22"/>
        </w:rPr>
      </w:pPr>
      <w:r w:rsidRPr="00485D9F">
        <w:rPr>
          <w:rFonts w:cs="Arial"/>
          <w:szCs w:val="22"/>
        </w:rPr>
        <w:t>Receivables</w:t>
      </w:r>
    </w:p>
    <w:p w:rsidR="005F30F4" w:rsidRPr="00E05FB0" w:rsidRDefault="005F30F4" w:rsidP="007C6D77">
      <w:pPr>
        <w:pStyle w:val="Style3Bold"/>
        <w:spacing w:after="0"/>
        <w:rPr>
          <w:rFonts w:cs="Arial"/>
          <w:b w:val="0"/>
          <w:szCs w:val="22"/>
        </w:rPr>
      </w:pPr>
    </w:p>
    <w:p w:rsidR="00A31A5A" w:rsidRPr="00485D9F" w:rsidRDefault="002760C4" w:rsidP="007C6D77">
      <w:pPr>
        <w:pStyle w:val="Style3"/>
        <w:spacing w:after="0"/>
        <w:rPr>
          <w:rFonts w:cs="Arial"/>
          <w:szCs w:val="22"/>
        </w:rPr>
      </w:pPr>
      <w:r w:rsidRPr="00E05FB0">
        <w:rPr>
          <w:rFonts w:cs="Arial"/>
          <w:szCs w:val="22"/>
        </w:rPr>
        <w:t xml:space="preserve">Receivables </w:t>
      </w:r>
      <w:r w:rsidR="001166DA" w:rsidRPr="00E05FB0">
        <w:rPr>
          <w:rFonts w:cs="Arial"/>
          <w:szCs w:val="22"/>
        </w:rPr>
        <w:t>from exchange transactions</w:t>
      </w:r>
      <w:r w:rsidR="008E3D9C" w:rsidRPr="00E05FB0">
        <w:rPr>
          <w:rFonts w:cs="Arial"/>
          <w:szCs w:val="22"/>
        </w:rPr>
        <w:t>,</w:t>
      </w:r>
      <w:r w:rsidR="001166DA" w:rsidRPr="00E05FB0">
        <w:rPr>
          <w:rFonts w:cs="Arial"/>
          <w:szCs w:val="22"/>
        </w:rPr>
        <w:t xml:space="preserve"> which include the fees charged for international patents, international registration of trademarks and industrial designs and other services and publications, </w:t>
      </w:r>
      <w:r w:rsidR="00F5345A" w:rsidRPr="00E05FB0">
        <w:rPr>
          <w:rFonts w:cs="Arial"/>
          <w:szCs w:val="22"/>
        </w:rPr>
        <w:t>are</w:t>
      </w:r>
      <w:r w:rsidR="001166DA" w:rsidRPr="00E05FB0">
        <w:rPr>
          <w:rFonts w:cs="Arial"/>
          <w:szCs w:val="22"/>
        </w:rPr>
        <w:t xml:space="preserve"> measured at the fair value of the consideration received or receivable for trademarks and PCT fees once registration of the international application has taken place and </w:t>
      </w:r>
      <w:r w:rsidR="008E3D9C" w:rsidRPr="00E05FB0">
        <w:rPr>
          <w:rFonts w:cs="Arial"/>
          <w:szCs w:val="22"/>
        </w:rPr>
        <w:t>when cash is received</w:t>
      </w:r>
      <w:r w:rsidR="008E3D9C" w:rsidRPr="00485D9F">
        <w:rPr>
          <w:rFonts w:cs="Arial"/>
          <w:szCs w:val="22"/>
        </w:rPr>
        <w:t xml:space="preserve"> </w:t>
      </w:r>
      <w:r w:rsidR="001166DA" w:rsidRPr="00485D9F">
        <w:rPr>
          <w:rFonts w:cs="Arial"/>
          <w:szCs w:val="22"/>
        </w:rPr>
        <w:t>for other revenue.</w:t>
      </w:r>
      <w:r w:rsidRPr="00485D9F">
        <w:rPr>
          <w:rFonts w:cs="Arial"/>
          <w:szCs w:val="22"/>
        </w:rPr>
        <w:t xml:space="preserve"> </w:t>
      </w:r>
    </w:p>
    <w:p w:rsidR="001166DA" w:rsidRPr="00E05FB0" w:rsidRDefault="001166DA" w:rsidP="007C6D77">
      <w:pPr>
        <w:pStyle w:val="Style3"/>
        <w:spacing w:after="0"/>
        <w:rPr>
          <w:rFonts w:cs="Arial"/>
          <w:szCs w:val="22"/>
        </w:rPr>
      </w:pPr>
    </w:p>
    <w:p w:rsidR="002760C4" w:rsidRPr="00485D9F" w:rsidRDefault="001166DA" w:rsidP="007C6D77">
      <w:pPr>
        <w:pStyle w:val="Style3"/>
        <w:spacing w:after="0"/>
        <w:rPr>
          <w:rFonts w:cs="Arial"/>
          <w:szCs w:val="22"/>
        </w:rPr>
      </w:pPr>
      <w:r w:rsidRPr="00E05FB0">
        <w:rPr>
          <w:rFonts w:cs="Arial"/>
          <w:szCs w:val="22"/>
        </w:rPr>
        <w:t>Assessed</w:t>
      </w:r>
      <w:r w:rsidRPr="00485D9F">
        <w:rPr>
          <w:rFonts w:cs="Arial"/>
          <w:szCs w:val="22"/>
        </w:rPr>
        <w:t xml:space="preserve"> contributions are recognized as revenue at the beginning of the financial year.  </w:t>
      </w:r>
      <w:r w:rsidR="002760C4" w:rsidRPr="00485D9F">
        <w:rPr>
          <w:rFonts w:cs="Arial"/>
          <w:szCs w:val="22"/>
        </w:rPr>
        <w:t xml:space="preserve">An allowance for </w:t>
      </w:r>
      <w:r w:rsidR="00DE62BA" w:rsidRPr="00485D9F">
        <w:rPr>
          <w:rFonts w:cs="Arial"/>
          <w:szCs w:val="22"/>
        </w:rPr>
        <w:t>non-recoverable receivables</w:t>
      </w:r>
      <w:r w:rsidR="002760C4" w:rsidRPr="00485D9F">
        <w:rPr>
          <w:rFonts w:cs="Arial"/>
          <w:szCs w:val="22"/>
        </w:rPr>
        <w:t xml:space="preserve"> is recorded equal to the assessed contributions frozen by action of the General Assembly </w:t>
      </w:r>
      <w:r w:rsidR="007E75C3" w:rsidRPr="00485D9F">
        <w:rPr>
          <w:rFonts w:cs="Arial"/>
          <w:szCs w:val="22"/>
        </w:rPr>
        <w:t>plus</w:t>
      </w:r>
      <w:r w:rsidR="002760C4" w:rsidRPr="00485D9F">
        <w:rPr>
          <w:rFonts w:cs="Arial"/>
          <w:szCs w:val="22"/>
        </w:rPr>
        <w:t xml:space="preserve"> contributions receivable from </w:t>
      </w:r>
      <w:r w:rsidR="00F5345A" w:rsidRPr="00485D9F">
        <w:rPr>
          <w:rFonts w:cs="Arial"/>
          <w:szCs w:val="22"/>
        </w:rPr>
        <w:t>M</w:t>
      </w:r>
      <w:r w:rsidR="002760C4" w:rsidRPr="00485D9F">
        <w:rPr>
          <w:rFonts w:cs="Arial"/>
          <w:szCs w:val="22"/>
        </w:rPr>
        <w:t>ember States that have lost the right to vote in accordance with Article 11 of the Convention establishing the World Intellectual Property Organization.</w:t>
      </w:r>
    </w:p>
    <w:p w:rsidR="003F79A9" w:rsidRPr="00485D9F" w:rsidRDefault="003F79A9" w:rsidP="007C6D77">
      <w:pPr>
        <w:pStyle w:val="Style3"/>
        <w:spacing w:after="0"/>
        <w:rPr>
          <w:rFonts w:cs="Arial"/>
          <w:szCs w:val="22"/>
        </w:rPr>
      </w:pPr>
    </w:p>
    <w:p w:rsidR="002760C4" w:rsidRPr="00E05FB0" w:rsidRDefault="002760C4" w:rsidP="007C6D77">
      <w:pPr>
        <w:pStyle w:val="Style3"/>
        <w:spacing w:after="0"/>
        <w:rPr>
          <w:rFonts w:cs="Arial"/>
          <w:szCs w:val="22"/>
        </w:rPr>
      </w:pPr>
      <w:r w:rsidRPr="00485D9F">
        <w:rPr>
          <w:rFonts w:cs="Arial"/>
          <w:szCs w:val="22"/>
        </w:rPr>
        <w:t xml:space="preserve">For all other receivables, an allowance for </w:t>
      </w:r>
      <w:r w:rsidR="00DE62BA" w:rsidRPr="00485D9F">
        <w:rPr>
          <w:rFonts w:cs="Arial"/>
          <w:szCs w:val="22"/>
        </w:rPr>
        <w:t>non-recovery</w:t>
      </w:r>
      <w:r w:rsidRPr="00485D9F">
        <w:rPr>
          <w:rFonts w:cs="Arial"/>
          <w:szCs w:val="22"/>
        </w:rPr>
        <w:t xml:space="preserve"> is established based on a review of the </w:t>
      </w:r>
      <w:r w:rsidRPr="00E05FB0">
        <w:rPr>
          <w:rFonts w:cs="Arial"/>
          <w:szCs w:val="22"/>
        </w:rPr>
        <w:t>outstanding amounts at the reporting date.</w:t>
      </w:r>
    </w:p>
    <w:p w:rsidR="00C069A6" w:rsidRPr="00E05FB0" w:rsidRDefault="00C069A6" w:rsidP="007C6D77">
      <w:pPr>
        <w:jc w:val="both"/>
        <w:rPr>
          <w:rFonts w:ascii="Arial" w:hAnsi="Arial" w:cs="Arial"/>
          <w:sz w:val="22"/>
          <w:szCs w:val="22"/>
        </w:rPr>
      </w:pPr>
    </w:p>
    <w:p w:rsidR="002760C4" w:rsidRPr="00485D9F" w:rsidRDefault="002760C4" w:rsidP="007C6D77">
      <w:pPr>
        <w:pStyle w:val="Style3Bold"/>
        <w:spacing w:after="0"/>
        <w:rPr>
          <w:rFonts w:cs="Arial"/>
          <w:szCs w:val="22"/>
        </w:rPr>
      </w:pPr>
      <w:r w:rsidRPr="00485D9F">
        <w:rPr>
          <w:rFonts w:cs="Arial"/>
          <w:szCs w:val="22"/>
        </w:rPr>
        <w:t xml:space="preserve">Revenue </w:t>
      </w:r>
      <w:r w:rsidR="00901633">
        <w:rPr>
          <w:rFonts w:cs="Arial"/>
          <w:szCs w:val="22"/>
        </w:rPr>
        <w:t>R</w:t>
      </w:r>
      <w:r w:rsidRPr="00485D9F">
        <w:rPr>
          <w:rFonts w:cs="Arial"/>
          <w:szCs w:val="22"/>
        </w:rPr>
        <w:t>ecognition</w:t>
      </w:r>
    </w:p>
    <w:p w:rsidR="002760C4" w:rsidRPr="00E05FB0" w:rsidRDefault="002760C4" w:rsidP="007C6D77">
      <w:pPr>
        <w:jc w:val="both"/>
        <w:rPr>
          <w:rFonts w:ascii="Arial" w:hAnsi="Arial" w:cs="Arial"/>
          <w:sz w:val="22"/>
          <w:szCs w:val="22"/>
        </w:rPr>
      </w:pPr>
    </w:p>
    <w:p w:rsidR="002760C4" w:rsidRPr="00485D9F" w:rsidRDefault="002760C4" w:rsidP="007C6D77">
      <w:pPr>
        <w:pStyle w:val="Style3"/>
        <w:spacing w:after="0"/>
        <w:rPr>
          <w:rFonts w:cs="Arial"/>
          <w:szCs w:val="22"/>
        </w:rPr>
      </w:pPr>
      <w:r w:rsidRPr="00E05FB0">
        <w:rPr>
          <w:rFonts w:cs="Arial"/>
          <w:szCs w:val="22"/>
        </w:rPr>
        <w:t>Revenue</w:t>
      </w:r>
      <w:r w:rsidRPr="00485D9F">
        <w:rPr>
          <w:rFonts w:cs="Arial"/>
          <w:szCs w:val="22"/>
        </w:rPr>
        <w:t xml:space="preserve"> from exchange transactions </w:t>
      </w:r>
      <w:r w:rsidR="00D91C9E" w:rsidRPr="00485D9F">
        <w:rPr>
          <w:rFonts w:cs="Arial"/>
          <w:szCs w:val="22"/>
        </w:rPr>
        <w:t xml:space="preserve">comprising </w:t>
      </w:r>
      <w:r w:rsidRPr="00485D9F">
        <w:rPr>
          <w:rFonts w:cs="Arial"/>
          <w:szCs w:val="22"/>
        </w:rPr>
        <w:t xml:space="preserve">the fees charged for </w:t>
      </w:r>
      <w:r w:rsidR="005640B1" w:rsidRPr="00485D9F">
        <w:rPr>
          <w:rFonts w:cs="Arial"/>
          <w:szCs w:val="22"/>
        </w:rPr>
        <w:t xml:space="preserve">applications for </w:t>
      </w:r>
      <w:r w:rsidRPr="00485D9F">
        <w:rPr>
          <w:rFonts w:cs="Arial"/>
          <w:szCs w:val="22"/>
        </w:rPr>
        <w:t>international patent</w:t>
      </w:r>
      <w:r w:rsidR="001A6EA4" w:rsidRPr="00485D9F">
        <w:rPr>
          <w:rFonts w:cs="Arial"/>
          <w:szCs w:val="22"/>
        </w:rPr>
        <w:t>s, including fees for additional pages for applications submitted in paper or easy format</w:t>
      </w:r>
      <w:r w:rsidR="00D91C9E" w:rsidRPr="00485D9F">
        <w:rPr>
          <w:rFonts w:cs="Arial"/>
          <w:szCs w:val="22"/>
        </w:rPr>
        <w:t>, the</w:t>
      </w:r>
      <w:r w:rsidRPr="00485D9F">
        <w:rPr>
          <w:rFonts w:cs="Arial"/>
          <w:szCs w:val="22"/>
        </w:rPr>
        <w:t xml:space="preserve"> international registration of trademarks and </w:t>
      </w:r>
      <w:r w:rsidR="00D91C9E" w:rsidRPr="00485D9F">
        <w:rPr>
          <w:rFonts w:cs="Arial"/>
          <w:szCs w:val="22"/>
        </w:rPr>
        <w:t xml:space="preserve">the international registration of </w:t>
      </w:r>
      <w:r w:rsidRPr="00485D9F">
        <w:rPr>
          <w:rFonts w:cs="Arial"/>
          <w:szCs w:val="22"/>
        </w:rPr>
        <w:t xml:space="preserve">industrial designs </w:t>
      </w:r>
      <w:r w:rsidR="005640B1" w:rsidRPr="00485D9F">
        <w:rPr>
          <w:rFonts w:cs="Arial"/>
          <w:szCs w:val="22"/>
        </w:rPr>
        <w:t xml:space="preserve">is recognized at the date of publication.  Revenue from fees received for applications not published at the reporting date is deferred until publication has been completed. The portion of the </w:t>
      </w:r>
      <w:r w:rsidR="00D91C9E" w:rsidRPr="00485D9F">
        <w:rPr>
          <w:rFonts w:cs="Arial"/>
          <w:szCs w:val="22"/>
        </w:rPr>
        <w:t xml:space="preserve">patent </w:t>
      </w:r>
      <w:r w:rsidR="005640B1" w:rsidRPr="00485D9F">
        <w:rPr>
          <w:rFonts w:cs="Arial"/>
          <w:szCs w:val="22"/>
        </w:rPr>
        <w:t>application fee covering the costs of translation of non</w:t>
      </w:r>
      <w:r w:rsidR="003F5AEE">
        <w:rPr>
          <w:rFonts w:cs="Arial"/>
          <w:szCs w:val="22"/>
        </w:rPr>
        <w:t>-</w:t>
      </w:r>
      <w:r w:rsidR="005640B1" w:rsidRPr="00485D9F">
        <w:rPr>
          <w:rFonts w:cs="Arial"/>
          <w:szCs w:val="22"/>
        </w:rPr>
        <w:t xml:space="preserve">English language patentability reports received after publication is also deferred until the translation is completed.  </w:t>
      </w:r>
      <w:r w:rsidR="001A6EA4" w:rsidRPr="00485D9F">
        <w:rPr>
          <w:rFonts w:cs="Arial"/>
          <w:szCs w:val="22"/>
        </w:rPr>
        <w:t>All other fees related to patent, trademark and industrial design applications</w:t>
      </w:r>
      <w:r w:rsidR="00D91C9E" w:rsidRPr="00485D9F">
        <w:rPr>
          <w:rFonts w:cs="Arial"/>
          <w:szCs w:val="22"/>
        </w:rPr>
        <w:t>,</w:t>
      </w:r>
      <w:r w:rsidR="001A6EA4" w:rsidRPr="00485D9F">
        <w:rPr>
          <w:rFonts w:cs="Arial"/>
          <w:szCs w:val="22"/>
        </w:rPr>
        <w:t xml:space="preserve"> including renewals</w:t>
      </w:r>
      <w:r w:rsidR="00D91C9E" w:rsidRPr="00485D9F">
        <w:rPr>
          <w:rFonts w:cs="Arial"/>
          <w:szCs w:val="22"/>
        </w:rPr>
        <w:t>,</w:t>
      </w:r>
      <w:r w:rsidR="001A6EA4" w:rsidRPr="00485D9F">
        <w:rPr>
          <w:rFonts w:cs="Arial"/>
          <w:szCs w:val="22"/>
        </w:rPr>
        <w:t xml:space="preserve"> are recognized when the services covered by the fee ha</w:t>
      </w:r>
      <w:r w:rsidR="00D91C9E" w:rsidRPr="00485D9F">
        <w:rPr>
          <w:rFonts w:cs="Arial"/>
          <w:szCs w:val="22"/>
        </w:rPr>
        <w:t>ve</w:t>
      </w:r>
      <w:r w:rsidR="001A6EA4" w:rsidRPr="00485D9F">
        <w:rPr>
          <w:rFonts w:cs="Arial"/>
          <w:szCs w:val="22"/>
        </w:rPr>
        <w:t xml:space="preserve"> been provided.  </w:t>
      </w:r>
      <w:r w:rsidR="005640B1" w:rsidRPr="00485D9F">
        <w:rPr>
          <w:rFonts w:cs="Arial"/>
          <w:szCs w:val="22"/>
        </w:rPr>
        <w:t>Revenue from publications and Arbitration and Mediation services is recognized upon full delivery of the goods or services.</w:t>
      </w:r>
    </w:p>
    <w:p w:rsidR="002760C4" w:rsidRPr="00485D9F" w:rsidRDefault="002760C4" w:rsidP="007C6D77">
      <w:pPr>
        <w:pStyle w:val="Style3"/>
        <w:spacing w:after="0"/>
        <w:rPr>
          <w:rFonts w:cs="Arial"/>
          <w:szCs w:val="22"/>
        </w:rPr>
      </w:pPr>
    </w:p>
    <w:p w:rsidR="002760C4" w:rsidRPr="00485D9F" w:rsidRDefault="002760C4" w:rsidP="007C6D77">
      <w:pPr>
        <w:pStyle w:val="Style3"/>
        <w:spacing w:after="0"/>
        <w:rPr>
          <w:rFonts w:cs="Arial"/>
          <w:szCs w:val="22"/>
        </w:rPr>
      </w:pPr>
      <w:r w:rsidRPr="00485D9F">
        <w:rPr>
          <w:rFonts w:cs="Arial"/>
          <w:szCs w:val="22"/>
        </w:rPr>
        <w:t xml:space="preserve">Revenue from non-exchange transactions such as voluntary contributions to </w:t>
      </w:r>
      <w:r w:rsidR="008E3D9C" w:rsidRPr="00485D9F">
        <w:rPr>
          <w:rFonts w:cs="Arial"/>
          <w:szCs w:val="22"/>
        </w:rPr>
        <w:t>S</w:t>
      </w:r>
      <w:r w:rsidR="00DE62BA" w:rsidRPr="00485D9F">
        <w:rPr>
          <w:rFonts w:cs="Arial"/>
          <w:szCs w:val="22"/>
        </w:rPr>
        <w:t xml:space="preserve">pecial </w:t>
      </w:r>
      <w:r w:rsidR="008E3D9C" w:rsidRPr="00485D9F">
        <w:rPr>
          <w:rFonts w:cs="Arial"/>
          <w:szCs w:val="22"/>
        </w:rPr>
        <w:t>A</w:t>
      </w:r>
      <w:r w:rsidR="00DE62BA" w:rsidRPr="00485D9F">
        <w:rPr>
          <w:rFonts w:cs="Arial"/>
          <w:szCs w:val="22"/>
        </w:rPr>
        <w:t>ccounts</w:t>
      </w:r>
      <w:r w:rsidRPr="00485D9F">
        <w:rPr>
          <w:rFonts w:cs="Arial"/>
          <w:szCs w:val="22"/>
        </w:rPr>
        <w:t xml:space="preserve"> supported by enforceable agreements </w:t>
      </w:r>
      <w:r w:rsidR="00610813" w:rsidRPr="00485D9F">
        <w:rPr>
          <w:rFonts w:cs="Arial"/>
          <w:szCs w:val="22"/>
        </w:rPr>
        <w:t xml:space="preserve">is </w:t>
      </w:r>
      <w:r w:rsidRPr="00485D9F">
        <w:rPr>
          <w:rFonts w:cs="Arial"/>
          <w:szCs w:val="22"/>
        </w:rPr>
        <w:t xml:space="preserve">recognized as revenue at the time the agreement becomes binding </w:t>
      </w:r>
      <w:r w:rsidR="00DE62BA" w:rsidRPr="00485D9F">
        <w:rPr>
          <w:rFonts w:cs="Arial"/>
          <w:szCs w:val="22"/>
        </w:rPr>
        <w:t xml:space="preserve">unless the agreement includes </w:t>
      </w:r>
      <w:r w:rsidRPr="00485D9F">
        <w:rPr>
          <w:rFonts w:cs="Arial"/>
          <w:szCs w:val="22"/>
        </w:rPr>
        <w:t>condition</w:t>
      </w:r>
      <w:r w:rsidR="00306E59" w:rsidRPr="00485D9F">
        <w:rPr>
          <w:rFonts w:cs="Arial"/>
          <w:szCs w:val="22"/>
        </w:rPr>
        <w:t>s</w:t>
      </w:r>
      <w:r w:rsidRPr="00485D9F">
        <w:rPr>
          <w:rFonts w:cs="Arial"/>
          <w:szCs w:val="22"/>
        </w:rPr>
        <w:t xml:space="preserve"> </w:t>
      </w:r>
      <w:r w:rsidR="00306E59" w:rsidRPr="00485D9F">
        <w:rPr>
          <w:rFonts w:cs="Arial"/>
          <w:szCs w:val="22"/>
        </w:rPr>
        <w:t xml:space="preserve">related to specific performance </w:t>
      </w:r>
      <w:r w:rsidR="00C069A6" w:rsidRPr="00485D9F">
        <w:rPr>
          <w:rFonts w:cs="Arial"/>
          <w:szCs w:val="22"/>
        </w:rPr>
        <w:t xml:space="preserve">or </w:t>
      </w:r>
      <w:r w:rsidR="00610813" w:rsidRPr="00485D9F">
        <w:rPr>
          <w:rFonts w:cs="Arial"/>
          <w:szCs w:val="22"/>
        </w:rPr>
        <w:t xml:space="preserve">the </w:t>
      </w:r>
      <w:r w:rsidR="00306E59" w:rsidRPr="00485D9F">
        <w:rPr>
          <w:rFonts w:cs="Arial"/>
          <w:szCs w:val="22"/>
        </w:rPr>
        <w:t>return of unexpended balances</w:t>
      </w:r>
      <w:r w:rsidR="00610813" w:rsidRPr="00485D9F">
        <w:rPr>
          <w:rFonts w:cs="Arial"/>
          <w:szCs w:val="22"/>
        </w:rPr>
        <w:t>. Such agreements</w:t>
      </w:r>
      <w:r w:rsidRPr="00485D9F">
        <w:rPr>
          <w:rFonts w:cs="Arial"/>
          <w:szCs w:val="22"/>
        </w:rPr>
        <w:t xml:space="preserve"> require </w:t>
      </w:r>
      <w:r w:rsidR="00306E59" w:rsidRPr="00485D9F">
        <w:rPr>
          <w:rFonts w:cs="Arial"/>
          <w:szCs w:val="22"/>
        </w:rPr>
        <w:t xml:space="preserve">initial </w:t>
      </w:r>
      <w:r w:rsidRPr="00485D9F">
        <w:rPr>
          <w:rFonts w:cs="Arial"/>
          <w:szCs w:val="22"/>
        </w:rPr>
        <w:t xml:space="preserve">recognition </w:t>
      </w:r>
      <w:r w:rsidR="00306E59" w:rsidRPr="00485D9F">
        <w:rPr>
          <w:rFonts w:cs="Arial"/>
          <w:szCs w:val="22"/>
        </w:rPr>
        <w:t xml:space="preserve">of a liability to </w:t>
      </w:r>
      <w:r w:rsidR="001A6EA4" w:rsidRPr="00485D9F">
        <w:rPr>
          <w:rFonts w:cs="Arial"/>
          <w:szCs w:val="22"/>
        </w:rPr>
        <w:t>defer revenue</w:t>
      </w:r>
      <w:r w:rsidR="00306E59" w:rsidRPr="00485D9F">
        <w:rPr>
          <w:rFonts w:cs="Arial"/>
          <w:szCs w:val="22"/>
        </w:rPr>
        <w:t xml:space="preserve"> recognition</w:t>
      </w:r>
      <w:r w:rsidR="00610813" w:rsidRPr="00485D9F">
        <w:rPr>
          <w:rFonts w:cs="Arial"/>
          <w:szCs w:val="22"/>
        </w:rPr>
        <w:t xml:space="preserve"> and the</w:t>
      </w:r>
      <w:r w:rsidR="001A67CA" w:rsidRPr="00485D9F">
        <w:rPr>
          <w:rFonts w:cs="Arial"/>
          <w:szCs w:val="22"/>
        </w:rPr>
        <w:t>n</w:t>
      </w:r>
      <w:r w:rsidR="00610813" w:rsidRPr="00485D9F">
        <w:rPr>
          <w:rFonts w:cs="Arial"/>
          <w:szCs w:val="22"/>
        </w:rPr>
        <w:t xml:space="preserve"> </w:t>
      </w:r>
      <w:r w:rsidRPr="00485D9F">
        <w:rPr>
          <w:rFonts w:cs="Arial"/>
          <w:szCs w:val="22"/>
        </w:rPr>
        <w:t>revenue is recognized as the liability is discharged</w:t>
      </w:r>
      <w:r w:rsidR="00306E59" w:rsidRPr="00485D9F">
        <w:rPr>
          <w:rFonts w:cs="Arial"/>
          <w:szCs w:val="22"/>
        </w:rPr>
        <w:t xml:space="preserve"> through performance of the specific conditions included in the agreement</w:t>
      </w:r>
      <w:r w:rsidRPr="00485D9F">
        <w:rPr>
          <w:rFonts w:cs="Arial"/>
          <w:szCs w:val="22"/>
        </w:rPr>
        <w:t>.</w:t>
      </w:r>
    </w:p>
    <w:p w:rsidR="002760C4" w:rsidRPr="00485D9F" w:rsidRDefault="002760C4" w:rsidP="007C6D77">
      <w:pPr>
        <w:pStyle w:val="Style3"/>
        <w:spacing w:after="0"/>
        <w:rPr>
          <w:rFonts w:cs="Arial"/>
          <w:szCs w:val="22"/>
        </w:rPr>
      </w:pPr>
    </w:p>
    <w:p w:rsidR="002760C4" w:rsidRPr="00485D9F" w:rsidRDefault="002760C4" w:rsidP="007C6D77">
      <w:pPr>
        <w:pStyle w:val="Style3"/>
        <w:spacing w:after="0"/>
        <w:rPr>
          <w:rFonts w:cs="Arial"/>
          <w:szCs w:val="22"/>
        </w:rPr>
      </w:pPr>
      <w:r w:rsidRPr="00485D9F">
        <w:rPr>
          <w:rFonts w:cs="Arial"/>
          <w:szCs w:val="22"/>
        </w:rPr>
        <w:t xml:space="preserve">Assessed contributions are recognized as revenue at the beginning of </w:t>
      </w:r>
      <w:r w:rsidR="00501AE8" w:rsidRPr="00485D9F">
        <w:rPr>
          <w:rFonts w:cs="Arial"/>
          <w:szCs w:val="22"/>
        </w:rPr>
        <w:t xml:space="preserve">each year of </w:t>
      </w:r>
      <w:r w:rsidRPr="00485D9F">
        <w:rPr>
          <w:rFonts w:cs="Arial"/>
          <w:szCs w:val="22"/>
        </w:rPr>
        <w:t>the budget period to which the assessment relates.</w:t>
      </w:r>
    </w:p>
    <w:p w:rsidR="003852F9" w:rsidRDefault="003852F9" w:rsidP="007C6D77">
      <w:pPr>
        <w:pStyle w:val="Style3Bold"/>
        <w:spacing w:after="0"/>
        <w:rPr>
          <w:rFonts w:cs="Arial"/>
          <w:szCs w:val="22"/>
        </w:rPr>
      </w:pPr>
    </w:p>
    <w:p w:rsidR="001A6EA4" w:rsidRPr="00485D9F" w:rsidRDefault="001A6EA4" w:rsidP="007C6D77">
      <w:pPr>
        <w:pStyle w:val="Style3Bold"/>
        <w:spacing w:after="0"/>
        <w:rPr>
          <w:rFonts w:cs="Arial"/>
          <w:szCs w:val="22"/>
        </w:rPr>
      </w:pPr>
      <w:r w:rsidRPr="00485D9F">
        <w:rPr>
          <w:rFonts w:cs="Arial"/>
          <w:szCs w:val="22"/>
        </w:rPr>
        <w:t>Segment Reporting</w:t>
      </w:r>
    </w:p>
    <w:p w:rsidR="001A6EA4" w:rsidRPr="00485D9F" w:rsidRDefault="001A6EA4" w:rsidP="007C6D77">
      <w:pPr>
        <w:pStyle w:val="Style3"/>
        <w:spacing w:after="0"/>
        <w:rPr>
          <w:rFonts w:cs="Arial"/>
          <w:szCs w:val="22"/>
        </w:rPr>
      </w:pPr>
    </w:p>
    <w:p w:rsidR="006B132D" w:rsidRPr="00A74529" w:rsidRDefault="00B24099" w:rsidP="006B132D">
      <w:pPr>
        <w:pStyle w:val="Style3Bold"/>
        <w:spacing w:after="0"/>
        <w:rPr>
          <w:rFonts w:cs="Arial"/>
          <w:b w:val="0"/>
          <w:szCs w:val="22"/>
        </w:rPr>
      </w:pPr>
      <w:r w:rsidRPr="00A74529">
        <w:rPr>
          <w:rFonts w:cs="Arial"/>
          <w:b w:val="0"/>
          <w:szCs w:val="22"/>
        </w:rPr>
        <w:t>Segment reporting is based upon the Unions that form the World Intell</w:t>
      </w:r>
      <w:r w:rsidR="009442BA" w:rsidRPr="00A74529">
        <w:rPr>
          <w:rFonts w:cs="Arial"/>
          <w:b w:val="0"/>
          <w:szCs w:val="22"/>
        </w:rPr>
        <w:t xml:space="preserve">ectual Property Organization. </w:t>
      </w:r>
      <w:r w:rsidRPr="00A74529">
        <w:rPr>
          <w:rFonts w:cs="Arial"/>
          <w:b w:val="0"/>
          <w:szCs w:val="22"/>
        </w:rPr>
        <w:t xml:space="preserve"> </w:t>
      </w:r>
      <w:r w:rsidR="001A6EA4" w:rsidRPr="00A74529">
        <w:rPr>
          <w:rFonts w:cs="Arial"/>
          <w:b w:val="0"/>
          <w:szCs w:val="22"/>
        </w:rPr>
        <w:t xml:space="preserve">Revenue and expense incurred by the Organization is allocated among the </w:t>
      </w:r>
      <w:r w:rsidR="00835A06" w:rsidRPr="00A74529">
        <w:rPr>
          <w:rFonts w:cs="Arial"/>
          <w:b w:val="0"/>
          <w:szCs w:val="22"/>
        </w:rPr>
        <w:t>Unions in accordance with an allocation methodology approved by the WIPO Assembly [Revised Prog</w:t>
      </w:r>
      <w:r w:rsidR="004475F3">
        <w:rPr>
          <w:rFonts w:cs="Arial"/>
          <w:b w:val="0"/>
          <w:szCs w:val="22"/>
        </w:rPr>
        <w:t>ram and Budget 2012/13, Annex III</w:t>
      </w:r>
      <w:r w:rsidR="00835A06" w:rsidRPr="00A74529">
        <w:rPr>
          <w:rFonts w:cs="Arial"/>
          <w:b w:val="0"/>
          <w:szCs w:val="22"/>
        </w:rPr>
        <w:t xml:space="preserve">].  The methodology allocates revenue and expense to each program and then to each Union based on a combination of direct revenue and expense, </w:t>
      </w:r>
      <w:r w:rsidR="00835A06" w:rsidRPr="00A74529">
        <w:rPr>
          <w:rFonts w:cs="Arial"/>
          <w:b w:val="0"/>
          <w:szCs w:val="22"/>
        </w:rPr>
        <w:lastRenderedPageBreak/>
        <w:t xml:space="preserve">staff head count and each Union’s ability to pay </w:t>
      </w:r>
      <w:r w:rsidR="002B7281" w:rsidRPr="00A74529">
        <w:rPr>
          <w:rFonts w:cs="Arial"/>
          <w:b w:val="0"/>
          <w:szCs w:val="22"/>
        </w:rPr>
        <w:t xml:space="preserve">which is itself </w:t>
      </w:r>
      <w:r w:rsidR="00835A06" w:rsidRPr="00A74529">
        <w:rPr>
          <w:rFonts w:cs="Arial"/>
          <w:b w:val="0"/>
          <w:szCs w:val="22"/>
        </w:rPr>
        <w:t xml:space="preserve">determined </w:t>
      </w:r>
      <w:r w:rsidR="002B7281" w:rsidRPr="00A74529">
        <w:rPr>
          <w:rFonts w:cs="Arial"/>
          <w:b w:val="0"/>
          <w:szCs w:val="22"/>
        </w:rPr>
        <w:t xml:space="preserve">according to </w:t>
      </w:r>
      <w:r w:rsidR="00835A06" w:rsidRPr="00A74529">
        <w:rPr>
          <w:rFonts w:cs="Arial"/>
          <w:b w:val="0"/>
          <w:szCs w:val="22"/>
        </w:rPr>
        <w:t>a combination of current revenue and reserves. WIPO’s assets and liabilities are not allocated to individual segments, since ownership rests with the Organization as a whole, however, each Union’s share of the Organization</w:t>
      </w:r>
      <w:r w:rsidR="002B7281" w:rsidRPr="00A74529">
        <w:rPr>
          <w:rFonts w:cs="Arial"/>
          <w:b w:val="0"/>
          <w:szCs w:val="22"/>
        </w:rPr>
        <w:t>’</w:t>
      </w:r>
      <w:r w:rsidR="00835A06" w:rsidRPr="00A74529">
        <w:rPr>
          <w:rFonts w:cs="Arial"/>
          <w:b w:val="0"/>
          <w:szCs w:val="22"/>
        </w:rPr>
        <w:t xml:space="preserve">s net assets including accumulated fund balances, revaluation surplus and working capital funds is recognized by segment (see </w:t>
      </w:r>
      <w:r w:rsidR="0026772F" w:rsidRPr="00A74529">
        <w:rPr>
          <w:rFonts w:cs="Arial"/>
          <w:b w:val="0"/>
          <w:szCs w:val="22"/>
        </w:rPr>
        <w:t>N</w:t>
      </w:r>
      <w:r w:rsidR="00835A06" w:rsidRPr="00A74529">
        <w:rPr>
          <w:rFonts w:cs="Arial"/>
          <w:b w:val="0"/>
          <w:szCs w:val="22"/>
        </w:rPr>
        <w:t>ote 2</w:t>
      </w:r>
      <w:r w:rsidR="0026772F" w:rsidRPr="00A74529">
        <w:rPr>
          <w:rFonts w:cs="Arial"/>
          <w:b w:val="0"/>
          <w:szCs w:val="22"/>
        </w:rPr>
        <w:t>7</w:t>
      </w:r>
      <w:r w:rsidR="00835A06" w:rsidRPr="00A74529">
        <w:rPr>
          <w:rFonts w:cs="Arial"/>
          <w:b w:val="0"/>
          <w:szCs w:val="22"/>
        </w:rPr>
        <w:t xml:space="preserve">). </w:t>
      </w:r>
    </w:p>
    <w:p w:rsidR="00A74529" w:rsidRDefault="00A74529" w:rsidP="006B132D">
      <w:pPr>
        <w:pStyle w:val="Style3Bold"/>
        <w:spacing w:after="0"/>
        <w:rPr>
          <w:rFonts w:cs="Arial"/>
          <w:szCs w:val="22"/>
        </w:rPr>
      </w:pPr>
    </w:p>
    <w:p w:rsidR="0069507F" w:rsidRPr="00485D9F" w:rsidRDefault="0069507F" w:rsidP="006B132D">
      <w:pPr>
        <w:pStyle w:val="Style3Bold"/>
        <w:spacing w:after="0"/>
        <w:rPr>
          <w:rFonts w:cs="Arial"/>
          <w:szCs w:val="22"/>
        </w:rPr>
      </w:pPr>
      <w:r w:rsidRPr="00485D9F">
        <w:rPr>
          <w:rFonts w:cs="Arial"/>
          <w:szCs w:val="22"/>
        </w:rPr>
        <w:t xml:space="preserve">Use of </w:t>
      </w:r>
      <w:r w:rsidR="00901633">
        <w:rPr>
          <w:rFonts w:cs="Arial"/>
          <w:szCs w:val="22"/>
        </w:rPr>
        <w:t>E</w:t>
      </w:r>
      <w:r w:rsidRPr="00485D9F">
        <w:rPr>
          <w:rFonts w:cs="Arial"/>
          <w:szCs w:val="22"/>
        </w:rPr>
        <w:t>stimates</w:t>
      </w:r>
    </w:p>
    <w:p w:rsidR="0069507F" w:rsidRPr="00485D9F" w:rsidRDefault="0069507F" w:rsidP="006B132D">
      <w:pPr>
        <w:jc w:val="both"/>
        <w:rPr>
          <w:rFonts w:ascii="Arial" w:hAnsi="Arial" w:cs="Arial"/>
          <w:sz w:val="22"/>
          <w:szCs w:val="22"/>
        </w:rPr>
      </w:pPr>
    </w:p>
    <w:p w:rsidR="006B132D" w:rsidRDefault="0069507F" w:rsidP="007C6D77">
      <w:pPr>
        <w:pStyle w:val="Style3"/>
        <w:spacing w:after="0"/>
        <w:rPr>
          <w:rFonts w:cs="Arial"/>
          <w:szCs w:val="22"/>
        </w:rPr>
      </w:pPr>
      <w:r w:rsidRPr="00485D9F">
        <w:rPr>
          <w:rFonts w:cs="Arial"/>
          <w:szCs w:val="22"/>
        </w:rPr>
        <w:t>The financial statements necessarily include amounts based on estimates and assumptions by management. Estimates include, but are not limited to: defined benefit medical insurance and other post-employment benefit obligations</w:t>
      </w:r>
      <w:r w:rsidR="00CB100C" w:rsidRPr="00485D9F">
        <w:rPr>
          <w:rFonts w:cs="Arial"/>
          <w:szCs w:val="22"/>
        </w:rPr>
        <w:t xml:space="preserve"> </w:t>
      </w:r>
      <w:r w:rsidR="00412CDE" w:rsidRPr="00485D9F">
        <w:rPr>
          <w:rFonts w:cs="Arial"/>
          <w:szCs w:val="22"/>
        </w:rPr>
        <w:t>(</w:t>
      </w:r>
      <w:r w:rsidR="00CB100C" w:rsidRPr="00485D9F">
        <w:rPr>
          <w:rFonts w:cs="Arial"/>
          <w:szCs w:val="22"/>
        </w:rPr>
        <w:t xml:space="preserve">the value of which is </w:t>
      </w:r>
      <w:r w:rsidR="009C3925" w:rsidRPr="00485D9F">
        <w:rPr>
          <w:rFonts w:cs="Arial"/>
          <w:szCs w:val="22"/>
        </w:rPr>
        <w:t>calculated</w:t>
      </w:r>
      <w:r w:rsidR="00CB100C" w:rsidRPr="00485D9F">
        <w:rPr>
          <w:rFonts w:cs="Arial"/>
          <w:szCs w:val="22"/>
        </w:rPr>
        <w:t xml:space="preserve"> by an independent actuary</w:t>
      </w:r>
      <w:r w:rsidR="00412CDE" w:rsidRPr="00485D9F">
        <w:rPr>
          <w:rFonts w:cs="Arial"/>
          <w:szCs w:val="22"/>
        </w:rPr>
        <w:t>)</w:t>
      </w:r>
      <w:r w:rsidRPr="00485D9F">
        <w:rPr>
          <w:rFonts w:cs="Arial"/>
          <w:szCs w:val="22"/>
        </w:rPr>
        <w:t>, amounts for litigation, valuation of publications inventory, financial risk on accounts receivable, accrued charges and the degree of impairment of fixed assets.  Actual results could differ from these estimates. Changes in estimates are reflected in the period in which they become known.</w:t>
      </w:r>
    </w:p>
    <w:p w:rsidR="00815B6A" w:rsidRDefault="00815B6A" w:rsidP="007C6D77">
      <w:pPr>
        <w:pStyle w:val="Style3"/>
        <w:spacing w:after="0"/>
        <w:rPr>
          <w:rFonts w:cs="Arial"/>
          <w:szCs w:val="22"/>
        </w:rPr>
      </w:pPr>
    </w:p>
    <w:p w:rsidR="00815B6A" w:rsidRPr="00485D9F" w:rsidRDefault="00A43A6E" w:rsidP="007C6D77">
      <w:pPr>
        <w:pStyle w:val="Style3"/>
        <w:spacing w:after="0"/>
        <w:rPr>
          <w:rFonts w:cs="Arial"/>
          <w:szCs w:val="22"/>
        </w:rPr>
      </w:pPr>
      <w:r>
        <w:rPr>
          <w:rFonts w:cs="Arial"/>
          <w:szCs w:val="22"/>
        </w:rPr>
        <w:t>All balances are presented in th</w:t>
      </w:r>
      <w:r w:rsidR="00414B1A">
        <w:rPr>
          <w:rFonts w:cs="Arial"/>
          <w:szCs w:val="22"/>
        </w:rPr>
        <w:t>ousands of Swiss francs, as a result</w:t>
      </w:r>
      <w:r w:rsidR="00C2673C">
        <w:rPr>
          <w:rFonts w:cs="Arial"/>
          <w:szCs w:val="22"/>
        </w:rPr>
        <w:t xml:space="preserve"> </w:t>
      </w:r>
      <w:r>
        <w:rPr>
          <w:rFonts w:cs="Arial"/>
          <w:szCs w:val="22"/>
        </w:rPr>
        <w:t>s</w:t>
      </w:r>
      <w:r w:rsidR="00824451">
        <w:rPr>
          <w:rFonts w:cs="Arial"/>
          <w:szCs w:val="22"/>
        </w:rPr>
        <w:t>mall rounding differences</w:t>
      </w:r>
      <w:r w:rsidR="000D4C30">
        <w:rPr>
          <w:rFonts w:cs="Arial"/>
          <w:szCs w:val="22"/>
        </w:rPr>
        <w:t xml:space="preserve"> </w:t>
      </w:r>
      <w:r w:rsidR="00824451">
        <w:rPr>
          <w:rFonts w:cs="Arial"/>
          <w:szCs w:val="22"/>
        </w:rPr>
        <w:t>may occur.</w:t>
      </w:r>
    </w:p>
    <w:p w:rsidR="002C5F2A" w:rsidRPr="005A0FC8" w:rsidRDefault="00797AED" w:rsidP="00901633">
      <w:pPr>
        <w:pStyle w:val="StyleHeading211ptNotBoldNotItalicAllcaps"/>
        <w:spacing w:before="0" w:after="0"/>
        <w:rPr>
          <w:szCs w:val="22"/>
        </w:rPr>
      </w:pPr>
      <w:r>
        <w:br w:type="page"/>
      </w:r>
      <w:r w:rsidR="005A0FC8">
        <w:rPr>
          <w:rFonts w:eastAsia="SimSun"/>
        </w:rPr>
        <w:lastRenderedPageBreak/>
        <w:t>Note 3</w:t>
      </w:r>
      <w:r w:rsidR="005A0FC8" w:rsidRPr="00203C93">
        <w:rPr>
          <w:rFonts w:eastAsia="SimSun"/>
        </w:rPr>
        <w:t>:</w:t>
      </w:r>
      <w:r w:rsidR="005A0FC8">
        <w:rPr>
          <w:rFonts w:eastAsia="SimSun"/>
          <w:i/>
        </w:rPr>
        <w:tab/>
      </w:r>
      <w:r w:rsidR="005A0FC8">
        <w:rPr>
          <w:rFonts w:eastAsia="SimSun"/>
        </w:rPr>
        <w:t>CASH AND CASH EQUIVALENTS</w:t>
      </w:r>
    </w:p>
    <w:p w:rsidR="00797AED" w:rsidRPr="006541F7" w:rsidRDefault="00797AED" w:rsidP="00901633">
      <w:pPr>
        <w:pStyle w:val="STYLETITRENOTES"/>
        <w:rPr>
          <w:rFonts w:cs="Arial"/>
          <w:b w:val="0"/>
          <w:szCs w:val="22"/>
        </w:rPr>
      </w:pPr>
      <w:bookmarkStart w:id="18" w:name="OLE_LINK3"/>
      <w:bookmarkStart w:id="19" w:name="OLE_LINK4"/>
    </w:p>
    <w:p w:rsidR="00797AED" w:rsidRPr="00866E54" w:rsidRDefault="00BC7CD6" w:rsidP="00901633">
      <w:pPr>
        <w:jc w:val="both"/>
        <w:rPr>
          <w:szCs w:val="22"/>
        </w:rPr>
      </w:pPr>
      <w:r>
        <w:rPr>
          <w:noProof/>
        </w:rPr>
        <w:drawing>
          <wp:inline distT="0" distB="0" distL="0" distR="0" wp14:anchorId="6EA37D08" wp14:editId="110080B0">
            <wp:extent cx="5981700" cy="3705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81700" cy="3705225"/>
                    </a:xfrm>
                    <a:prstGeom prst="rect">
                      <a:avLst/>
                    </a:prstGeom>
                    <a:noFill/>
                    <a:ln>
                      <a:noFill/>
                    </a:ln>
                  </pic:spPr>
                </pic:pic>
              </a:graphicData>
            </a:graphic>
          </wp:inline>
        </w:drawing>
      </w:r>
    </w:p>
    <w:bookmarkEnd w:id="18"/>
    <w:bookmarkEnd w:id="19"/>
    <w:p w:rsidR="00B6723E" w:rsidRPr="005A0FC8" w:rsidRDefault="00B6723E" w:rsidP="007C6D77">
      <w:pPr>
        <w:pStyle w:val="Style3"/>
        <w:spacing w:after="0"/>
        <w:rPr>
          <w:rFonts w:cs="Arial"/>
          <w:szCs w:val="22"/>
        </w:rPr>
      </w:pPr>
      <w:r w:rsidRPr="006541F7">
        <w:rPr>
          <w:rFonts w:cs="Arial"/>
          <w:szCs w:val="22"/>
        </w:rPr>
        <w:t>Cash</w:t>
      </w:r>
      <w:r w:rsidRPr="005A0FC8">
        <w:rPr>
          <w:rFonts w:cs="Arial"/>
          <w:szCs w:val="22"/>
        </w:rPr>
        <w:t xml:space="preserve"> deposits are generally held </w:t>
      </w:r>
      <w:r w:rsidR="007D4AC4">
        <w:rPr>
          <w:rFonts w:cs="Arial"/>
          <w:szCs w:val="22"/>
        </w:rPr>
        <w:t>in instant access bank accounts and</w:t>
      </w:r>
      <w:r w:rsidRPr="005A0FC8">
        <w:rPr>
          <w:rFonts w:cs="Arial"/>
          <w:szCs w:val="22"/>
        </w:rPr>
        <w:t xml:space="preserve"> interest-bearing accounts</w:t>
      </w:r>
      <w:r w:rsidR="00686D94" w:rsidRPr="005A0FC8">
        <w:rPr>
          <w:rFonts w:cs="Arial"/>
          <w:szCs w:val="22"/>
        </w:rPr>
        <w:t xml:space="preserve">. The </w:t>
      </w:r>
      <w:r w:rsidRPr="005A0FC8">
        <w:rPr>
          <w:rFonts w:cs="Arial"/>
          <w:szCs w:val="22"/>
        </w:rPr>
        <w:t xml:space="preserve">average rate of interest </w:t>
      </w:r>
      <w:r w:rsidR="00686D94" w:rsidRPr="005A0FC8">
        <w:rPr>
          <w:rFonts w:cs="Arial"/>
          <w:szCs w:val="22"/>
        </w:rPr>
        <w:t>earned on interest bearing accounts and investments</w:t>
      </w:r>
      <w:r w:rsidR="0060639A" w:rsidRPr="005A0FC8">
        <w:rPr>
          <w:rFonts w:cs="Arial"/>
          <w:szCs w:val="22"/>
        </w:rPr>
        <w:t xml:space="preserve"> held with the Swiss National Bank</w:t>
      </w:r>
      <w:r w:rsidR="00686D94" w:rsidRPr="005A0FC8">
        <w:rPr>
          <w:rFonts w:cs="Arial"/>
          <w:szCs w:val="22"/>
        </w:rPr>
        <w:t xml:space="preserve"> was</w:t>
      </w:r>
      <w:r w:rsidRPr="005A0FC8">
        <w:rPr>
          <w:rFonts w:cs="Arial"/>
          <w:szCs w:val="22"/>
        </w:rPr>
        <w:t xml:space="preserve"> </w:t>
      </w:r>
      <w:r w:rsidR="005F5A47">
        <w:rPr>
          <w:rFonts w:cs="Arial"/>
          <w:szCs w:val="22"/>
        </w:rPr>
        <w:t>0.375</w:t>
      </w:r>
      <w:r w:rsidR="004475F3">
        <w:rPr>
          <w:rFonts w:cs="Arial"/>
          <w:szCs w:val="22"/>
        </w:rPr>
        <w:t xml:space="preserve"> </w:t>
      </w:r>
      <w:r w:rsidR="002D6885">
        <w:rPr>
          <w:rFonts w:cs="Arial"/>
          <w:szCs w:val="22"/>
        </w:rPr>
        <w:t>per cent</w:t>
      </w:r>
      <w:r w:rsidR="00517E49" w:rsidRPr="005A0FC8">
        <w:rPr>
          <w:rFonts w:cs="Arial"/>
          <w:szCs w:val="22"/>
        </w:rPr>
        <w:t xml:space="preserve"> in 201</w:t>
      </w:r>
      <w:r w:rsidR="00A43A6E">
        <w:rPr>
          <w:rFonts w:cs="Arial"/>
          <w:szCs w:val="22"/>
        </w:rPr>
        <w:t>2</w:t>
      </w:r>
      <w:r w:rsidR="00517E49" w:rsidRPr="005A0FC8">
        <w:rPr>
          <w:rFonts w:cs="Arial"/>
          <w:szCs w:val="22"/>
        </w:rPr>
        <w:t xml:space="preserve"> [</w:t>
      </w:r>
      <w:r w:rsidR="0026772F" w:rsidRPr="005A0FC8">
        <w:rPr>
          <w:rFonts w:cs="Arial"/>
          <w:szCs w:val="22"/>
        </w:rPr>
        <w:t>1.</w:t>
      </w:r>
      <w:r w:rsidR="00A43A6E">
        <w:rPr>
          <w:rFonts w:cs="Arial"/>
          <w:szCs w:val="22"/>
        </w:rPr>
        <w:t>24</w:t>
      </w:r>
      <w:r w:rsidR="004475F3">
        <w:rPr>
          <w:rFonts w:cs="Arial"/>
          <w:szCs w:val="22"/>
        </w:rPr>
        <w:t xml:space="preserve"> </w:t>
      </w:r>
      <w:r w:rsidR="002D6885">
        <w:rPr>
          <w:rFonts w:cs="Arial"/>
          <w:szCs w:val="22"/>
        </w:rPr>
        <w:t>per cent</w:t>
      </w:r>
      <w:r w:rsidRPr="005A0FC8">
        <w:rPr>
          <w:rFonts w:cs="Arial"/>
          <w:szCs w:val="22"/>
        </w:rPr>
        <w:t xml:space="preserve"> in 20</w:t>
      </w:r>
      <w:r w:rsidR="0026772F" w:rsidRPr="005A0FC8">
        <w:rPr>
          <w:rFonts w:cs="Arial"/>
          <w:szCs w:val="22"/>
        </w:rPr>
        <w:t>1</w:t>
      </w:r>
      <w:r w:rsidR="00A43A6E">
        <w:rPr>
          <w:rFonts w:cs="Arial"/>
          <w:szCs w:val="22"/>
        </w:rPr>
        <w:t>1</w:t>
      </w:r>
      <w:r w:rsidR="0051554B" w:rsidRPr="005A0FC8">
        <w:rPr>
          <w:rFonts w:cs="Arial"/>
          <w:szCs w:val="22"/>
        </w:rPr>
        <w:t>]</w:t>
      </w:r>
      <w:r w:rsidRPr="005A0FC8">
        <w:rPr>
          <w:rFonts w:cs="Arial"/>
          <w:szCs w:val="22"/>
        </w:rPr>
        <w:t>.</w:t>
      </w:r>
      <w:r w:rsidR="005F5A47">
        <w:rPr>
          <w:rFonts w:cs="Arial"/>
          <w:szCs w:val="22"/>
        </w:rPr>
        <w:t xml:space="preserve"> </w:t>
      </w:r>
    </w:p>
    <w:p w:rsidR="00B6723E" w:rsidRPr="005A0FC8" w:rsidRDefault="00B6723E" w:rsidP="007C6D77">
      <w:pPr>
        <w:pStyle w:val="Style3"/>
        <w:spacing w:after="0"/>
        <w:rPr>
          <w:rFonts w:cs="Arial"/>
          <w:szCs w:val="22"/>
        </w:rPr>
      </w:pPr>
    </w:p>
    <w:p w:rsidR="00404477" w:rsidRDefault="00B6723E" w:rsidP="007C6D77">
      <w:pPr>
        <w:pStyle w:val="Style3"/>
        <w:spacing w:after="0"/>
        <w:rPr>
          <w:rFonts w:cs="Arial"/>
          <w:szCs w:val="22"/>
        </w:rPr>
      </w:pPr>
      <w:r w:rsidRPr="005A0FC8">
        <w:rPr>
          <w:rFonts w:cs="Arial"/>
          <w:szCs w:val="22"/>
        </w:rPr>
        <w:t>Restricted funds include funds held on behalf of third parties for the registration of trademarks or industrial designs, subscriptions to WIPO periodicals, etc. Also included are fees collected on behalf of contracting parties to the Madrid</w:t>
      </w:r>
      <w:r w:rsidR="003F5AEE">
        <w:rPr>
          <w:rFonts w:cs="Arial"/>
          <w:szCs w:val="22"/>
        </w:rPr>
        <w:t xml:space="preserve"> Agreement and Protocol,</w:t>
      </w:r>
      <w:r w:rsidRPr="005A0FC8">
        <w:rPr>
          <w:rFonts w:cs="Arial"/>
          <w:szCs w:val="22"/>
        </w:rPr>
        <w:t xml:space="preserve"> Hague </w:t>
      </w:r>
      <w:r w:rsidR="003F5AEE">
        <w:rPr>
          <w:rFonts w:cs="Arial"/>
          <w:szCs w:val="22"/>
        </w:rPr>
        <w:t>Agreement</w:t>
      </w:r>
      <w:r w:rsidRPr="005A0FC8">
        <w:rPr>
          <w:rFonts w:cs="Arial"/>
          <w:szCs w:val="22"/>
        </w:rPr>
        <w:t xml:space="preserve"> and on be</w:t>
      </w:r>
      <w:r w:rsidR="00805F6B">
        <w:rPr>
          <w:rFonts w:cs="Arial"/>
          <w:szCs w:val="22"/>
        </w:rPr>
        <w:t>half of PCT ISAs</w:t>
      </w:r>
      <w:r w:rsidRPr="005A0FC8">
        <w:rPr>
          <w:rFonts w:cs="Arial"/>
          <w:szCs w:val="22"/>
        </w:rPr>
        <w:t xml:space="preserve"> by the WIPO International Bureau Receiving Office. In addition, the deposits received in connection with pending procedures related to </w:t>
      </w:r>
      <w:r w:rsidR="003F5AEE">
        <w:rPr>
          <w:rFonts w:cs="Arial"/>
          <w:szCs w:val="22"/>
        </w:rPr>
        <w:t>t</w:t>
      </w:r>
      <w:r w:rsidRPr="005A0FC8">
        <w:rPr>
          <w:rFonts w:cs="Arial"/>
          <w:szCs w:val="22"/>
        </w:rPr>
        <w:t>rademarks, other than the portion estimated to represent advance receipts to the Organization, represent funds collected on behalf of third parties and are considered restricted funds. All such funds are held in Swiss francs.</w:t>
      </w:r>
      <w:r w:rsidR="00D065C0">
        <w:rPr>
          <w:rFonts w:cs="Arial"/>
          <w:szCs w:val="22"/>
        </w:rPr>
        <w:t xml:space="preserve"> </w:t>
      </w:r>
    </w:p>
    <w:p w:rsidR="00404477" w:rsidRDefault="00404477" w:rsidP="007C6D77">
      <w:pPr>
        <w:pStyle w:val="Style3"/>
        <w:spacing w:after="0"/>
        <w:rPr>
          <w:rFonts w:cs="Arial"/>
          <w:szCs w:val="22"/>
        </w:rPr>
      </w:pPr>
    </w:p>
    <w:p w:rsidR="006B132D" w:rsidRPr="005A0FC8" w:rsidRDefault="00730012" w:rsidP="007C6D77">
      <w:pPr>
        <w:pStyle w:val="Style3"/>
        <w:spacing w:after="0"/>
        <w:rPr>
          <w:rFonts w:cs="Arial"/>
          <w:szCs w:val="22"/>
        </w:rPr>
      </w:pPr>
      <w:r w:rsidRPr="005A0FC8">
        <w:rPr>
          <w:rFonts w:cs="Arial"/>
          <w:szCs w:val="22"/>
        </w:rPr>
        <w:t>The Organization minimizes the credit risk involved by holding</w:t>
      </w:r>
      <w:r w:rsidR="00404477">
        <w:rPr>
          <w:rFonts w:cs="Arial"/>
          <w:szCs w:val="22"/>
        </w:rPr>
        <w:t xml:space="preserve"> the vast majority</w:t>
      </w:r>
      <w:r w:rsidRPr="005A0FC8">
        <w:rPr>
          <w:rFonts w:cs="Arial"/>
          <w:szCs w:val="22"/>
        </w:rPr>
        <w:t xml:space="preserve"> of its funds in banks </w:t>
      </w:r>
      <w:r w:rsidR="008E3D9C" w:rsidRPr="005A0FC8">
        <w:rPr>
          <w:rFonts w:cs="Arial"/>
          <w:szCs w:val="22"/>
        </w:rPr>
        <w:t>with</w:t>
      </w:r>
      <w:r w:rsidRPr="005A0FC8">
        <w:rPr>
          <w:rFonts w:cs="Arial"/>
          <w:szCs w:val="22"/>
        </w:rPr>
        <w:t xml:space="preserve"> high</w:t>
      </w:r>
      <w:r w:rsidR="00404477">
        <w:rPr>
          <w:rFonts w:cs="Arial"/>
          <w:szCs w:val="22"/>
        </w:rPr>
        <w:t xml:space="preserve"> </w:t>
      </w:r>
      <w:r w:rsidR="003F5AEE">
        <w:rPr>
          <w:rFonts w:cs="Arial"/>
          <w:szCs w:val="22"/>
        </w:rPr>
        <w:t>or</w:t>
      </w:r>
      <w:r w:rsidR="00404477">
        <w:rPr>
          <w:rFonts w:cs="Arial"/>
          <w:szCs w:val="22"/>
        </w:rPr>
        <w:t xml:space="preserve"> upper medium grade</w:t>
      </w:r>
      <w:r w:rsidRPr="005A0FC8">
        <w:rPr>
          <w:rFonts w:cs="Arial"/>
          <w:szCs w:val="22"/>
        </w:rPr>
        <w:t xml:space="preserve"> credit ratings</w:t>
      </w:r>
      <w:r w:rsidR="00404477">
        <w:rPr>
          <w:rFonts w:cs="Arial"/>
          <w:szCs w:val="22"/>
        </w:rPr>
        <w:t>. However in certain cases funds are held in lower medium grade rated banks for specific operational purposes</w:t>
      </w:r>
      <w:r w:rsidRPr="005A0FC8">
        <w:rPr>
          <w:rFonts w:cs="Arial"/>
          <w:szCs w:val="22"/>
        </w:rPr>
        <w:t>:</w:t>
      </w:r>
    </w:p>
    <w:p w:rsidR="00E66F00" w:rsidRPr="005A0FC8" w:rsidRDefault="00E66F00" w:rsidP="00404477">
      <w:pPr>
        <w:pStyle w:val="Style3"/>
        <w:spacing w:after="0"/>
      </w:pPr>
    </w:p>
    <w:p w:rsidR="00730012" w:rsidRPr="00866E54" w:rsidRDefault="00BC7CD6" w:rsidP="007C6D77">
      <w:pPr>
        <w:jc w:val="both"/>
        <w:rPr>
          <w:szCs w:val="22"/>
        </w:rPr>
      </w:pPr>
      <w:r>
        <w:rPr>
          <w:noProof/>
        </w:rPr>
        <w:drawing>
          <wp:inline distT="0" distB="0" distL="0" distR="0" wp14:anchorId="5B559F40" wp14:editId="7ECB46BE">
            <wp:extent cx="5981700" cy="1200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81700" cy="1200150"/>
                    </a:xfrm>
                    <a:prstGeom prst="rect">
                      <a:avLst/>
                    </a:prstGeom>
                    <a:noFill/>
                    <a:ln>
                      <a:noFill/>
                    </a:ln>
                  </pic:spPr>
                </pic:pic>
              </a:graphicData>
            </a:graphic>
          </wp:inline>
        </w:drawing>
      </w:r>
    </w:p>
    <w:p w:rsidR="0001519E" w:rsidRDefault="0001519E" w:rsidP="00224A31">
      <w:pPr>
        <w:pStyle w:val="Style3"/>
        <w:spacing w:after="0"/>
        <w:rPr>
          <w:szCs w:val="22"/>
        </w:rPr>
      </w:pPr>
    </w:p>
    <w:p w:rsidR="00224A31" w:rsidRDefault="00224A31" w:rsidP="00224A31">
      <w:pPr>
        <w:pStyle w:val="Style3"/>
        <w:spacing w:after="0"/>
        <w:rPr>
          <w:szCs w:val="22"/>
        </w:rPr>
      </w:pPr>
      <w:r>
        <w:rPr>
          <w:szCs w:val="22"/>
        </w:rPr>
        <w:t>Special Accounts held on behalf of donors of voluntary contributions are deposited in the currency in which expenditures will be reported, based upon agreements with donors. The Organization maintains limited and informal overdraft arrangements with banks with which it has funds on deposit. These arrangements may be withdrawn by the banks at any time.</w:t>
      </w:r>
    </w:p>
    <w:p w:rsidR="00211690" w:rsidRPr="00D065C0" w:rsidRDefault="00A96793" w:rsidP="00901633">
      <w:pPr>
        <w:pStyle w:val="StyleHeading211ptNotBoldNotItalicAllcaps"/>
        <w:spacing w:before="0" w:after="0"/>
        <w:rPr>
          <w:szCs w:val="22"/>
        </w:rPr>
      </w:pPr>
      <w:r w:rsidRPr="00797AED">
        <w:lastRenderedPageBreak/>
        <w:t xml:space="preserve">Note </w:t>
      </w:r>
      <w:r w:rsidR="008C6D96" w:rsidRPr="00797AED">
        <w:t>4</w:t>
      </w:r>
      <w:r w:rsidRPr="00797AED">
        <w:t>:</w:t>
      </w:r>
      <w:r w:rsidR="00D065C0">
        <w:tab/>
      </w:r>
      <w:r w:rsidR="00ED77D2" w:rsidRPr="00797AED">
        <w:t>Accounts Receivable</w:t>
      </w:r>
      <w:r w:rsidR="00695A4A" w:rsidRPr="00797AED">
        <w:t>, advances</w:t>
      </w:r>
      <w:r w:rsidR="00ED77D2" w:rsidRPr="00797AED">
        <w:t xml:space="preserve"> and prepayments</w:t>
      </w:r>
    </w:p>
    <w:p w:rsidR="00901633" w:rsidRPr="00D065C0" w:rsidRDefault="00901633" w:rsidP="00901633">
      <w:pPr>
        <w:jc w:val="both"/>
        <w:rPr>
          <w:rFonts w:ascii="Arial" w:hAnsi="Arial" w:cs="Arial"/>
          <w:b/>
          <w:sz w:val="22"/>
          <w:szCs w:val="22"/>
        </w:rPr>
      </w:pPr>
    </w:p>
    <w:p w:rsidR="00B85BE6" w:rsidRPr="00866E54" w:rsidRDefault="00BC7CD6" w:rsidP="00901633">
      <w:pPr>
        <w:jc w:val="center"/>
      </w:pPr>
      <w:r>
        <w:rPr>
          <w:noProof/>
        </w:rPr>
        <w:drawing>
          <wp:inline distT="0" distB="0" distL="0" distR="0" wp14:anchorId="5765E7D3" wp14:editId="7B7B6CC7">
            <wp:extent cx="5981700" cy="590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81700" cy="5905500"/>
                    </a:xfrm>
                    <a:prstGeom prst="rect">
                      <a:avLst/>
                    </a:prstGeom>
                    <a:noFill/>
                    <a:ln>
                      <a:noFill/>
                    </a:ln>
                  </pic:spPr>
                </pic:pic>
              </a:graphicData>
            </a:graphic>
          </wp:inline>
        </w:drawing>
      </w:r>
    </w:p>
    <w:p w:rsidR="00B85BE6" w:rsidRPr="00D065C0" w:rsidRDefault="001467AE" w:rsidP="007C6D77">
      <w:pPr>
        <w:pStyle w:val="Style3"/>
        <w:spacing w:after="0"/>
        <w:rPr>
          <w:rFonts w:cs="Arial"/>
          <w:szCs w:val="22"/>
        </w:rPr>
      </w:pPr>
      <w:r w:rsidRPr="00D065C0">
        <w:rPr>
          <w:rFonts w:cs="Arial"/>
          <w:szCs w:val="22"/>
        </w:rPr>
        <w:t>Assessed contributions represent uncollected revenue related to the WIPO unitary contribution system approved by the Assemblies of the Member States and the Unions administered by WIPO. The Assemblies fix the value of a contribution unit in Swiss francs together with the Budget for a biennial financial period.  Contribution classes are each required to contribute a specific number of contribution units.  Member States are free to choose the class determining the basis under which they will contribute, other than certain developing countries that aut</w:t>
      </w:r>
      <w:r w:rsidR="00830375" w:rsidRPr="00D065C0">
        <w:rPr>
          <w:rFonts w:cs="Arial"/>
          <w:szCs w:val="22"/>
        </w:rPr>
        <w:t xml:space="preserve">omatically belong to one of three special classes.  </w:t>
      </w:r>
      <w:r w:rsidR="00524DAA" w:rsidRPr="00D065C0">
        <w:rPr>
          <w:rFonts w:cs="Arial"/>
          <w:szCs w:val="22"/>
        </w:rPr>
        <w:t>Working capital contributions relate to amounts established by several Unions.</w:t>
      </w:r>
    </w:p>
    <w:p w:rsidR="00901A9A" w:rsidRPr="00D065C0" w:rsidRDefault="00901A9A" w:rsidP="007C6D77">
      <w:pPr>
        <w:jc w:val="both"/>
        <w:rPr>
          <w:rFonts w:ascii="Arial" w:hAnsi="Arial" w:cs="Arial"/>
          <w:sz w:val="22"/>
          <w:szCs w:val="22"/>
        </w:rPr>
      </w:pPr>
    </w:p>
    <w:p w:rsidR="00FA59CE" w:rsidRPr="00D065C0" w:rsidRDefault="00FA59CE" w:rsidP="007C6D77">
      <w:pPr>
        <w:pStyle w:val="Style3"/>
        <w:spacing w:after="0"/>
        <w:rPr>
          <w:rFonts w:cs="Arial"/>
          <w:szCs w:val="22"/>
        </w:rPr>
      </w:pPr>
      <w:r w:rsidRPr="00D065C0">
        <w:rPr>
          <w:rFonts w:cs="Arial"/>
          <w:szCs w:val="22"/>
        </w:rPr>
        <w:t xml:space="preserve">PCT debtors include </w:t>
      </w:r>
      <w:r w:rsidR="00F234A6" w:rsidRPr="00D065C0">
        <w:rPr>
          <w:rFonts w:cs="Arial"/>
          <w:szCs w:val="22"/>
        </w:rPr>
        <w:t xml:space="preserve">an estimate of </w:t>
      </w:r>
      <w:r w:rsidRPr="00D065C0">
        <w:rPr>
          <w:rFonts w:cs="Arial"/>
          <w:szCs w:val="22"/>
        </w:rPr>
        <w:t xml:space="preserve">those international patent applications received by national receiving offices </w:t>
      </w:r>
      <w:r w:rsidR="00750EF1" w:rsidRPr="00D065C0">
        <w:rPr>
          <w:rFonts w:cs="Arial"/>
          <w:szCs w:val="22"/>
        </w:rPr>
        <w:t xml:space="preserve">prior to the reporting date </w:t>
      </w:r>
      <w:r w:rsidRPr="00D065C0">
        <w:rPr>
          <w:rFonts w:cs="Arial"/>
          <w:szCs w:val="22"/>
        </w:rPr>
        <w:t>but not transferred to the Organization</w:t>
      </w:r>
      <w:r w:rsidR="006E6AEF" w:rsidRPr="00D065C0">
        <w:rPr>
          <w:rFonts w:cs="Arial"/>
          <w:szCs w:val="22"/>
        </w:rPr>
        <w:t>’</w:t>
      </w:r>
      <w:r w:rsidRPr="00D065C0">
        <w:rPr>
          <w:rFonts w:cs="Arial"/>
          <w:szCs w:val="22"/>
        </w:rPr>
        <w:t>s PCT International Bureau by the reporting date.</w:t>
      </w:r>
      <w:r w:rsidR="007622EF" w:rsidRPr="00D065C0">
        <w:rPr>
          <w:rFonts w:cs="Arial"/>
          <w:szCs w:val="22"/>
        </w:rPr>
        <w:t xml:space="preserve"> </w:t>
      </w:r>
    </w:p>
    <w:p w:rsidR="00BC3A63" w:rsidRPr="00D065C0" w:rsidRDefault="00BC3A63" w:rsidP="007C6D77">
      <w:pPr>
        <w:pStyle w:val="Style3"/>
        <w:spacing w:after="0"/>
        <w:rPr>
          <w:rFonts w:cs="Arial"/>
          <w:szCs w:val="22"/>
        </w:rPr>
      </w:pPr>
    </w:p>
    <w:p w:rsidR="00153096" w:rsidRPr="00D065C0" w:rsidRDefault="004418AA" w:rsidP="007C6D77">
      <w:pPr>
        <w:pStyle w:val="Style3"/>
        <w:spacing w:after="0"/>
        <w:rPr>
          <w:rFonts w:cs="Arial"/>
          <w:szCs w:val="22"/>
        </w:rPr>
      </w:pPr>
      <w:r w:rsidRPr="00D065C0">
        <w:rPr>
          <w:rFonts w:cs="Arial"/>
          <w:szCs w:val="22"/>
        </w:rPr>
        <w:t>A</w:t>
      </w:r>
      <w:r w:rsidR="00901A9A" w:rsidRPr="00D065C0">
        <w:rPr>
          <w:rFonts w:cs="Arial"/>
          <w:szCs w:val="22"/>
        </w:rPr>
        <w:t>n allowance</w:t>
      </w:r>
      <w:r w:rsidRPr="00D065C0">
        <w:rPr>
          <w:rFonts w:cs="Arial"/>
          <w:szCs w:val="22"/>
        </w:rPr>
        <w:t xml:space="preserve"> has been established to offset </w:t>
      </w:r>
      <w:r w:rsidR="001C4123" w:rsidRPr="00D065C0">
        <w:rPr>
          <w:rFonts w:cs="Arial"/>
          <w:szCs w:val="22"/>
        </w:rPr>
        <w:t xml:space="preserve">both </w:t>
      </w:r>
      <w:r w:rsidRPr="00D065C0">
        <w:rPr>
          <w:rFonts w:cs="Arial"/>
          <w:szCs w:val="22"/>
        </w:rPr>
        <w:t xml:space="preserve">the value of receivables </w:t>
      </w:r>
      <w:r w:rsidR="001C4123" w:rsidRPr="00D065C0">
        <w:rPr>
          <w:rFonts w:cs="Arial"/>
          <w:szCs w:val="22"/>
        </w:rPr>
        <w:t xml:space="preserve">due </w:t>
      </w:r>
      <w:r w:rsidRPr="00D065C0">
        <w:rPr>
          <w:rFonts w:cs="Arial"/>
          <w:szCs w:val="22"/>
        </w:rPr>
        <w:t xml:space="preserve">from assessed contributions </w:t>
      </w:r>
      <w:r w:rsidR="00524DAA" w:rsidRPr="00D065C0">
        <w:rPr>
          <w:rFonts w:cs="Arial"/>
          <w:szCs w:val="22"/>
        </w:rPr>
        <w:t xml:space="preserve">and </w:t>
      </w:r>
      <w:r w:rsidR="00CE10D7" w:rsidRPr="00D065C0">
        <w:rPr>
          <w:rFonts w:cs="Arial"/>
          <w:szCs w:val="22"/>
        </w:rPr>
        <w:t xml:space="preserve">the </w:t>
      </w:r>
      <w:r w:rsidR="00524DAA" w:rsidRPr="00D065C0">
        <w:rPr>
          <w:rFonts w:cs="Arial"/>
          <w:szCs w:val="22"/>
        </w:rPr>
        <w:t xml:space="preserve">working capital fund contributions </w:t>
      </w:r>
      <w:r w:rsidRPr="00D065C0">
        <w:rPr>
          <w:rFonts w:cs="Arial"/>
          <w:szCs w:val="22"/>
        </w:rPr>
        <w:t xml:space="preserve">due from Unions </w:t>
      </w:r>
      <w:r w:rsidR="001C4123" w:rsidRPr="00D065C0">
        <w:rPr>
          <w:rFonts w:cs="Arial"/>
          <w:szCs w:val="22"/>
        </w:rPr>
        <w:t xml:space="preserve">which </w:t>
      </w:r>
      <w:r w:rsidRPr="00D065C0">
        <w:rPr>
          <w:rFonts w:cs="Arial"/>
          <w:szCs w:val="22"/>
        </w:rPr>
        <w:t>relate to periods prior to the introduction of unitary contributions in 1994</w:t>
      </w:r>
      <w:r w:rsidR="001C4123" w:rsidRPr="00D065C0">
        <w:rPr>
          <w:rFonts w:cs="Arial"/>
          <w:szCs w:val="22"/>
        </w:rPr>
        <w:t xml:space="preserve">. The </w:t>
      </w:r>
      <w:r w:rsidR="00901A9A" w:rsidRPr="00D065C0">
        <w:rPr>
          <w:rFonts w:cs="Arial"/>
          <w:szCs w:val="22"/>
        </w:rPr>
        <w:t>allowance</w:t>
      </w:r>
      <w:r w:rsidR="001C4123" w:rsidRPr="00D065C0">
        <w:rPr>
          <w:rFonts w:cs="Arial"/>
          <w:szCs w:val="22"/>
        </w:rPr>
        <w:t xml:space="preserve"> covers amounts due from</w:t>
      </w:r>
      <w:r w:rsidRPr="00D065C0">
        <w:rPr>
          <w:rFonts w:cs="Arial"/>
          <w:szCs w:val="22"/>
        </w:rPr>
        <w:t xml:space="preserve"> </w:t>
      </w:r>
      <w:r w:rsidRPr="00D065C0">
        <w:rPr>
          <w:rFonts w:cs="Arial"/>
          <w:szCs w:val="22"/>
        </w:rPr>
        <w:lastRenderedPageBreak/>
        <w:t>Member States that have lost the right to vote under Article 11, paragraph 5 of the WIPO Convention</w:t>
      </w:r>
      <w:r w:rsidR="002C6F04" w:rsidRPr="00D065C0">
        <w:rPr>
          <w:rFonts w:cs="Arial"/>
          <w:szCs w:val="22"/>
        </w:rPr>
        <w:t xml:space="preserve"> and contributions from least developed countries</w:t>
      </w:r>
      <w:r w:rsidR="00805F6B">
        <w:rPr>
          <w:rFonts w:cs="Arial"/>
          <w:szCs w:val="22"/>
        </w:rPr>
        <w:t xml:space="preserve"> (LDCs)</w:t>
      </w:r>
      <w:r w:rsidR="002C6F04" w:rsidRPr="00D065C0">
        <w:rPr>
          <w:rFonts w:cs="Arial"/>
          <w:szCs w:val="22"/>
        </w:rPr>
        <w:t xml:space="preserve"> </w:t>
      </w:r>
      <w:r w:rsidR="001C4123" w:rsidRPr="00D065C0">
        <w:rPr>
          <w:rFonts w:cs="Arial"/>
          <w:szCs w:val="22"/>
        </w:rPr>
        <w:t xml:space="preserve">which have been </w:t>
      </w:r>
      <w:r w:rsidR="002C6F04" w:rsidRPr="00D065C0">
        <w:rPr>
          <w:rFonts w:cs="Arial"/>
          <w:szCs w:val="22"/>
        </w:rPr>
        <w:t>frozen by action of the Assemblies</w:t>
      </w:r>
      <w:r w:rsidR="00844FA0" w:rsidRPr="00D065C0">
        <w:rPr>
          <w:rFonts w:cs="Arial"/>
          <w:szCs w:val="22"/>
        </w:rPr>
        <w:t xml:space="preserve">. </w:t>
      </w:r>
    </w:p>
    <w:p w:rsidR="00173FBC" w:rsidRPr="00D065C0" w:rsidRDefault="00173FBC" w:rsidP="007C6D77">
      <w:pPr>
        <w:pStyle w:val="Style3"/>
        <w:spacing w:after="0"/>
        <w:rPr>
          <w:rFonts w:cs="Arial"/>
          <w:szCs w:val="22"/>
        </w:rPr>
      </w:pPr>
    </w:p>
    <w:p w:rsidR="00173FBC" w:rsidRPr="00D065C0" w:rsidRDefault="00173FBC" w:rsidP="007C6D77">
      <w:pPr>
        <w:pStyle w:val="Style3"/>
        <w:spacing w:after="0"/>
        <w:rPr>
          <w:rFonts w:cs="Arial"/>
          <w:szCs w:val="22"/>
        </w:rPr>
      </w:pPr>
      <w:r w:rsidRPr="00D065C0">
        <w:rPr>
          <w:rFonts w:cs="Arial"/>
          <w:szCs w:val="22"/>
        </w:rPr>
        <w:t>International staff, other than those living in their home</w:t>
      </w:r>
      <w:r w:rsidR="00477A38" w:rsidRPr="00D065C0">
        <w:rPr>
          <w:rFonts w:cs="Arial"/>
          <w:szCs w:val="22"/>
        </w:rPr>
        <w:t xml:space="preserve"> country</w:t>
      </w:r>
      <w:r w:rsidRPr="00D065C0">
        <w:rPr>
          <w:rFonts w:cs="Arial"/>
          <w:szCs w:val="22"/>
        </w:rPr>
        <w:t>, are eligible to receive a grant covering 75</w:t>
      </w:r>
      <w:r w:rsidR="00D476DD">
        <w:rPr>
          <w:rFonts w:cs="Arial"/>
          <w:szCs w:val="22"/>
        </w:rPr>
        <w:t xml:space="preserve"> </w:t>
      </w:r>
      <w:r w:rsidR="002D6885">
        <w:rPr>
          <w:rFonts w:cs="Arial"/>
          <w:szCs w:val="22"/>
        </w:rPr>
        <w:t>per cent</w:t>
      </w:r>
      <w:r w:rsidRPr="00D065C0">
        <w:rPr>
          <w:rFonts w:cs="Arial"/>
          <w:szCs w:val="22"/>
        </w:rPr>
        <w:t xml:space="preserve"> of the costs of education for dependent children until the end of the school year in which the child reaches the age of 25.  Maximum grants are established for each country.  International </w:t>
      </w:r>
      <w:proofErr w:type="gramStart"/>
      <w:r w:rsidRPr="00D065C0">
        <w:rPr>
          <w:rFonts w:cs="Arial"/>
          <w:szCs w:val="22"/>
        </w:rPr>
        <w:t>staff are</w:t>
      </w:r>
      <w:proofErr w:type="gramEnd"/>
      <w:r w:rsidRPr="00D065C0">
        <w:rPr>
          <w:rFonts w:cs="Arial"/>
          <w:szCs w:val="22"/>
        </w:rPr>
        <w:t xml:space="preserve"> eligible to receive an advance equal to the estimated amount of the education grant for each child at the beginning of the scholastic year. Staff advances for education grants represent the portion of grants advanced for the 201</w:t>
      </w:r>
      <w:r w:rsidR="00A43A6E">
        <w:rPr>
          <w:rFonts w:cs="Arial"/>
          <w:szCs w:val="22"/>
        </w:rPr>
        <w:t>2</w:t>
      </w:r>
      <w:r w:rsidRPr="00D065C0">
        <w:rPr>
          <w:rFonts w:cs="Arial"/>
          <w:szCs w:val="22"/>
        </w:rPr>
        <w:t>-201</w:t>
      </w:r>
      <w:r w:rsidR="00A43A6E">
        <w:rPr>
          <w:rFonts w:cs="Arial"/>
          <w:szCs w:val="22"/>
        </w:rPr>
        <w:t>3</w:t>
      </w:r>
      <w:r w:rsidRPr="00D065C0">
        <w:rPr>
          <w:rFonts w:cs="Arial"/>
          <w:szCs w:val="22"/>
        </w:rPr>
        <w:t xml:space="preserve"> year scholastic year which remain outstanding at December</w:t>
      </w:r>
      <w:r w:rsidR="00B85BE6" w:rsidRPr="00D065C0">
        <w:rPr>
          <w:rFonts w:cs="Arial"/>
          <w:szCs w:val="22"/>
        </w:rPr>
        <w:t xml:space="preserve"> 31,</w:t>
      </w:r>
      <w:r w:rsidRPr="00D065C0">
        <w:rPr>
          <w:rFonts w:cs="Arial"/>
          <w:szCs w:val="22"/>
        </w:rPr>
        <w:t xml:space="preserve"> 201</w:t>
      </w:r>
      <w:r w:rsidR="00A43A6E">
        <w:rPr>
          <w:rFonts w:cs="Arial"/>
          <w:szCs w:val="22"/>
        </w:rPr>
        <w:t>2</w:t>
      </w:r>
      <w:r w:rsidRPr="00D065C0">
        <w:rPr>
          <w:rFonts w:cs="Arial"/>
          <w:szCs w:val="22"/>
        </w:rPr>
        <w:t>.</w:t>
      </w:r>
    </w:p>
    <w:p w:rsidR="00834CF6" w:rsidRPr="00D065C0" w:rsidRDefault="00834CF6" w:rsidP="007C6D77">
      <w:pPr>
        <w:pStyle w:val="Style3"/>
        <w:spacing w:after="0"/>
        <w:rPr>
          <w:rFonts w:cs="Arial"/>
          <w:szCs w:val="22"/>
        </w:rPr>
      </w:pPr>
    </w:p>
    <w:p w:rsidR="00834CF6" w:rsidRPr="00D065C0" w:rsidRDefault="00834CF6" w:rsidP="007C6D77">
      <w:pPr>
        <w:pStyle w:val="Style3"/>
        <w:spacing w:after="0"/>
        <w:rPr>
          <w:rFonts w:cs="Arial"/>
          <w:szCs w:val="22"/>
        </w:rPr>
      </w:pPr>
      <w:r w:rsidRPr="00D065C0">
        <w:rPr>
          <w:rFonts w:cs="Arial"/>
          <w:szCs w:val="22"/>
        </w:rPr>
        <w:t xml:space="preserve">Funds advanced to the United Nations Development Program (UNDP) are utilized to make payments on behalf of the Organization.  The total </w:t>
      </w:r>
      <w:r w:rsidR="001C4123" w:rsidRPr="00D065C0">
        <w:rPr>
          <w:rFonts w:cs="Arial"/>
          <w:szCs w:val="22"/>
        </w:rPr>
        <w:t xml:space="preserve">debtor </w:t>
      </w:r>
      <w:r w:rsidRPr="00D065C0">
        <w:rPr>
          <w:rFonts w:cs="Arial"/>
          <w:szCs w:val="22"/>
        </w:rPr>
        <w:t xml:space="preserve">amount shown includes </w:t>
      </w:r>
      <w:r w:rsidR="001C4123" w:rsidRPr="00D065C0">
        <w:rPr>
          <w:rFonts w:cs="Arial"/>
          <w:szCs w:val="22"/>
        </w:rPr>
        <w:t xml:space="preserve">amounts for </w:t>
      </w:r>
      <w:r w:rsidRPr="00D065C0">
        <w:rPr>
          <w:rFonts w:cs="Arial"/>
          <w:szCs w:val="22"/>
        </w:rPr>
        <w:t xml:space="preserve">requests made to UNDP for payments for which confirmation has not </w:t>
      </w:r>
      <w:r w:rsidR="001C4123" w:rsidRPr="00D065C0">
        <w:rPr>
          <w:rFonts w:cs="Arial"/>
          <w:szCs w:val="22"/>
        </w:rPr>
        <w:t xml:space="preserve">yet </w:t>
      </w:r>
      <w:r w:rsidRPr="00D065C0">
        <w:rPr>
          <w:rFonts w:cs="Arial"/>
          <w:szCs w:val="22"/>
        </w:rPr>
        <w:t xml:space="preserve">been received or </w:t>
      </w:r>
      <w:r w:rsidR="001C4123" w:rsidRPr="00D065C0">
        <w:rPr>
          <w:rFonts w:cs="Arial"/>
          <w:szCs w:val="22"/>
        </w:rPr>
        <w:t xml:space="preserve">for which </w:t>
      </w:r>
      <w:r w:rsidRPr="00D065C0">
        <w:rPr>
          <w:rFonts w:cs="Arial"/>
          <w:szCs w:val="22"/>
        </w:rPr>
        <w:t xml:space="preserve">the confirmation is in the process of </w:t>
      </w:r>
      <w:r w:rsidR="001C4123" w:rsidRPr="00D065C0">
        <w:rPr>
          <w:rFonts w:cs="Arial"/>
          <w:szCs w:val="22"/>
        </w:rPr>
        <w:t>being verified</w:t>
      </w:r>
      <w:r w:rsidRPr="00D065C0">
        <w:rPr>
          <w:rFonts w:cs="Arial"/>
          <w:szCs w:val="22"/>
        </w:rPr>
        <w:t>.  Funds advanced to the International Union for the Protection of New Varie</w:t>
      </w:r>
      <w:r w:rsidR="00A17176" w:rsidRPr="00D065C0">
        <w:rPr>
          <w:rFonts w:cs="Arial"/>
          <w:szCs w:val="22"/>
        </w:rPr>
        <w:t>ties of Plants (UPOV) represent</w:t>
      </w:r>
      <w:r w:rsidRPr="00D065C0">
        <w:rPr>
          <w:rFonts w:cs="Arial"/>
          <w:szCs w:val="22"/>
        </w:rPr>
        <w:t xml:space="preserve"> payments made on behalf of UPOV by the Organization for which reimbursement has not </w:t>
      </w:r>
      <w:r w:rsidR="001C4123" w:rsidRPr="00D065C0">
        <w:rPr>
          <w:rFonts w:cs="Arial"/>
          <w:szCs w:val="22"/>
        </w:rPr>
        <w:t xml:space="preserve">yet </w:t>
      </w:r>
      <w:r w:rsidRPr="00D065C0">
        <w:rPr>
          <w:rFonts w:cs="Arial"/>
          <w:szCs w:val="22"/>
        </w:rPr>
        <w:t>been received.</w:t>
      </w:r>
    </w:p>
    <w:p w:rsidR="00427886" w:rsidRPr="00D065C0" w:rsidRDefault="00427886" w:rsidP="007C6D77">
      <w:pPr>
        <w:pStyle w:val="Style3"/>
        <w:spacing w:after="0"/>
        <w:rPr>
          <w:rFonts w:cs="Arial"/>
          <w:szCs w:val="22"/>
        </w:rPr>
      </w:pPr>
    </w:p>
    <w:p w:rsidR="00834CF6" w:rsidRPr="00D065C0" w:rsidRDefault="00185D9E" w:rsidP="00901633">
      <w:pPr>
        <w:pStyle w:val="Style3"/>
        <w:spacing w:after="0"/>
        <w:rPr>
          <w:rFonts w:cs="Arial"/>
          <w:szCs w:val="22"/>
        </w:rPr>
      </w:pPr>
      <w:r w:rsidRPr="00D065C0">
        <w:rPr>
          <w:rFonts w:cs="Arial"/>
          <w:szCs w:val="22"/>
        </w:rPr>
        <w:t xml:space="preserve">The </w:t>
      </w:r>
      <w:r w:rsidR="00805F6B">
        <w:rPr>
          <w:rFonts w:cs="Arial"/>
          <w:szCs w:val="22"/>
        </w:rPr>
        <w:t>United States of America</w:t>
      </w:r>
      <w:r w:rsidR="00834CF6" w:rsidRPr="00D065C0">
        <w:rPr>
          <w:rFonts w:cs="Arial"/>
          <w:szCs w:val="22"/>
        </w:rPr>
        <w:t xml:space="preserve"> taxes receivable represent</w:t>
      </w:r>
      <w:r w:rsidR="00946737">
        <w:rPr>
          <w:rFonts w:cs="Arial"/>
          <w:szCs w:val="22"/>
        </w:rPr>
        <w:t>s</w:t>
      </w:r>
      <w:r w:rsidR="0043764A" w:rsidRPr="00D065C0">
        <w:rPr>
          <w:rFonts w:cs="Arial"/>
          <w:szCs w:val="22"/>
        </w:rPr>
        <w:t xml:space="preserve"> </w:t>
      </w:r>
      <w:r w:rsidR="00834CF6" w:rsidRPr="00D065C0">
        <w:rPr>
          <w:rFonts w:cs="Arial"/>
          <w:szCs w:val="22"/>
        </w:rPr>
        <w:t xml:space="preserve">amounts advanced to members of staff to reimburse them for the payment of income taxes to the United States of America.  Under agreements between the Organization and the </w:t>
      </w:r>
      <w:r w:rsidR="00805F6B">
        <w:rPr>
          <w:rFonts w:cs="Arial"/>
          <w:szCs w:val="22"/>
        </w:rPr>
        <w:t>United States of America</w:t>
      </w:r>
      <w:r w:rsidR="00834CF6" w:rsidRPr="00D065C0">
        <w:rPr>
          <w:rFonts w:cs="Arial"/>
          <w:szCs w:val="22"/>
        </w:rPr>
        <w:t xml:space="preserve">, these amounts are reimbursable to the Organization.  Swiss taxes reimbursable include payments for VAT, stamp tax and Swiss Federal withholding tax </w:t>
      </w:r>
      <w:r w:rsidR="00444064" w:rsidRPr="00D065C0">
        <w:rPr>
          <w:rFonts w:cs="Arial"/>
          <w:szCs w:val="22"/>
        </w:rPr>
        <w:t>for which the Organization is eligible for reimbursement under its headquarters agreement with the Government of Switzerland.</w:t>
      </w:r>
    </w:p>
    <w:p w:rsidR="004E7EB2" w:rsidRDefault="004E7EB2" w:rsidP="00901633">
      <w:pPr>
        <w:pStyle w:val="STYLETITRENOTES"/>
        <w:rPr>
          <w:rFonts w:cs="Arial"/>
          <w:szCs w:val="22"/>
        </w:rPr>
      </w:pPr>
    </w:p>
    <w:p w:rsidR="0017684B" w:rsidRPr="00D065C0" w:rsidRDefault="0017684B" w:rsidP="00901633">
      <w:pPr>
        <w:pStyle w:val="STYLETITRENOTES"/>
        <w:rPr>
          <w:rFonts w:cs="Arial"/>
          <w:szCs w:val="22"/>
        </w:rPr>
      </w:pPr>
    </w:p>
    <w:p w:rsidR="008C6D96" w:rsidRPr="00D065C0" w:rsidRDefault="008C6D96" w:rsidP="00A43A6E">
      <w:pPr>
        <w:pStyle w:val="StyleHeading211ptNotBoldNotItalicAllcaps"/>
        <w:spacing w:before="0" w:after="0"/>
      </w:pPr>
      <w:r w:rsidRPr="00D065C0">
        <w:t>Note 5:</w:t>
      </w:r>
      <w:r w:rsidR="00D065C0">
        <w:tab/>
      </w:r>
      <w:r w:rsidRPr="00D065C0">
        <w:t>Inventories</w:t>
      </w:r>
    </w:p>
    <w:p w:rsidR="00F26D81" w:rsidRPr="00866E54" w:rsidRDefault="00BC7CD6" w:rsidP="00A43A6E">
      <w:pPr>
        <w:jc w:val="center"/>
        <w:rPr>
          <w:szCs w:val="22"/>
        </w:rPr>
      </w:pPr>
      <w:r>
        <w:rPr>
          <w:noProof/>
        </w:rPr>
        <w:drawing>
          <wp:inline distT="0" distB="0" distL="0" distR="0" wp14:anchorId="49091A69" wp14:editId="7D46FB3E">
            <wp:extent cx="5981700" cy="1457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81700" cy="1457325"/>
                    </a:xfrm>
                    <a:prstGeom prst="rect">
                      <a:avLst/>
                    </a:prstGeom>
                    <a:noFill/>
                    <a:ln>
                      <a:noFill/>
                    </a:ln>
                  </pic:spPr>
                </pic:pic>
              </a:graphicData>
            </a:graphic>
          </wp:inline>
        </w:drawing>
      </w:r>
    </w:p>
    <w:p w:rsidR="008C6D96" w:rsidRPr="00D065C0" w:rsidRDefault="00FE6FEC" w:rsidP="004E7EB2">
      <w:pPr>
        <w:jc w:val="both"/>
        <w:rPr>
          <w:rStyle w:val="Style3Char"/>
          <w:rFonts w:cs="Arial"/>
          <w:szCs w:val="22"/>
        </w:rPr>
      </w:pPr>
      <w:r w:rsidRPr="00D065C0">
        <w:rPr>
          <w:rStyle w:val="Style3Char"/>
          <w:rFonts w:cs="Arial"/>
          <w:szCs w:val="22"/>
        </w:rPr>
        <w:t>The write-</w:t>
      </w:r>
      <w:r w:rsidRPr="005D4E83">
        <w:rPr>
          <w:rStyle w:val="Style3Char"/>
          <w:rFonts w:cs="Arial"/>
          <w:szCs w:val="22"/>
        </w:rPr>
        <w:t xml:space="preserve">down </w:t>
      </w:r>
      <w:r w:rsidR="00856E6D" w:rsidRPr="005D4E83">
        <w:rPr>
          <w:rStyle w:val="Style3Char"/>
          <w:rFonts w:cs="Arial"/>
          <w:szCs w:val="22"/>
        </w:rPr>
        <w:t>of finished publications</w:t>
      </w:r>
      <w:r w:rsidRPr="005D4E83">
        <w:rPr>
          <w:rStyle w:val="Style3Char"/>
          <w:rFonts w:cs="Arial"/>
          <w:szCs w:val="22"/>
        </w:rPr>
        <w:t xml:space="preserve"> inventories to net realizable value amounted to</w:t>
      </w:r>
      <w:r w:rsidR="003545E3" w:rsidRPr="005D4E83">
        <w:rPr>
          <w:rStyle w:val="Style3Char"/>
          <w:rFonts w:cs="Arial"/>
          <w:szCs w:val="22"/>
        </w:rPr>
        <w:t xml:space="preserve"> </w:t>
      </w:r>
      <w:r w:rsidR="00B33513">
        <w:rPr>
          <w:rStyle w:val="Style3Char"/>
          <w:rFonts w:cs="Arial"/>
          <w:szCs w:val="22"/>
        </w:rPr>
        <w:t>0.2 </w:t>
      </w:r>
      <w:r w:rsidR="005D4E83" w:rsidRPr="005D4E83">
        <w:rPr>
          <w:rStyle w:val="Style3Char"/>
          <w:rFonts w:cs="Arial"/>
          <w:szCs w:val="22"/>
        </w:rPr>
        <w:t>million</w:t>
      </w:r>
      <w:r w:rsidR="003545E3" w:rsidRPr="005D4E83">
        <w:rPr>
          <w:rStyle w:val="Style3Char"/>
          <w:rFonts w:cs="Arial"/>
          <w:szCs w:val="22"/>
        </w:rPr>
        <w:t xml:space="preserve"> Swiss francs</w:t>
      </w:r>
      <w:r w:rsidRPr="00D065C0">
        <w:rPr>
          <w:rStyle w:val="Style3Char"/>
          <w:rFonts w:cs="Arial"/>
          <w:szCs w:val="22"/>
        </w:rPr>
        <w:t xml:space="preserve"> </w:t>
      </w:r>
      <w:r w:rsidR="003545E3">
        <w:rPr>
          <w:rStyle w:val="Style3Char"/>
          <w:rFonts w:cs="Arial"/>
          <w:szCs w:val="22"/>
        </w:rPr>
        <w:t>(</w:t>
      </w:r>
      <w:r w:rsidR="00866E54">
        <w:rPr>
          <w:rStyle w:val="Style3Char"/>
          <w:rFonts w:cs="Arial"/>
          <w:szCs w:val="22"/>
        </w:rPr>
        <w:t>0</w:t>
      </w:r>
      <w:r w:rsidR="006305CD">
        <w:rPr>
          <w:rStyle w:val="Style3Char"/>
          <w:rFonts w:cs="Arial"/>
          <w:szCs w:val="22"/>
        </w:rPr>
        <w:t>.4 million</w:t>
      </w:r>
      <w:r w:rsidR="003545E3">
        <w:rPr>
          <w:rStyle w:val="Style3Char"/>
          <w:rFonts w:cs="Arial"/>
          <w:szCs w:val="22"/>
        </w:rPr>
        <w:t xml:space="preserve"> Swiss francs in 2011). </w:t>
      </w:r>
      <w:r w:rsidRPr="00D065C0">
        <w:rPr>
          <w:rStyle w:val="Style3Char"/>
          <w:rFonts w:cs="Arial"/>
          <w:szCs w:val="22"/>
        </w:rPr>
        <w:t>There have been no reversals of write-downs.</w:t>
      </w:r>
    </w:p>
    <w:p w:rsidR="00A74529" w:rsidRDefault="00A74529" w:rsidP="0017684B">
      <w:pPr>
        <w:pStyle w:val="StyleHeading211ptNotBoldNotItalicAllcaps"/>
        <w:spacing w:before="0" w:after="0"/>
      </w:pPr>
    </w:p>
    <w:p w:rsidR="008C6D96" w:rsidRPr="004B5787" w:rsidRDefault="00A74529" w:rsidP="0017684B">
      <w:pPr>
        <w:pStyle w:val="StyleHeading211ptNotBoldNotItalicAllcaps"/>
        <w:spacing w:before="0" w:after="0"/>
      </w:pPr>
      <w:r>
        <w:br w:type="page"/>
      </w:r>
      <w:r w:rsidR="008C6D96" w:rsidRPr="00797AED">
        <w:lastRenderedPageBreak/>
        <w:t>Note 6:</w:t>
      </w:r>
      <w:r w:rsidR="00D27223">
        <w:tab/>
      </w:r>
      <w:r w:rsidR="008C6D96" w:rsidRPr="00797AED">
        <w:t>Equipment</w:t>
      </w:r>
    </w:p>
    <w:p w:rsidR="00FE6FEC" w:rsidRDefault="00FE6FEC" w:rsidP="0017684B">
      <w:pPr>
        <w:pStyle w:val="Style3"/>
        <w:spacing w:after="0"/>
      </w:pPr>
    </w:p>
    <w:p w:rsidR="0087204A" w:rsidRPr="00D27223" w:rsidRDefault="00A43A6E" w:rsidP="007C6D77">
      <w:pPr>
        <w:pStyle w:val="Style3"/>
        <w:spacing w:after="0"/>
      </w:pPr>
      <w:r w:rsidRPr="00A43A6E">
        <w:t xml:space="preserve"> </w:t>
      </w:r>
    </w:p>
    <w:p w:rsidR="00FE6FEC" w:rsidRPr="005D4E83" w:rsidRDefault="00BC7CD6" w:rsidP="007C6D77">
      <w:pPr>
        <w:pStyle w:val="Style3"/>
        <w:spacing w:after="0"/>
      </w:pPr>
      <w:r>
        <w:rPr>
          <w:noProof/>
        </w:rPr>
        <w:drawing>
          <wp:inline distT="0" distB="0" distL="0" distR="0" wp14:anchorId="27217635" wp14:editId="49C08C52">
            <wp:extent cx="5972175" cy="34385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72175" cy="3438525"/>
                    </a:xfrm>
                    <a:prstGeom prst="rect">
                      <a:avLst/>
                    </a:prstGeom>
                    <a:noFill/>
                    <a:ln>
                      <a:noFill/>
                    </a:ln>
                  </pic:spPr>
                </pic:pic>
              </a:graphicData>
            </a:graphic>
          </wp:inline>
        </w:drawing>
      </w:r>
    </w:p>
    <w:p w:rsidR="004E7EB2" w:rsidRDefault="004E7EB2" w:rsidP="007C6D77">
      <w:pPr>
        <w:pStyle w:val="Style3"/>
        <w:spacing w:after="0"/>
      </w:pPr>
    </w:p>
    <w:p w:rsidR="00A74529" w:rsidRDefault="00A74529" w:rsidP="007C6D77">
      <w:pPr>
        <w:pStyle w:val="Style3"/>
        <w:spacing w:after="0"/>
      </w:pPr>
    </w:p>
    <w:p w:rsidR="00000282" w:rsidRDefault="00BC7CD6" w:rsidP="007C6D77">
      <w:pPr>
        <w:pStyle w:val="Style3"/>
        <w:spacing w:after="0"/>
      </w:pPr>
      <w:r>
        <w:rPr>
          <w:noProof/>
        </w:rPr>
        <w:drawing>
          <wp:inline distT="0" distB="0" distL="0" distR="0" wp14:anchorId="7AD4010C" wp14:editId="323932B4">
            <wp:extent cx="5972175" cy="343852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72175" cy="3438525"/>
                    </a:xfrm>
                    <a:prstGeom prst="rect">
                      <a:avLst/>
                    </a:prstGeom>
                    <a:noFill/>
                    <a:ln>
                      <a:noFill/>
                    </a:ln>
                  </pic:spPr>
                </pic:pic>
              </a:graphicData>
            </a:graphic>
          </wp:inline>
        </w:drawing>
      </w:r>
    </w:p>
    <w:p w:rsidR="005D4E83" w:rsidRPr="005D4E83" w:rsidRDefault="005D4E83" w:rsidP="007C6D77">
      <w:pPr>
        <w:pStyle w:val="Style3"/>
        <w:spacing w:after="0"/>
      </w:pPr>
    </w:p>
    <w:p w:rsidR="0017684B" w:rsidRDefault="008C6D96" w:rsidP="0017684B">
      <w:pPr>
        <w:pStyle w:val="Style3"/>
        <w:spacing w:after="0"/>
      </w:pPr>
      <w:r w:rsidRPr="004B5787">
        <w:t xml:space="preserve">All equipment in the inventory is valued at cost less depreciation based upon the straight-line </w:t>
      </w:r>
      <w:r w:rsidR="00946737">
        <w:t>basis</w:t>
      </w:r>
      <w:r w:rsidRPr="004B5787">
        <w:t xml:space="preserve">. Furniture and furnishings are depreciated over a ten year useful life.  All other equipment is depreciated over a five year useful life. </w:t>
      </w:r>
      <w:r>
        <w:t xml:space="preserve">Heritage assets including donated works of </w:t>
      </w:r>
      <w:r w:rsidRPr="00D27223">
        <w:t>art are not recognized as assets on the Statement of Financial Position.</w:t>
      </w:r>
    </w:p>
    <w:p w:rsidR="008C6D96" w:rsidRPr="00797AED" w:rsidRDefault="00A74529" w:rsidP="0017684B">
      <w:pPr>
        <w:pStyle w:val="StyleHeading211ptNotBoldNotItalicAllcaps"/>
        <w:spacing w:before="0" w:after="0"/>
      </w:pPr>
      <w:r>
        <w:br w:type="page"/>
      </w:r>
      <w:r w:rsidR="008C6D96" w:rsidRPr="00797AED">
        <w:lastRenderedPageBreak/>
        <w:t>Note 7</w:t>
      </w:r>
      <w:r w:rsidR="007F6B5A">
        <w:t>:</w:t>
      </w:r>
      <w:r w:rsidR="007F6B5A">
        <w:tab/>
      </w:r>
      <w:r w:rsidR="008C6D96" w:rsidRPr="00797AED">
        <w:t>Investment Property</w:t>
      </w:r>
      <w:r w:rsidR="005B2622">
        <w:t xml:space="preserve"> - </w:t>
      </w:r>
      <w:r w:rsidR="008C6D96" w:rsidRPr="00797AED">
        <w:t>WIPO as lessor</w:t>
      </w:r>
    </w:p>
    <w:p w:rsidR="008C6D96" w:rsidRPr="007F6B5A" w:rsidRDefault="008C6D96" w:rsidP="0017684B">
      <w:pPr>
        <w:jc w:val="both"/>
        <w:rPr>
          <w:rFonts w:ascii="Arial" w:hAnsi="Arial" w:cs="Arial"/>
          <w:sz w:val="22"/>
          <w:szCs w:val="22"/>
        </w:rPr>
      </w:pPr>
    </w:p>
    <w:p w:rsidR="000645F4" w:rsidRPr="003E7975" w:rsidRDefault="00956303" w:rsidP="0017684B">
      <w:pPr>
        <w:pStyle w:val="Style3"/>
        <w:spacing w:after="0"/>
        <w:rPr>
          <w:szCs w:val="22"/>
        </w:rPr>
      </w:pPr>
      <w:r w:rsidRPr="00956303">
        <w:t xml:space="preserve"> </w:t>
      </w:r>
      <w:r w:rsidR="00BC7CD6">
        <w:rPr>
          <w:noProof/>
        </w:rPr>
        <w:drawing>
          <wp:inline distT="0" distB="0" distL="0" distR="0" wp14:anchorId="575AFB48" wp14:editId="5866D577">
            <wp:extent cx="5972175" cy="1619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72175" cy="1619250"/>
                    </a:xfrm>
                    <a:prstGeom prst="rect">
                      <a:avLst/>
                    </a:prstGeom>
                    <a:noFill/>
                    <a:ln>
                      <a:noFill/>
                    </a:ln>
                  </pic:spPr>
                </pic:pic>
              </a:graphicData>
            </a:graphic>
          </wp:inline>
        </w:drawing>
      </w:r>
    </w:p>
    <w:p w:rsidR="00DC7B2C" w:rsidRPr="007F6B5A" w:rsidRDefault="008C6D96" w:rsidP="007C6D77">
      <w:pPr>
        <w:pStyle w:val="Style3"/>
        <w:spacing w:after="0"/>
        <w:rPr>
          <w:rFonts w:cs="Arial"/>
          <w:szCs w:val="22"/>
        </w:rPr>
      </w:pPr>
      <w:r w:rsidRPr="007F6B5A">
        <w:rPr>
          <w:rFonts w:cs="Arial"/>
          <w:szCs w:val="22"/>
        </w:rPr>
        <w:t>The Organization acquired in 1974</w:t>
      </w:r>
      <w:r w:rsidR="000645F4" w:rsidRPr="007F6B5A">
        <w:rPr>
          <w:rFonts w:cs="Arial"/>
          <w:szCs w:val="22"/>
        </w:rPr>
        <w:t xml:space="preserve"> the Madrid Union Building,</w:t>
      </w:r>
      <w:r w:rsidRPr="007F6B5A">
        <w:rPr>
          <w:rFonts w:cs="Arial"/>
          <w:szCs w:val="22"/>
        </w:rPr>
        <w:t xml:space="preserve"> an investment property in </w:t>
      </w:r>
      <w:proofErr w:type="spellStart"/>
      <w:r w:rsidRPr="007F6B5A">
        <w:rPr>
          <w:rFonts w:cs="Arial"/>
          <w:szCs w:val="22"/>
        </w:rPr>
        <w:t>Meyrin</w:t>
      </w:r>
      <w:proofErr w:type="spellEnd"/>
      <w:r w:rsidRPr="007F6B5A">
        <w:rPr>
          <w:rFonts w:cs="Arial"/>
          <w:szCs w:val="22"/>
        </w:rPr>
        <w:t xml:space="preserve">, Canton of Geneva, Switzerland. </w:t>
      </w:r>
      <w:r w:rsidR="00DF06E8" w:rsidRPr="005B2622">
        <w:rPr>
          <w:rFonts w:cs="Arial"/>
          <w:szCs w:val="22"/>
        </w:rPr>
        <w:t>The building had first been brought into service in 1964.</w:t>
      </w:r>
      <w:r w:rsidRPr="007F6B5A">
        <w:rPr>
          <w:rFonts w:cs="Arial"/>
          <w:szCs w:val="22"/>
        </w:rPr>
        <w:t xml:space="preserve"> </w:t>
      </w:r>
      <w:r w:rsidRPr="003545E3">
        <w:rPr>
          <w:rFonts w:cs="Arial"/>
          <w:szCs w:val="22"/>
        </w:rPr>
        <w:t xml:space="preserve">The property is </w:t>
      </w:r>
      <w:r w:rsidR="00946737" w:rsidRPr="003545E3">
        <w:rPr>
          <w:rFonts w:cs="Arial"/>
          <w:szCs w:val="22"/>
        </w:rPr>
        <w:t>held</w:t>
      </w:r>
      <w:r w:rsidRPr="003545E3">
        <w:rPr>
          <w:rFonts w:cs="Arial"/>
          <w:szCs w:val="22"/>
        </w:rPr>
        <w:t xml:space="preserve"> at fair value based on a valuation</w:t>
      </w:r>
      <w:r w:rsidR="00490187" w:rsidRPr="003545E3">
        <w:rPr>
          <w:rFonts w:cs="Arial"/>
          <w:szCs w:val="22"/>
        </w:rPr>
        <w:t xml:space="preserve"> at December</w:t>
      </w:r>
      <w:r w:rsidR="0043404D" w:rsidRPr="003545E3">
        <w:rPr>
          <w:rFonts w:cs="Arial"/>
          <w:szCs w:val="22"/>
        </w:rPr>
        <w:t xml:space="preserve"> 31,</w:t>
      </w:r>
      <w:r w:rsidR="00490187" w:rsidRPr="003545E3">
        <w:rPr>
          <w:rFonts w:cs="Arial"/>
          <w:szCs w:val="22"/>
        </w:rPr>
        <w:t xml:space="preserve"> 20</w:t>
      </w:r>
      <w:r w:rsidR="003E7975">
        <w:rPr>
          <w:rFonts w:cs="Arial"/>
          <w:szCs w:val="22"/>
        </w:rPr>
        <w:t>12</w:t>
      </w:r>
      <w:r w:rsidR="00805F6B">
        <w:rPr>
          <w:rFonts w:cs="Arial"/>
          <w:szCs w:val="22"/>
        </w:rPr>
        <w:t>,</w:t>
      </w:r>
      <w:r w:rsidRPr="007F6B5A">
        <w:rPr>
          <w:rFonts w:cs="Arial"/>
          <w:szCs w:val="22"/>
        </w:rPr>
        <w:t xml:space="preserve"> carried out by an independent expert holding recognized and relevant professional qualifications with recent experience in property valuation in the Canton of Geneva. Fair value was determined on an investment based valuation, whereby the future income stream from the property is capitalized at an appropriate investment yield. The yield was selected by reference to the perceived quality and duration of the income and the potential for further rental growth and was cross-referenced by the evidence provided by comparable sales.</w:t>
      </w:r>
      <w:r w:rsidR="003E7975">
        <w:rPr>
          <w:rFonts w:cs="Arial"/>
          <w:szCs w:val="22"/>
        </w:rPr>
        <w:t xml:space="preserve"> The valuation as at December 31, 2012</w:t>
      </w:r>
      <w:r w:rsidR="00805F6B">
        <w:rPr>
          <w:rFonts w:cs="Arial"/>
          <w:szCs w:val="22"/>
        </w:rPr>
        <w:t>,</w:t>
      </w:r>
      <w:r w:rsidR="003E7975">
        <w:rPr>
          <w:rFonts w:cs="Arial"/>
          <w:szCs w:val="22"/>
        </w:rPr>
        <w:t xml:space="preserve"> resulted in an increase in the f</w:t>
      </w:r>
      <w:r w:rsidR="00CA1D7E">
        <w:rPr>
          <w:rFonts w:cs="Arial"/>
          <w:szCs w:val="22"/>
        </w:rPr>
        <w:t>air value of the building of 0.5 million</w:t>
      </w:r>
      <w:r w:rsidR="003E7975">
        <w:rPr>
          <w:rFonts w:cs="Arial"/>
          <w:szCs w:val="22"/>
        </w:rPr>
        <w:t xml:space="preserve"> Swiss francs. This increase is recognized in 2012 as investment revenue in the statement of financial performance.</w:t>
      </w:r>
      <w:r w:rsidRPr="007F6B5A">
        <w:rPr>
          <w:rFonts w:cs="Arial"/>
          <w:szCs w:val="22"/>
        </w:rPr>
        <w:t xml:space="preserve"> </w:t>
      </w:r>
    </w:p>
    <w:p w:rsidR="008C6D96" w:rsidRPr="007F6B5A" w:rsidRDefault="008C6D96" w:rsidP="007C6D77">
      <w:pPr>
        <w:jc w:val="both"/>
        <w:rPr>
          <w:rFonts w:ascii="Arial" w:hAnsi="Arial" w:cs="Arial"/>
          <w:sz w:val="22"/>
          <w:szCs w:val="22"/>
        </w:rPr>
      </w:pPr>
    </w:p>
    <w:p w:rsidR="008C6D96" w:rsidRPr="007F6B5A" w:rsidRDefault="008C6D96" w:rsidP="00B90070">
      <w:pPr>
        <w:pStyle w:val="Style3"/>
        <w:spacing w:after="0"/>
        <w:rPr>
          <w:rFonts w:cs="Arial"/>
          <w:szCs w:val="22"/>
        </w:rPr>
      </w:pPr>
      <w:r w:rsidRPr="007F6B5A">
        <w:rPr>
          <w:rFonts w:cs="Arial"/>
          <w:szCs w:val="22"/>
        </w:rPr>
        <w:t>The leasing of apartments, parking and other facilities in the M</w:t>
      </w:r>
      <w:r w:rsidR="000645F4" w:rsidRPr="007F6B5A">
        <w:rPr>
          <w:rFonts w:cs="Arial"/>
          <w:szCs w:val="22"/>
        </w:rPr>
        <w:t>adrid Union</w:t>
      </w:r>
      <w:r w:rsidRPr="007F6B5A">
        <w:rPr>
          <w:rFonts w:cs="Arial"/>
          <w:szCs w:val="22"/>
        </w:rPr>
        <w:t xml:space="preserve"> Building is managed by a leasing agent responsible for collecting all rental income and paying for all expenditures incurred in the operation of the building. Leases are generally for periods of two years and are based on the form of lease approved by the Canton of Geneva.  All leases are non-cancellable during the period of the lease. The managing agent receives 3.9</w:t>
      </w:r>
      <w:r w:rsidR="004475F3">
        <w:rPr>
          <w:rFonts w:cs="Arial"/>
          <w:szCs w:val="22"/>
        </w:rPr>
        <w:t xml:space="preserve"> </w:t>
      </w:r>
      <w:r w:rsidR="002D6885">
        <w:rPr>
          <w:rFonts w:cs="Arial"/>
          <w:szCs w:val="22"/>
        </w:rPr>
        <w:t>per cent</w:t>
      </w:r>
      <w:r w:rsidRPr="007F6B5A">
        <w:rPr>
          <w:rFonts w:cs="Arial"/>
          <w:szCs w:val="22"/>
        </w:rPr>
        <w:t xml:space="preserve"> of the gross rental income as compensation for its services. The value of non-cancellable leases at December</w:t>
      </w:r>
      <w:r w:rsidR="00B33513">
        <w:rPr>
          <w:rFonts w:cs="Arial"/>
          <w:szCs w:val="22"/>
        </w:rPr>
        <w:t> </w:t>
      </w:r>
      <w:r w:rsidR="000645F4" w:rsidRPr="007F6B5A">
        <w:rPr>
          <w:rFonts w:cs="Arial"/>
          <w:szCs w:val="22"/>
        </w:rPr>
        <w:t>31,</w:t>
      </w:r>
      <w:r w:rsidR="00B33513">
        <w:rPr>
          <w:rFonts w:cs="Arial"/>
          <w:szCs w:val="22"/>
        </w:rPr>
        <w:t> </w:t>
      </w:r>
      <w:r w:rsidRPr="007F6B5A">
        <w:rPr>
          <w:rFonts w:cs="Arial"/>
          <w:szCs w:val="22"/>
        </w:rPr>
        <w:t>20</w:t>
      </w:r>
      <w:r w:rsidR="000645F4" w:rsidRPr="007F6B5A">
        <w:rPr>
          <w:rFonts w:cs="Arial"/>
          <w:szCs w:val="22"/>
        </w:rPr>
        <w:t>1</w:t>
      </w:r>
      <w:r w:rsidR="003852F9">
        <w:rPr>
          <w:rFonts w:cs="Arial"/>
          <w:szCs w:val="22"/>
        </w:rPr>
        <w:t>2</w:t>
      </w:r>
      <w:r w:rsidRPr="007F6B5A">
        <w:rPr>
          <w:rFonts w:cs="Arial"/>
          <w:szCs w:val="22"/>
        </w:rPr>
        <w:t xml:space="preserve"> is as follows:</w:t>
      </w:r>
    </w:p>
    <w:p w:rsidR="008C6D96" w:rsidRPr="007F6B5A" w:rsidRDefault="008C6D96" w:rsidP="00DC7B2C">
      <w:pPr>
        <w:jc w:val="both"/>
        <w:rPr>
          <w:rFonts w:ascii="Arial" w:hAnsi="Arial" w:cs="Arial"/>
          <w:sz w:val="22"/>
          <w:szCs w:val="22"/>
        </w:rPr>
      </w:pPr>
    </w:p>
    <w:p w:rsidR="008C6D96" w:rsidRPr="003E7975" w:rsidRDefault="00BC7CD6" w:rsidP="007C6D77">
      <w:pPr>
        <w:jc w:val="both"/>
      </w:pPr>
      <w:r>
        <w:rPr>
          <w:noProof/>
        </w:rPr>
        <w:drawing>
          <wp:inline distT="0" distB="0" distL="0" distR="0" wp14:anchorId="7C182E0A" wp14:editId="46AB207B">
            <wp:extent cx="5972175" cy="145732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72175" cy="1457325"/>
                    </a:xfrm>
                    <a:prstGeom prst="rect">
                      <a:avLst/>
                    </a:prstGeom>
                    <a:noFill/>
                    <a:ln>
                      <a:noFill/>
                    </a:ln>
                  </pic:spPr>
                </pic:pic>
              </a:graphicData>
            </a:graphic>
          </wp:inline>
        </w:drawing>
      </w:r>
    </w:p>
    <w:p w:rsidR="008C6D96" w:rsidRPr="00FB4990" w:rsidRDefault="008C6D96" w:rsidP="00B90070">
      <w:pPr>
        <w:pStyle w:val="Style3"/>
        <w:spacing w:after="0"/>
      </w:pPr>
      <w:r w:rsidRPr="00FB4990">
        <w:t>The</w:t>
      </w:r>
      <w:r w:rsidR="00D21F19">
        <w:t xml:space="preserve"> </w:t>
      </w:r>
      <w:r w:rsidRPr="00FB4990">
        <w:t>income from rentals</w:t>
      </w:r>
      <w:r w:rsidR="00D4208B">
        <w:t xml:space="preserve"> of</w:t>
      </w:r>
      <w:r w:rsidRPr="00FB4990">
        <w:t xml:space="preserve"> </w:t>
      </w:r>
      <w:r w:rsidR="00D90E43">
        <w:t>364</w:t>
      </w:r>
      <w:r w:rsidR="00D9063A">
        <w:t xml:space="preserve"> thousand</w:t>
      </w:r>
      <w:r w:rsidR="007A5A25">
        <w:t xml:space="preserve"> Swiss francs</w:t>
      </w:r>
      <w:r w:rsidR="00D21F19">
        <w:t xml:space="preserve"> </w:t>
      </w:r>
      <w:r w:rsidRPr="00FB4990">
        <w:t>and</w:t>
      </w:r>
      <w:r w:rsidR="00D21F19">
        <w:t xml:space="preserve"> </w:t>
      </w:r>
      <w:r w:rsidRPr="00FB4990">
        <w:t>the</w:t>
      </w:r>
      <w:r w:rsidR="00D21F19">
        <w:t xml:space="preserve"> </w:t>
      </w:r>
      <w:r w:rsidRPr="00FB4990">
        <w:t xml:space="preserve">operating </w:t>
      </w:r>
      <w:r w:rsidR="00F512F0" w:rsidRPr="00FB4990">
        <w:t>expenditures</w:t>
      </w:r>
      <w:r w:rsidR="00F512F0" w:rsidRPr="00FB4990" w:rsidDel="00F512F0">
        <w:t xml:space="preserve"> </w:t>
      </w:r>
      <w:r w:rsidRPr="00FB4990">
        <w:t>of</w:t>
      </w:r>
      <w:r w:rsidR="0057242F">
        <w:t> </w:t>
      </w:r>
      <w:r w:rsidRPr="00FB4990">
        <w:t>the building</w:t>
      </w:r>
      <w:r w:rsidR="007A5A25">
        <w:t xml:space="preserve"> of </w:t>
      </w:r>
      <w:r w:rsidR="00AD78E9">
        <w:t>221</w:t>
      </w:r>
      <w:r w:rsidR="00D9063A">
        <w:t xml:space="preserve"> thousand</w:t>
      </w:r>
      <w:r w:rsidR="007A5A25">
        <w:t xml:space="preserve"> Swiss francs</w:t>
      </w:r>
      <w:r w:rsidR="00F47B2A">
        <w:t xml:space="preserve"> </w:t>
      </w:r>
      <w:r w:rsidRPr="00FB4990">
        <w:t>are not recorded</w:t>
      </w:r>
      <w:r w:rsidR="00946737">
        <w:t xml:space="preserve"> separately</w:t>
      </w:r>
      <w:r w:rsidRPr="00FB4990">
        <w:t xml:space="preserve"> in WIPO’s accounts. Only the</w:t>
      </w:r>
      <w:r w:rsidR="0057242F">
        <w:t> </w:t>
      </w:r>
      <w:r w:rsidRPr="00FB4990">
        <w:t xml:space="preserve">net amount of income received from the managing agent </w:t>
      </w:r>
      <w:r w:rsidR="00490187">
        <w:t xml:space="preserve">totaling </w:t>
      </w:r>
      <w:r w:rsidR="005D7847">
        <w:t>142</w:t>
      </w:r>
      <w:r w:rsidR="00CA1D7E">
        <w:t>,860</w:t>
      </w:r>
      <w:r w:rsidR="007A5A25">
        <w:t xml:space="preserve"> Swiss francs</w:t>
      </w:r>
      <w:r w:rsidR="00D21F19">
        <w:t xml:space="preserve"> </w:t>
      </w:r>
      <w:r w:rsidRPr="00FB4990">
        <w:t xml:space="preserve">is recorded as rental income </w:t>
      </w:r>
      <w:r w:rsidR="007A5A25">
        <w:t>i</w:t>
      </w:r>
      <w:r w:rsidRPr="00FB4990">
        <w:t>n the Statement of Financial Performance.</w:t>
      </w:r>
      <w:r w:rsidR="005D7847">
        <w:t xml:space="preserve"> The Organization is not aware of any restrictions on the</w:t>
      </w:r>
      <w:r w:rsidR="005D7847" w:rsidRPr="00620C40">
        <w:rPr>
          <w:lang w:val="en-GB"/>
        </w:rPr>
        <w:t xml:space="preserve"> </w:t>
      </w:r>
      <w:proofErr w:type="spellStart"/>
      <w:r w:rsidR="005D7847" w:rsidRPr="00620C40">
        <w:rPr>
          <w:lang w:val="en-GB"/>
        </w:rPr>
        <w:t>realizability</w:t>
      </w:r>
      <w:proofErr w:type="spellEnd"/>
      <w:r w:rsidR="005D7847">
        <w:t xml:space="preserve"> or remittance of revenue from the investment property.</w:t>
      </w:r>
    </w:p>
    <w:p w:rsidR="008C6D96" w:rsidRPr="00FB4990" w:rsidRDefault="008C6D96" w:rsidP="007C6D77">
      <w:pPr>
        <w:pStyle w:val="Style3"/>
        <w:spacing w:after="0"/>
      </w:pPr>
    </w:p>
    <w:p w:rsidR="008C6D96" w:rsidRPr="0017684B" w:rsidRDefault="008C6D96" w:rsidP="007C6D77">
      <w:pPr>
        <w:pStyle w:val="Style3"/>
        <w:spacing w:after="0"/>
        <w:rPr>
          <w:szCs w:val="22"/>
        </w:rPr>
      </w:pPr>
      <w:r w:rsidRPr="00FB4990">
        <w:t xml:space="preserve">The expenses netted from income by the managing agent do not include depreciation of the building. </w:t>
      </w:r>
      <w:proofErr w:type="gramStart"/>
      <w:r>
        <w:t>At</w:t>
      </w:r>
      <w:proofErr w:type="gramEnd"/>
      <w:r>
        <w:t xml:space="preserve"> the reporting date there are no contractual obligations to purchase, construct or develop investment property nor for the repairs, maintenance or enhancement of the existing property.</w:t>
      </w:r>
    </w:p>
    <w:p w:rsidR="00197E20" w:rsidRDefault="00197E20" w:rsidP="0017684B">
      <w:pPr>
        <w:pStyle w:val="StyleHeading211ptNotBoldNotItalicAllcaps"/>
        <w:spacing w:before="0" w:after="0"/>
      </w:pPr>
    </w:p>
    <w:p w:rsidR="00197E20" w:rsidRDefault="00197E20" w:rsidP="0017684B">
      <w:pPr>
        <w:pStyle w:val="StyleHeading211ptNotBoldNotItalicAllcaps"/>
        <w:spacing w:before="0" w:after="0"/>
      </w:pPr>
    </w:p>
    <w:p w:rsidR="008C6D96" w:rsidRDefault="008C6D96" w:rsidP="0017684B">
      <w:pPr>
        <w:pStyle w:val="StyleHeading211ptNotBoldNotItalicAllcaps"/>
        <w:spacing w:before="0" w:after="0"/>
      </w:pPr>
      <w:r w:rsidRPr="00797AED">
        <w:t>Note 8</w:t>
      </w:r>
      <w:r w:rsidR="00EC3316">
        <w:t>:</w:t>
      </w:r>
      <w:r w:rsidR="00EC3316">
        <w:tab/>
      </w:r>
      <w:r w:rsidRPr="00797AED">
        <w:t>Intangible Assets</w:t>
      </w:r>
    </w:p>
    <w:p w:rsidR="000645F4" w:rsidRDefault="000645F4" w:rsidP="0017684B">
      <w:pPr>
        <w:pStyle w:val="STYLETITRENOTES"/>
      </w:pPr>
    </w:p>
    <w:p w:rsidR="00991B7A" w:rsidRPr="0099599F" w:rsidRDefault="00BC7CD6" w:rsidP="0017684B">
      <w:pPr>
        <w:pStyle w:val="STYLETITRENOTES"/>
      </w:pPr>
      <w:r>
        <w:rPr>
          <w:noProof/>
        </w:rPr>
        <w:drawing>
          <wp:inline distT="0" distB="0" distL="0" distR="0" wp14:anchorId="2E09E946" wp14:editId="4D46ED0F">
            <wp:extent cx="5972175" cy="3676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72175" cy="3676650"/>
                    </a:xfrm>
                    <a:prstGeom prst="rect">
                      <a:avLst/>
                    </a:prstGeom>
                    <a:noFill/>
                    <a:ln>
                      <a:noFill/>
                    </a:ln>
                  </pic:spPr>
                </pic:pic>
              </a:graphicData>
            </a:graphic>
          </wp:inline>
        </w:drawing>
      </w:r>
    </w:p>
    <w:p w:rsidR="00991B7A" w:rsidRPr="0099599F" w:rsidRDefault="00BC7CD6" w:rsidP="0017684B">
      <w:pPr>
        <w:pStyle w:val="STYLETITRENOTES"/>
      </w:pPr>
      <w:r>
        <w:rPr>
          <w:noProof/>
        </w:rPr>
        <w:drawing>
          <wp:inline distT="0" distB="0" distL="0" distR="0" wp14:anchorId="35012EFE" wp14:editId="09749840">
            <wp:extent cx="5972175" cy="3676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72175" cy="3676650"/>
                    </a:xfrm>
                    <a:prstGeom prst="rect">
                      <a:avLst/>
                    </a:prstGeom>
                    <a:noFill/>
                    <a:ln>
                      <a:noFill/>
                    </a:ln>
                  </pic:spPr>
                </pic:pic>
              </a:graphicData>
            </a:graphic>
          </wp:inline>
        </w:drawing>
      </w:r>
    </w:p>
    <w:p w:rsidR="008C6D96" w:rsidRDefault="008C6D96" w:rsidP="007C6D77">
      <w:pPr>
        <w:pStyle w:val="Style3"/>
        <w:spacing w:after="0"/>
      </w:pPr>
      <w:r w:rsidRPr="000346B7">
        <w:t xml:space="preserve">In </w:t>
      </w:r>
      <w:r>
        <w:t>1996, the O</w:t>
      </w:r>
      <w:r w:rsidR="00805F6B">
        <w:t xml:space="preserve">rganization acquired from WMO </w:t>
      </w:r>
      <w:r>
        <w:t>the land surface rights to parcel 4008 in Petit-</w:t>
      </w:r>
      <w:proofErr w:type="spellStart"/>
      <w:r>
        <w:t>Saconnex</w:t>
      </w:r>
      <w:proofErr w:type="spellEnd"/>
      <w:r>
        <w:t xml:space="preserve"> in the City of Geneva that had been granted to WMO by the Republic and Canto</w:t>
      </w:r>
      <w:r w:rsidR="00F47B2A">
        <w:t>n of Geneva at a cost of 34</w:t>
      </w:r>
      <w:r w:rsidR="006A59B3">
        <w:t>.3</w:t>
      </w:r>
      <w:r w:rsidR="00F47B2A">
        <w:t xml:space="preserve"> </w:t>
      </w:r>
      <w:r w:rsidR="006A59B3">
        <w:t>million</w:t>
      </w:r>
      <w:r w:rsidR="00B750AC">
        <w:t xml:space="preserve"> Swiss francs</w:t>
      </w:r>
      <w:r>
        <w:t xml:space="preserve"> including interest and fees.  At the date of purchase the original rights had a remaining period of 78 years under Swiss law expiring in </w:t>
      </w:r>
      <w:r>
        <w:lastRenderedPageBreak/>
        <w:t>2073</w:t>
      </w:r>
      <w:r w:rsidR="00946737">
        <w:t>,</w:t>
      </w:r>
      <w:r>
        <w:t xml:space="preserve"> unless renewed by the Canton. The historic cost </w:t>
      </w:r>
      <w:r w:rsidR="00B750AC">
        <w:t>is</w:t>
      </w:r>
      <w:r>
        <w:t xml:space="preserve"> be</w:t>
      </w:r>
      <w:r w:rsidR="00B750AC">
        <w:t>ing</w:t>
      </w:r>
      <w:r>
        <w:t xml:space="preserve"> amortized over the remai</w:t>
      </w:r>
      <w:r w:rsidR="00B750AC">
        <w:t>ning useful life.</w:t>
      </w:r>
    </w:p>
    <w:p w:rsidR="008C6D96" w:rsidRDefault="008C6D96" w:rsidP="007C6D77">
      <w:pPr>
        <w:pStyle w:val="Style3"/>
        <w:spacing w:after="0"/>
      </w:pPr>
    </w:p>
    <w:p w:rsidR="000406F4" w:rsidRDefault="008C6D96" w:rsidP="007C6D77">
      <w:pPr>
        <w:pStyle w:val="Style3"/>
        <w:spacing w:after="0"/>
      </w:pPr>
      <w:r w:rsidRPr="004B5787">
        <w:t xml:space="preserve">The land on which the </w:t>
      </w:r>
      <w:r>
        <w:t xml:space="preserve">A. </w:t>
      </w:r>
      <w:proofErr w:type="spellStart"/>
      <w:r>
        <w:t>Bogsch</w:t>
      </w:r>
      <w:proofErr w:type="spellEnd"/>
      <w:r>
        <w:t xml:space="preserve"> and G. </w:t>
      </w:r>
      <w:proofErr w:type="spellStart"/>
      <w:r>
        <w:t>Bodenhausen</w:t>
      </w:r>
      <w:proofErr w:type="spellEnd"/>
      <w:r>
        <w:t xml:space="preserve"> </w:t>
      </w:r>
      <w:r w:rsidRPr="004B5787">
        <w:t xml:space="preserve">buildings are located is the property of the </w:t>
      </w:r>
      <w:r>
        <w:t>Republic and C</w:t>
      </w:r>
      <w:r w:rsidRPr="004B5787">
        <w:t xml:space="preserve">anton of Geneva which has granted the Organization surface rights including the right to construct buildings for a period of 60 years with an option exercisable solely by the Organization of an extension for an additional period of 30 years. </w:t>
      </w:r>
      <w:r>
        <w:t>These surface rights were acquired by the Organization at no cost and no value has been recognized</w:t>
      </w:r>
      <w:r w:rsidR="00946737">
        <w:t>,</w:t>
      </w:r>
      <w:r>
        <w:t xml:space="preserve"> as the Organization does not have the right to dispose of the rights which revert to the Republic and Canton of Geneva unless renewed.</w:t>
      </w:r>
    </w:p>
    <w:p w:rsidR="00991B7A" w:rsidRDefault="00991B7A" w:rsidP="007C6D77">
      <w:pPr>
        <w:pStyle w:val="Style3"/>
        <w:spacing w:after="0"/>
      </w:pPr>
    </w:p>
    <w:p w:rsidR="00991B7A" w:rsidRDefault="00991B7A" w:rsidP="007C6D77">
      <w:pPr>
        <w:pStyle w:val="Style3"/>
        <w:spacing w:after="0"/>
      </w:pPr>
      <w:r>
        <w:t>As from January 1, 2012, WIPO has been capitalizing the cost of externally acquired and internally developed software. Intangible assets under development relate to internally developed software which has not yet been brought into use.</w:t>
      </w:r>
    </w:p>
    <w:p w:rsidR="0017684B" w:rsidRDefault="0017684B" w:rsidP="0017684B">
      <w:pPr>
        <w:pStyle w:val="Style3"/>
        <w:spacing w:after="0"/>
      </w:pPr>
    </w:p>
    <w:p w:rsidR="00427886" w:rsidRPr="00797AED" w:rsidRDefault="00DF0000" w:rsidP="0017684B">
      <w:pPr>
        <w:pStyle w:val="StyleHeading211ptNotBoldNotItalicAllcaps"/>
        <w:spacing w:before="0" w:after="0"/>
      </w:pPr>
      <w:r w:rsidRPr="00797AED">
        <w:t xml:space="preserve">Note </w:t>
      </w:r>
      <w:r w:rsidR="008C6D96" w:rsidRPr="00797AED">
        <w:t>9</w:t>
      </w:r>
      <w:r w:rsidRPr="00797AED">
        <w:t>:</w:t>
      </w:r>
      <w:r w:rsidR="00B750AC">
        <w:tab/>
      </w:r>
      <w:r w:rsidRPr="00797AED">
        <w:t>Land and buildings</w:t>
      </w:r>
    </w:p>
    <w:p w:rsidR="00617741" w:rsidRPr="00B750AC" w:rsidRDefault="00617741" w:rsidP="0017684B">
      <w:pPr>
        <w:pStyle w:val="Style3"/>
        <w:spacing w:after="0"/>
        <w:rPr>
          <w:rFonts w:cs="Arial"/>
          <w:szCs w:val="22"/>
        </w:rPr>
      </w:pPr>
    </w:p>
    <w:p w:rsidR="00360417" w:rsidRPr="00800D76" w:rsidRDefault="000406F4" w:rsidP="00073BD4">
      <w:pPr>
        <w:pStyle w:val="Style3"/>
        <w:spacing w:after="0"/>
        <w:rPr>
          <w:rFonts w:cs="Arial"/>
          <w:szCs w:val="22"/>
        </w:rPr>
      </w:pPr>
      <w:r w:rsidRPr="00B750AC">
        <w:rPr>
          <w:rFonts w:cs="Arial"/>
          <w:szCs w:val="22"/>
        </w:rPr>
        <w:t>The Organization’s land and buildings comprise its headquarters at Place des Nations, Geneva, Switzerland and include land, buildings under construction and occupied buildings.</w:t>
      </w:r>
      <w:r w:rsidR="00800D76">
        <w:rPr>
          <w:rFonts w:cs="Arial"/>
          <w:szCs w:val="22"/>
        </w:rPr>
        <w:t xml:space="preserve"> </w:t>
      </w:r>
      <w:r w:rsidR="00360417">
        <w:rPr>
          <w:rFonts w:cs="Arial"/>
          <w:szCs w:val="22"/>
        </w:rPr>
        <w:t>Following the transition to International Public Sector Accounting Standards from Janu</w:t>
      </w:r>
      <w:r w:rsidR="008D6B7A">
        <w:rPr>
          <w:rFonts w:cs="Arial"/>
          <w:szCs w:val="22"/>
        </w:rPr>
        <w:t>a</w:t>
      </w:r>
      <w:r w:rsidR="00360417">
        <w:rPr>
          <w:rFonts w:cs="Arial"/>
          <w:szCs w:val="22"/>
        </w:rPr>
        <w:t>ry 1,</w:t>
      </w:r>
      <w:r w:rsidR="00815B6A">
        <w:rPr>
          <w:rFonts w:cs="Arial"/>
          <w:szCs w:val="22"/>
        </w:rPr>
        <w:t xml:space="preserve"> </w:t>
      </w:r>
      <w:r w:rsidR="00360417">
        <w:rPr>
          <w:rFonts w:cs="Arial"/>
          <w:szCs w:val="22"/>
        </w:rPr>
        <w:t xml:space="preserve">2010, </w:t>
      </w:r>
      <w:r w:rsidR="00EF634B" w:rsidRPr="00B750AC">
        <w:rPr>
          <w:rFonts w:cs="Arial"/>
          <w:szCs w:val="22"/>
        </w:rPr>
        <w:t xml:space="preserve">buildings </w:t>
      </w:r>
      <w:r w:rsidR="00360417">
        <w:rPr>
          <w:rFonts w:cs="Arial"/>
          <w:szCs w:val="22"/>
        </w:rPr>
        <w:t>which were occupied at that date</w:t>
      </w:r>
      <w:r w:rsidR="004C06E2" w:rsidRPr="00B750AC">
        <w:rPr>
          <w:rFonts w:cs="Arial"/>
          <w:szCs w:val="22"/>
        </w:rPr>
        <w:t xml:space="preserve"> </w:t>
      </w:r>
      <w:r w:rsidR="00C543BC">
        <w:rPr>
          <w:rFonts w:cs="Arial"/>
          <w:szCs w:val="22"/>
        </w:rPr>
        <w:t>were valued</w:t>
      </w:r>
      <w:r w:rsidR="00EF634B" w:rsidRPr="00B750AC">
        <w:rPr>
          <w:rFonts w:cs="Arial"/>
          <w:szCs w:val="22"/>
        </w:rPr>
        <w:t xml:space="preserve"> </w:t>
      </w:r>
      <w:r w:rsidR="001B3793" w:rsidRPr="00B750AC">
        <w:rPr>
          <w:rFonts w:cs="Arial"/>
          <w:szCs w:val="22"/>
        </w:rPr>
        <w:t>at an amount determined independent</w:t>
      </w:r>
      <w:r w:rsidR="003976DC">
        <w:rPr>
          <w:rFonts w:cs="Arial"/>
          <w:szCs w:val="22"/>
        </w:rPr>
        <w:t>ly</w:t>
      </w:r>
      <w:r w:rsidR="001B3793" w:rsidRPr="00B750AC">
        <w:rPr>
          <w:rFonts w:cs="Arial"/>
          <w:szCs w:val="22"/>
        </w:rPr>
        <w:t xml:space="preserve"> by external consultants</w:t>
      </w:r>
      <w:r w:rsidR="003976DC">
        <w:rPr>
          <w:rFonts w:cs="Arial"/>
          <w:szCs w:val="22"/>
        </w:rPr>
        <w:t>,</w:t>
      </w:r>
      <w:r w:rsidR="001B3793" w:rsidRPr="00B750AC">
        <w:rPr>
          <w:rFonts w:cs="Arial"/>
          <w:szCs w:val="22"/>
        </w:rPr>
        <w:t xml:space="preserve"> which represents</w:t>
      </w:r>
      <w:r w:rsidR="00E220D5" w:rsidRPr="00B750AC">
        <w:rPr>
          <w:rFonts w:cs="Arial"/>
          <w:szCs w:val="22"/>
        </w:rPr>
        <w:t xml:space="preserve"> the estimated value of the building when new </w:t>
      </w:r>
      <w:r w:rsidR="00CF32FA" w:rsidRPr="00B750AC">
        <w:rPr>
          <w:rFonts w:cs="Arial"/>
          <w:szCs w:val="22"/>
        </w:rPr>
        <w:t xml:space="preserve">(deemed cost of construction) </w:t>
      </w:r>
      <w:r w:rsidR="00E220D5" w:rsidRPr="00B750AC">
        <w:rPr>
          <w:rFonts w:cs="Arial"/>
          <w:szCs w:val="22"/>
        </w:rPr>
        <w:t xml:space="preserve">including the </w:t>
      </w:r>
      <w:r w:rsidR="00C146C5" w:rsidRPr="00B750AC">
        <w:rPr>
          <w:rFonts w:cs="Arial"/>
          <w:szCs w:val="22"/>
        </w:rPr>
        <w:t>estimated value of renovations and major repairs made since original occupancy</w:t>
      </w:r>
      <w:r w:rsidR="002B7281" w:rsidRPr="00B750AC">
        <w:rPr>
          <w:rFonts w:cs="Arial"/>
          <w:szCs w:val="22"/>
        </w:rPr>
        <w:t xml:space="preserve"> less accumulated depreciation</w:t>
      </w:r>
      <w:r w:rsidR="002D6559" w:rsidRPr="00B750AC">
        <w:rPr>
          <w:rFonts w:cs="Arial"/>
          <w:szCs w:val="22"/>
        </w:rPr>
        <w:t xml:space="preserve"> and impairment</w:t>
      </w:r>
      <w:r w:rsidR="00E73EB7" w:rsidRPr="00B750AC">
        <w:rPr>
          <w:rFonts w:cs="Arial"/>
          <w:szCs w:val="22"/>
        </w:rPr>
        <w:t>.</w:t>
      </w:r>
      <w:r w:rsidR="009D5988" w:rsidRPr="00B750AC">
        <w:rPr>
          <w:rFonts w:cs="Arial"/>
          <w:szCs w:val="22"/>
        </w:rPr>
        <w:t xml:space="preserve"> </w:t>
      </w:r>
      <w:r w:rsidR="00C543BC">
        <w:rPr>
          <w:rFonts w:cs="Arial"/>
          <w:szCs w:val="22"/>
        </w:rPr>
        <w:t xml:space="preserve">Buildings which are brought into use after January 1, 2010 are initially valued at cost. </w:t>
      </w:r>
      <w:r w:rsidR="009D5988" w:rsidRPr="00B750AC">
        <w:rPr>
          <w:rFonts w:cs="Arial"/>
          <w:szCs w:val="22"/>
        </w:rPr>
        <w:t>The New Building</w:t>
      </w:r>
      <w:r w:rsidR="00EF1D2E" w:rsidRPr="00B750AC">
        <w:rPr>
          <w:rFonts w:cs="Arial"/>
          <w:szCs w:val="22"/>
        </w:rPr>
        <w:t xml:space="preserve"> was brought into use as </w:t>
      </w:r>
      <w:r w:rsidR="00946737">
        <w:rPr>
          <w:rFonts w:cs="Arial"/>
          <w:szCs w:val="22"/>
        </w:rPr>
        <w:t>of</w:t>
      </w:r>
      <w:r w:rsidR="00EF1D2E" w:rsidRPr="00B750AC">
        <w:rPr>
          <w:rFonts w:cs="Arial"/>
          <w:szCs w:val="22"/>
        </w:rPr>
        <w:t xml:space="preserve"> </w:t>
      </w:r>
      <w:r w:rsidR="00360417">
        <w:rPr>
          <w:rFonts w:cs="Arial"/>
          <w:szCs w:val="22"/>
        </w:rPr>
        <w:t>July 1, 2011</w:t>
      </w:r>
      <w:r w:rsidR="00C543BC">
        <w:rPr>
          <w:rFonts w:cs="Arial"/>
          <w:szCs w:val="22"/>
        </w:rPr>
        <w:t>.</w:t>
      </w:r>
      <w:r w:rsidR="008D5371" w:rsidRPr="00B750AC">
        <w:rPr>
          <w:rFonts w:cs="Arial"/>
          <w:szCs w:val="22"/>
        </w:rPr>
        <w:t xml:space="preserve"> </w:t>
      </w:r>
      <w:r w:rsidR="00360417" w:rsidRPr="00B750AC">
        <w:rPr>
          <w:rFonts w:cs="Arial"/>
          <w:szCs w:val="22"/>
        </w:rPr>
        <w:t>All buildings are depreciated according to the straight-line method based upon the useful life of each major component of the building (see Note 2).</w:t>
      </w:r>
    </w:p>
    <w:p w:rsidR="00D64873" w:rsidRPr="004B5787" w:rsidRDefault="00D64873" w:rsidP="007C6D77">
      <w:pPr>
        <w:pStyle w:val="Style3"/>
        <w:spacing w:after="0"/>
      </w:pPr>
    </w:p>
    <w:p w:rsidR="004B7483" w:rsidRPr="004B5787" w:rsidRDefault="0030391C" w:rsidP="009E6CD0">
      <w:pPr>
        <w:pStyle w:val="Style3"/>
        <w:spacing w:after="0"/>
      </w:pPr>
      <w:r w:rsidRPr="004B5787">
        <w:t xml:space="preserve">The land upon which the </w:t>
      </w:r>
      <w:r w:rsidR="002D6559">
        <w:t>N</w:t>
      </w:r>
      <w:r w:rsidRPr="004B5787">
        <w:t xml:space="preserve">ew </w:t>
      </w:r>
      <w:r w:rsidR="002D6559">
        <w:t>B</w:t>
      </w:r>
      <w:r w:rsidRPr="004B5787">
        <w:t xml:space="preserve">uilding </w:t>
      </w:r>
      <w:r w:rsidR="002D6559">
        <w:t>was</w:t>
      </w:r>
      <w:r w:rsidRPr="004B5787">
        <w:t xml:space="preserve"> constructed </w:t>
      </w:r>
      <w:r w:rsidR="00281CB4">
        <w:t xml:space="preserve">was acquired by </w:t>
      </w:r>
      <w:r w:rsidR="001B3793">
        <w:t xml:space="preserve">the </w:t>
      </w:r>
      <w:r w:rsidR="00281CB4">
        <w:t>O</w:t>
      </w:r>
      <w:r w:rsidR="00F47B2A">
        <w:t xml:space="preserve">rganization at a cost of </w:t>
      </w:r>
      <w:r w:rsidR="00246C1D">
        <w:t>1</w:t>
      </w:r>
      <w:r w:rsidR="00F47B2A">
        <w:t>3</w:t>
      </w:r>
      <w:r w:rsidR="006A59B3">
        <w:t>.6 million</w:t>
      </w:r>
      <w:r w:rsidR="00246C1D">
        <w:t xml:space="preserve"> Swiss francs</w:t>
      </w:r>
      <w:r w:rsidR="00281CB4">
        <w:t xml:space="preserve"> in 1998 and </w:t>
      </w:r>
      <w:r w:rsidR="002D6559">
        <w:t>was</w:t>
      </w:r>
      <w:r w:rsidR="00281CB4">
        <w:t xml:space="preserve"> re</w:t>
      </w:r>
      <w:r w:rsidRPr="004B5787">
        <w:t xml:space="preserve">valued </w:t>
      </w:r>
      <w:r w:rsidR="00281CB4">
        <w:t>to fair</w:t>
      </w:r>
      <w:r w:rsidRPr="004B5787">
        <w:t xml:space="preserve"> value </w:t>
      </w:r>
      <w:r w:rsidR="004C04BA">
        <w:t>based on International</w:t>
      </w:r>
      <w:r w:rsidR="006A59B3">
        <w:t xml:space="preserve"> </w:t>
      </w:r>
      <w:r w:rsidR="004C04BA">
        <w:t xml:space="preserve">Valuation Standards </w:t>
      </w:r>
      <w:r w:rsidRPr="004B5787">
        <w:t>as determ</w:t>
      </w:r>
      <w:r w:rsidR="004C06E2" w:rsidRPr="004B5787">
        <w:t>ined by an independent appraiser</w:t>
      </w:r>
      <w:r w:rsidR="00661782" w:rsidRPr="004B5787">
        <w:t xml:space="preserve"> at December</w:t>
      </w:r>
      <w:r w:rsidR="00D64873">
        <w:t xml:space="preserve"> 31,</w:t>
      </w:r>
      <w:r w:rsidR="00661782" w:rsidRPr="004B5787">
        <w:t xml:space="preserve"> </w:t>
      </w:r>
      <w:r w:rsidR="00661782" w:rsidRPr="003A3B36">
        <w:t>2009</w:t>
      </w:r>
      <w:r w:rsidR="004145D7" w:rsidRPr="003A3B36">
        <w:t xml:space="preserve"> at 28</w:t>
      </w:r>
      <w:r w:rsidR="00B33513">
        <w:t>.6 </w:t>
      </w:r>
      <w:r w:rsidR="0099599F">
        <w:t>million</w:t>
      </w:r>
      <w:r w:rsidR="00D64873">
        <w:t xml:space="preserve"> </w:t>
      </w:r>
      <w:r w:rsidR="002D6559">
        <w:t>Swiss francs</w:t>
      </w:r>
      <w:r w:rsidR="00661782" w:rsidRPr="003A3B36">
        <w:t>.</w:t>
      </w:r>
      <w:r w:rsidR="00C543BC">
        <w:t xml:space="preserve"> The net result of the revaluation</w:t>
      </w:r>
      <w:r w:rsidR="00224A31">
        <w:t xml:space="preserve"> </w:t>
      </w:r>
      <w:r w:rsidR="00C543BC">
        <w:t>of 15.0 million Swiss francs is included in the revaluation surplus which forms part of WIPO’s net assets.</w:t>
      </w:r>
      <w:r w:rsidR="009F3897" w:rsidRPr="003A3B36">
        <w:t xml:space="preserve"> Market value </w:t>
      </w:r>
      <w:r w:rsidR="002D6559">
        <w:t>w</w:t>
      </w:r>
      <w:r w:rsidR="009F3897" w:rsidRPr="003A3B36">
        <w:t>as estimated by</w:t>
      </w:r>
      <w:r w:rsidR="009F3897">
        <w:t xml:space="preserve"> capitalizing </w:t>
      </w:r>
      <w:r w:rsidR="002B7281">
        <w:t>at</w:t>
      </w:r>
      <w:r w:rsidR="009F3897">
        <w:t xml:space="preserve"> an appropriate investment yield the future potential income stream from the property. The potential income is based on </w:t>
      </w:r>
      <w:r w:rsidR="002B7281">
        <w:t xml:space="preserve">comparable rentals in the market </w:t>
      </w:r>
      <w:r w:rsidR="009F3897">
        <w:t>and takes into account the quality of the spaces as well as the location.  The yield has been selected</w:t>
      </w:r>
      <w:r w:rsidR="002B7281">
        <w:t xml:space="preserve"> by reference to the perceived q</w:t>
      </w:r>
      <w:r w:rsidR="009F3897">
        <w:t>uality and duration of the income and the pote</w:t>
      </w:r>
      <w:r w:rsidR="003350B7">
        <w:t>ntial for further rental growth</w:t>
      </w:r>
      <w:r w:rsidR="009F3897">
        <w:t xml:space="preserve"> and is cross</w:t>
      </w:r>
      <w:r w:rsidR="000D4B9D">
        <w:t>-</w:t>
      </w:r>
      <w:r w:rsidR="009F3897">
        <w:t>referenced by th</w:t>
      </w:r>
      <w:r w:rsidR="002B7281">
        <w:t>e</w:t>
      </w:r>
      <w:r w:rsidR="009F3897">
        <w:t xml:space="preserve"> evidence provided by comparable sales.</w:t>
      </w:r>
      <w:r w:rsidR="00073BD4">
        <w:t xml:space="preserve"> </w:t>
      </w:r>
      <w:r w:rsidR="00073BD4">
        <w:rPr>
          <w:rFonts w:cs="Arial"/>
          <w:szCs w:val="22"/>
        </w:rPr>
        <w:t>Prevailing market conditions do not indicate a need to perform a revaluation</w:t>
      </w:r>
      <w:r w:rsidR="00FA3D17">
        <w:rPr>
          <w:rFonts w:cs="Arial"/>
          <w:szCs w:val="22"/>
        </w:rPr>
        <w:t xml:space="preserve"> of the land as at December 31, </w:t>
      </w:r>
      <w:r w:rsidR="00073BD4">
        <w:rPr>
          <w:rFonts w:cs="Arial"/>
          <w:szCs w:val="22"/>
        </w:rPr>
        <w:t>201</w:t>
      </w:r>
      <w:r w:rsidR="00991B7A">
        <w:rPr>
          <w:rFonts w:cs="Arial"/>
          <w:szCs w:val="22"/>
        </w:rPr>
        <w:t>2</w:t>
      </w:r>
      <w:r w:rsidR="00073BD4">
        <w:rPr>
          <w:rFonts w:cs="Arial"/>
          <w:szCs w:val="22"/>
        </w:rPr>
        <w:t>.</w:t>
      </w:r>
    </w:p>
    <w:p w:rsidR="00A42890" w:rsidRPr="004B5787" w:rsidRDefault="00A42890" w:rsidP="009E6CD0">
      <w:pPr>
        <w:pStyle w:val="Style3"/>
        <w:spacing w:after="0"/>
      </w:pPr>
    </w:p>
    <w:p w:rsidR="00A43F1D" w:rsidRPr="00800D76" w:rsidRDefault="00795B9B" w:rsidP="00800D76">
      <w:pPr>
        <w:pStyle w:val="Style3"/>
        <w:spacing w:after="0"/>
        <w:sectPr w:rsidR="00A43F1D" w:rsidRPr="00800D76" w:rsidSect="0080775C">
          <w:headerReference w:type="default" r:id="rId49"/>
          <w:footerReference w:type="default" r:id="rId50"/>
          <w:pgSz w:w="11907" w:h="16840" w:code="9"/>
          <w:pgMar w:top="851" w:right="1247" w:bottom="1531" w:left="1247" w:header="709" w:footer="709" w:gutter="0"/>
          <w:cols w:space="708"/>
          <w:docGrid w:linePitch="360"/>
        </w:sectPr>
      </w:pPr>
      <w:r w:rsidRPr="004B5787">
        <w:t xml:space="preserve">In </w:t>
      </w:r>
      <w:r w:rsidR="007F6CC5">
        <w:t>October</w:t>
      </w:r>
      <w:r w:rsidRPr="004B5787">
        <w:t xml:space="preserve"> </w:t>
      </w:r>
      <w:r w:rsidR="007F6CC5">
        <w:t>2009</w:t>
      </w:r>
      <w:r w:rsidRPr="004B5787">
        <w:t xml:space="preserve">, the General Assembly approved the construction of a </w:t>
      </w:r>
      <w:r w:rsidR="007F6CC5">
        <w:t>N</w:t>
      </w:r>
      <w:r w:rsidRPr="004B5787">
        <w:t xml:space="preserve">ew </w:t>
      </w:r>
      <w:r w:rsidR="007F6CC5">
        <w:t xml:space="preserve">Conference Hall building, to be physically connected to the A. </w:t>
      </w:r>
      <w:proofErr w:type="spellStart"/>
      <w:r w:rsidR="007F6CC5">
        <w:t>Bogsch</w:t>
      </w:r>
      <w:proofErr w:type="spellEnd"/>
      <w:r w:rsidR="007F6CC5">
        <w:t xml:space="preserve"> </w:t>
      </w:r>
      <w:r w:rsidR="00246C1D">
        <w:t>Build</w:t>
      </w:r>
      <w:r w:rsidR="007F6CC5">
        <w:t>ing</w:t>
      </w:r>
      <w:r w:rsidRPr="004B5787">
        <w:t xml:space="preserve">. </w:t>
      </w:r>
      <w:r w:rsidR="00480BBC" w:rsidRPr="004B5787">
        <w:t>The project is e</w:t>
      </w:r>
      <w:r w:rsidR="008D5371">
        <w:t>xpected</w:t>
      </w:r>
      <w:r w:rsidR="00480BBC" w:rsidRPr="004B5787">
        <w:t xml:space="preserve"> to be completed in </w:t>
      </w:r>
      <w:r w:rsidR="00292635">
        <w:t>early 2014</w:t>
      </w:r>
      <w:r w:rsidR="0017684B">
        <w:t>, and funds spent on work to date have been capitalized as</w:t>
      </w:r>
      <w:r w:rsidR="00480BBC" w:rsidRPr="004B5787">
        <w:t xml:space="preserve"> </w:t>
      </w:r>
      <w:r w:rsidR="00805F6B">
        <w:br/>
      </w:r>
      <w:r w:rsidR="00F260A5" w:rsidRPr="004B5787">
        <w:t>work-in-progress</w:t>
      </w:r>
      <w:r w:rsidR="00224A31">
        <w:t>.</w:t>
      </w:r>
      <w:r w:rsidR="00F260A5" w:rsidRPr="004B5787">
        <w:t xml:space="preserve"> </w:t>
      </w:r>
      <w:r w:rsidR="00993EC2">
        <w:rPr>
          <w:rFonts w:cs="Arial"/>
          <w:szCs w:val="22"/>
        </w:rPr>
        <w:t>The Organization is</w:t>
      </w:r>
      <w:r w:rsidR="00800D76">
        <w:rPr>
          <w:rFonts w:cs="Arial"/>
          <w:szCs w:val="22"/>
        </w:rPr>
        <w:t xml:space="preserve"> also</w:t>
      </w:r>
      <w:r w:rsidR="00993EC2">
        <w:rPr>
          <w:rFonts w:cs="Arial"/>
          <w:szCs w:val="22"/>
        </w:rPr>
        <w:t xml:space="preserve"> undertaking a project to upgrade the safety and security standards of </w:t>
      </w:r>
      <w:r w:rsidR="00A57553">
        <w:rPr>
          <w:rFonts w:cs="Arial"/>
          <w:szCs w:val="22"/>
        </w:rPr>
        <w:t>existing WIPO buildings, in line with the implementation of the recommendations of the United Nations Security Management System. This involves upgrading to the United Nations Headquarters Minimum Operating Security Standards (H-MOSS). The project involve</w:t>
      </w:r>
      <w:r w:rsidR="00224A31">
        <w:rPr>
          <w:rFonts w:cs="Arial"/>
          <w:szCs w:val="22"/>
        </w:rPr>
        <w:t>s</w:t>
      </w:r>
      <w:r w:rsidR="00A57553">
        <w:rPr>
          <w:rFonts w:cs="Arial"/>
          <w:szCs w:val="22"/>
        </w:rPr>
        <w:t xml:space="preserve"> construction of a security perimeter and internal security measures. Cost</w:t>
      </w:r>
      <w:r w:rsidR="00224A31">
        <w:rPr>
          <w:rFonts w:cs="Arial"/>
          <w:szCs w:val="22"/>
        </w:rPr>
        <w:t>s</w:t>
      </w:r>
      <w:r w:rsidR="00A57553">
        <w:rPr>
          <w:rFonts w:cs="Arial"/>
          <w:szCs w:val="22"/>
        </w:rPr>
        <w:t xml:space="preserve"> relating to the construction project incurred by the Organization have been capitalized as work-in-progress during 201</w:t>
      </w:r>
      <w:r w:rsidR="009B1C31">
        <w:rPr>
          <w:rFonts w:cs="Arial"/>
          <w:szCs w:val="22"/>
        </w:rPr>
        <w:t>2</w:t>
      </w:r>
      <w:r w:rsidR="00A57553">
        <w:rPr>
          <w:rFonts w:cs="Arial"/>
          <w:szCs w:val="22"/>
        </w:rPr>
        <w:t>.</w:t>
      </w:r>
      <w:r w:rsidR="00800D76">
        <w:rPr>
          <w:rFonts w:cs="Arial"/>
          <w:szCs w:val="22"/>
        </w:rPr>
        <w:t xml:space="preserve"> </w:t>
      </w:r>
      <w:r w:rsidR="009B1C31" w:rsidRPr="009B1C31">
        <w:rPr>
          <w:rFonts w:cs="Arial"/>
          <w:szCs w:val="22"/>
        </w:rPr>
        <w:t>The co</w:t>
      </w:r>
      <w:r w:rsidR="009B1C31">
        <w:rPr>
          <w:rFonts w:cs="Arial"/>
          <w:szCs w:val="22"/>
        </w:rPr>
        <w:t xml:space="preserve">nstruction project has been partly financed </w:t>
      </w:r>
      <w:r w:rsidR="00800D76">
        <w:rPr>
          <w:rFonts w:cs="Arial"/>
          <w:szCs w:val="22"/>
        </w:rPr>
        <w:t xml:space="preserve">by the </w:t>
      </w:r>
      <w:r w:rsidR="00800D76">
        <w:t>Foundation for Buildings for International Organizations (</w:t>
      </w:r>
      <w:r w:rsidR="00800D76" w:rsidRPr="00F03904">
        <w:t>FIPOI)</w:t>
      </w:r>
      <w:r w:rsidR="00800D76">
        <w:t xml:space="preserve">. Construction work financed by the FIPOI has been capitalized within work-in-progress, and a corresponding amount recognized as deferred revenue.  </w:t>
      </w:r>
    </w:p>
    <w:p w:rsidR="00A43F1D" w:rsidRPr="003508E6" w:rsidRDefault="003508E6" w:rsidP="003508E6">
      <w:pPr>
        <w:pStyle w:val="BodyText"/>
        <w:rPr>
          <w:sz w:val="22"/>
          <w:szCs w:val="22"/>
        </w:rPr>
      </w:pPr>
      <w:r>
        <w:rPr>
          <w:sz w:val="22"/>
          <w:szCs w:val="22"/>
        </w:rPr>
        <w:lastRenderedPageBreak/>
        <w:t>Movements for land and buildings in 201</w:t>
      </w:r>
      <w:r w:rsidR="007627F4">
        <w:rPr>
          <w:sz w:val="22"/>
          <w:szCs w:val="22"/>
        </w:rPr>
        <w:t>2</w:t>
      </w:r>
      <w:r>
        <w:rPr>
          <w:sz w:val="22"/>
          <w:szCs w:val="22"/>
        </w:rPr>
        <w:t>:</w:t>
      </w:r>
    </w:p>
    <w:p w:rsidR="00A43F1D" w:rsidRDefault="00A43F1D" w:rsidP="00A43F1D">
      <w:pPr>
        <w:pStyle w:val="StyleHeading211ptNotBoldNotItalicAllcaps"/>
        <w:spacing w:before="0" w:after="0"/>
        <w:rPr>
          <w:szCs w:val="22"/>
          <w:lang w:val="en-GB"/>
        </w:rPr>
      </w:pPr>
    </w:p>
    <w:p w:rsidR="003508E6" w:rsidRDefault="003508E6" w:rsidP="00A43F1D">
      <w:pPr>
        <w:pStyle w:val="StyleHeading211ptNotBoldNotItalicAllcaps"/>
        <w:spacing w:before="0" w:after="0"/>
        <w:rPr>
          <w:szCs w:val="22"/>
          <w:lang w:val="en-GB"/>
        </w:rPr>
      </w:pPr>
    </w:p>
    <w:p w:rsidR="003508E6" w:rsidRDefault="003508E6" w:rsidP="00A43F1D">
      <w:pPr>
        <w:pStyle w:val="StyleHeading211ptNotBoldNotItalicAllcaps"/>
        <w:spacing w:before="0" w:after="0"/>
        <w:rPr>
          <w:szCs w:val="22"/>
          <w:lang w:val="en-GB"/>
        </w:rPr>
      </w:pPr>
    </w:p>
    <w:p w:rsidR="003508E6" w:rsidRPr="0099599F" w:rsidRDefault="00BC7CD6" w:rsidP="00A43F1D">
      <w:pPr>
        <w:pStyle w:val="StyleHeading211ptNotBoldNotItalicAllcaps"/>
        <w:spacing w:before="0" w:after="0"/>
      </w:pPr>
      <w:r>
        <w:rPr>
          <w:noProof/>
        </w:rPr>
        <w:drawing>
          <wp:inline distT="0" distB="0" distL="0" distR="0" wp14:anchorId="590177C9" wp14:editId="285D3E20">
            <wp:extent cx="9182100" cy="38766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182100" cy="3876675"/>
                    </a:xfrm>
                    <a:prstGeom prst="rect">
                      <a:avLst/>
                    </a:prstGeom>
                    <a:noFill/>
                    <a:ln>
                      <a:noFill/>
                    </a:ln>
                  </pic:spPr>
                </pic:pic>
              </a:graphicData>
            </a:graphic>
          </wp:inline>
        </w:drawing>
      </w:r>
    </w:p>
    <w:p w:rsidR="004E7EB2" w:rsidRDefault="004E7EB2" w:rsidP="00A43F1D">
      <w:pPr>
        <w:pStyle w:val="StyleHeading211ptNotBoldNotItalicAllcaps"/>
        <w:spacing w:before="0" w:after="0"/>
      </w:pPr>
    </w:p>
    <w:p w:rsidR="004E7EB2" w:rsidRDefault="004E7EB2" w:rsidP="00A43F1D">
      <w:pPr>
        <w:pStyle w:val="StyleHeading211ptNotBoldNotItalicAllcaps"/>
        <w:spacing w:before="0" w:after="0"/>
        <w:sectPr w:rsidR="004E7EB2" w:rsidSect="00A43F1D">
          <w:pgSz w:w="16840" w:h="11907" w:orient="landscape" w:code="9"/>
          <w:pgMar w:top="1247" w:right="1531" w:bottom="1247" w:left="851" w:header="709" w:footer="709" w:gutter="0"/>
          <w:cols w:space="708"/>
          <w:docGrid w:linePitch="360"/>
        </w:sectPr>
      </w:pPr>
    </w:p>
    <w:p w:rsidR="003508E6" w:rsidRDefault="003508E6" w:rsidP="003508E6">
      <w:pPr>
        <w:pStyle w:val="BodyText"/>
        <w:rPr>
          <w:sz w:val="22"/>
          <w:szCs w:val="22"/>
        </w:rPr>
      </w:pPr>
      <w:r>
        <w:rPr>
          <w:sz w:val="22"/>
          <w:szCs w:val="22"/>
        </w:rPr>
        <w:lastRenderedPageBreak/>
        <w:t>Movements for land and buildings in the prior year 201</w:t>
      </w:r>
      <w:r w:rsidR="008D43D8">
        <w:rPr>
          <w:sz w:val="22"/>
          <w:szCs w:val="22"/>
        </w:rPr>
        <w:t>1</w:t>
      </w:r>
      <w:r>
        <w:rPr>
          <w:sz w:val="22"/>
          <w:szCs w:val="22"/>
        </w:rPr>
        <w:t>:</w:t>
      </w:r>
    </w:p>
    <w:p w:rsidR="007627F4" w:rsidRDefault="007627F4" w:rsidP="003508E6">
      <w:pPr>
        <w:pStyle w:val="BodyText"/>
        <w:rPr>
          <w:sz w:val="22"/>
          <w:szCs w:val="22"/>
        </w:rPr>
      </w:pPr>
    </w:p>
    <w:p w:rsidR="007627F4" w:rsidRPr="003508E6" w:rsidRDefault="007627F4" w:rsidP="003508E6">
      <w:pPr>
        <w:pStyle w:val="BodyText"/>
        <w:rPr>
          <w:sz w:val="22"/>
          <w:szCs w:val="22"/>
        </w:rPr>
      </w:pPr>
    </w:p>
    <w:p w:rsidR="003508E6" w:rsidRDefault="003508E6" w:rsidP="00A43F1D">
      <w:pPr>
        <w:pStyle w:val="StyleHeading211ptNotBoldNotItalicAllcaps"/>
        <w:spacing w:before="0" w:after="0"/>
        <w:rPr>
          <w:szCs w:val="22"/>
          <w:lang w:val="en-GB"/>
        </w:rPr>
      </w:pPr>
    </w:p>
    <w:p w:rsidR="003508E6" w:rsidRPr="0099599F" w:rsidRDefault="00BC7CD6" w:rsidP="00A43F1D">
      <w:pPr>
        <w:pStyle w:val="StyleHeading211ptNotBoldNotItalicAllcaps"/>
        <w:spacing w:before="0" w:after="0"/>
        <w:rPr>
          <w:szCs w:val="22"/>
          <w:lang w:val="en-GB"/>
        </w:rPr>
      </w:pPr>
      <w:r>
        <w:rPr>
          <w:noProof/>
        </w:rPr>
        <w:drawing>
          <wp:inline distT="0" distB="0" distL="0" distR="0" wp14:anchorId="1C251EE1" wp14:editId="571E5BA1">
            <wp:extent cx="9172575" cy="357187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72575" cy="3571875"/>
                    </a:xfrm>
                    <a:prstGeom prst="rect">
                      <a:avLst/>
                    </a:prstGeom>
                    <a:noFill/>
                    <a:ln>
                      <a:noFill/>
                    </a:ln>
                  </pic:spPr>
                </pic:pic>
              </a:graphicData>
            </a:graphic>
          </wp:inline>
        </w:drawing>
      </w:r>
    </w:p>
    <w:p w:rsidR="003508E6" w:rsidRDefault="003508E6" w:rsidP="00A43F1D">
      <w:pPr>
        <w:pStyle w:val="StyleHeading211ptNotBoldNotItalicAllcaps"/>
        <w:spacing w:before="0" w:after="0"/>
        <w:rPr>
          <w:szCs w:val="22"/>
          <w:lang w:val="en-GB"/>
        </w:rPr>
      </w:pPr>
    </w:p>
    <w:p w:rsidR="003508E6" w:rsidRDefault="003508E6" w:rsidP="00A43F1D">
      <w:pPr>
        <w:pStyle w:val="StyleHeading211ptNotBoldNotItalicAllcaps"/>
        <w:spacing w:before="0" w:after="0"/>
        <w:rPr>
          <w:szCs w:val="22"/>
          <w:lang w:val="en-GB"/>
        </w:rPr>
      </w:pPr>
    </w:p>
    <w:p w:rsidR="003508E6" w:rsidRPr="00A14791" w:rsidRDefault="003508E6" w:rsidP="00A43F1D">
      <w:pPr>
        <w:pStyle w:val="StyleHeading211ptNotBoldNotItalicAllcaps"/>
        <w:spacing w:before="0" w:after="0"/>
        <w:rPr>
          <w:szCs w:val="22"/>
        </w:rPr>
      </w:pPr>
    </w:p>
    <w:p w:rsidR="00A43F1D" w:rsidRPr="003508E6" w:rsidRDefault="00A43F1D" w:rsidP="00A43F1D">
      <w:pPr>
        <w:pStyle w:val="StyleHeading211ptNotBoldNotItalicAllcaps"/>
        <w:spacing w:before="0" w:after="0"/>
        <w:rPr>
          <w:szCs w:val="22"/>
        </w:rPr>
      </w:pPr>
    </w:p>
    <w:p w:rsidR="00A43F1D" w:rsidRPr="00A43F1D" w:rsidRDefault="00A43F1D" w:rsidP="00360417">
      <w:pPr>
        <w:pStyle w:val="StyleHeading211ptNotBoldNotItalicAllcaps"/>
        <w:rPr>
          <w:sz w:val="20"/>
          <w:szCs w:val="20"/>
        </w:rPr>
        <w:sectPr w:rsidR="00A43F1D" w:rsidRPr="00A43F1D" w:rsidSect="00A43F1D">
          <w:pgSz w:w="16840" w:h="11907" w:orient="landscape" w:code="9"/>
          <w:pgMar w:top="1247" w:right="1531" w:bottom="1247" w:left="851" w:header="709" w:footer="709" w:gutter="0"/>
          <w:cols w:space="708"/>
          <w:docGrid w:linePitch="360"/>
        </w:sectPr>
      </w:pPr>
    </w:p>
    <w:p w:rsidR="000D7409" w:rsidRPr="00797AED" w:rsidRDefault="000D7409" w:rsidP="0017684B">
      <w:pPr>
        <w:pStyle w:val="StyleHeading211ptNotBoldNotItalicAllcaps"/>
        <w:spacing w:before="0" w:after="0"/>
      </w:pPr>
      <w:r w:rsidRPr="00797AED">
        <w:lastRenderedPageBreak/>
        <w:t xml:space="preserve">Note </w:t>
      </w:r>
      <w:r w:rsidR="008C6D96" w:rsidRPr="00797AED">
        <w:t>10</w:t>
      </w:r>
      <w:r w:rsidRPr="00797AED">
        <w:t>:</w:t>
      </w:r>
      <w:r w:rsidR="00360417">
        <w:tab/>
      </w:r>
      <w:r w:rsidRPr="00797AED">
        <w:t>Other non-current assets</w:t>
      </w:r>
    </w:p>
    <w:p w:rsidR="000D7409" w:rsidRPr="006D0C30" w:rsidRDefault="000D7409" w:rsidP="0017684B">
      <w:pPr>
        <w:jc w:val="both"/>
        <w:rPr>
          <w:rFonts w:ascii="Arial" w:hAnsi="Arial" w:cs="Arial"/>
          <w:b/>
          <w:sz w:val="22"/>
          <w:szCs w:val="22"/>
        </w:rPr>
      </w:pPr>
    </w:p>
    <w:p w:rsidR="00C12263" w:rsidRPr="00CF0030" w:rsidRDefault="00BC7CD6" w:rsidP="00C12263">
      <w:pPr>
        <w:pStyle w:val="Style3"/>
        <w:spacing w:after="0"/>
        <w:ind w:right="53"/>
        <w:jc w:val="center"/>
        <w:rPr>
          <w:szCs w:val="22"/>
        </w:rPr>
      </w:pPr>
      <w:r>
        <w:rPr>
          <w:noProof/>
        </w:rPr>
        <w:drawing>
          <wp:inline distT="0" distB="0" distL="0" distR="0" wp14:anchorId="42AE0AAD" wp14:editId="29DC6ADC">
            <wp:extent cx="5972175" cy="1123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72175" cy="1123950"/>
                    </a:xfrm>
                    <a:prstGeom prst="rect">
                      <a:avLst/>
                    </a:prstGeom>
                    <a:noFill/>
                    <a:ln>
                      <a:noFill/>
                    </a:ln>
                  </pic:spPr>
                </pic:pic>
              </a:graphicData>
            </a:graphic>
          </wp:inline>
        </w:drawing>
      </w:r>
    </w:p>
    <w:p w:rsidR="008748D5" w:rsidRPr="006D0C30" w:rsidRDefault="006C08A0" w:rsidP="00D26DEA">
      <w:pPr>
        <w:pStyle w:val="Style3"/>
        <w:spacing w:after="0"/>
        <w:ind w:right="53"/>
        <w:rPr>
          <w:szCs w:val="22"/>
        </w:rPr>
      </w:pPr>
      <w:r w:rsidRPr="006D0C30">
        <w:rPr>
          <w:szCs w:val="22"/>
        </w:rPr>
        <w:t xml:space="preserve">In 1991 </w:t>
      </w:r>
      <w:r w:rsidR="001B3793" w:rsidRPr="006D0C30">
        <w:rPr>
          <w:szCs w:val="22"/>
        </w:rPr>
        <w:t xml:space="preserve">the </w:t>
      </w:r>
      <w:r w:rsidRPr="006D0C30">
        <w:rPr>
          <w:szCs w:val="22"/>
        </w:rPr>
        <w:t xml:space="preserve">Organization entered into an agreement with the International Centre of Geneva Foundation (FCIG) related to the construction of a building on rue des </w:t>
      </w:r>
      <w:proofErr w:type="spellStart"/>
      <w:r w:rsidRPr="006D0C30">
        <w:rPr>
          <w:szCs w:val="22"/>
        </w:rPr>
        <w:t>Morillons</w:t>
      </w:r>
      <w:proofErr w:type="spellEnd"/>
      <w:r w:rsidRPr="006D0C30">
        <w:rPr>
          <w:szCs w:val="22"/>
        </w:rPr>
        <w:t xml:space="preserve"> in Geneva, Switzerland</w:t>
      </w:r>
      <w:r w:rsidR="00F47B2A" w:rsidRPr="006D0C30">
        <w:rPr>
          <w:szCs w:val="22"/>
        </w:rPr>
        <w:t xml:space="preserve"> at a total cost of 20</w:t>
      </w:r>
      <w:r w:rsidR="006A59B3" w:rsidRPr="006D0C30">
        <w:rPr>
          <w:szCs w:val="22"/>
        </w:rPr>
        <w:t>.4</w:t>
      </w:r>
      <w:r w:rsidR="00F47B2A" w:rsidRPr="006D0C30">
        <w:rPr>
          <w:szCs w:val="22"/>
        </w:rPr>
        <w:t xml:space="preserve"> </w:t>
      </w:r>
      <w:r w:rsidR="006A59B3" w:rsidRPr="006D0C30">
        <w:rPr>
          <w:szCs w:val="22"/>
        </w:rPr>
        <w:t>million</w:t>
      </w:r>
      <w:r w:rsidR="00CD4E42" w:rsidRPr="006D0C30">
        <w:rPr>
          <w:szCs w:val="22"/>
        </w:rPr>
        <w:t xml:space="preserve"> Swiss francs</w:t>
      </w:r>
      <w:r w:rsidRPr="006D0C30">
        <w:rPr>
          <w:szCs w:val="22"/>
        </w:rPr>
        <w:t>.  The agreement provided for the Organization to advance the sum of 1</w:t>
      </w:r>
      <w:r w:rsidR="0072096D" w:rsidRPr="006D0C30">
        <w:rPr>
          <w:szCs w:val="22"/>
        </w:rPr>
        <w:t>1</w:t>
      </w:r>
      <w:r w:rsidR="006A59B3" w:rsidRPr="006D0C30">
        <w:rPr>
          <w:szCs w:val="22"/>
        </w:rPr>
        <w:t>.0</w:t>
      </w:r>
      <w:r w:rsidRPr="006D0C30">
        <w:rPr>
          <w:szCs w:val="22"/>
        </w:rPr>
        <w:t xml:space="preserve"> million</w:t>
      </w:r>
      <w:r w:rsidR="00CD4E42" w:rsidRPr="006D0C30">
        <w:rPr>
          <w:szCs w:val="22"/>
        </w:rPr>
        <w:t xml:space="preserve"> Swiss francs</w:t>
      </w:r>
      <w:r w:rsidR="00686D94" w:rsidRPr="006D0C30">
        <w:rPr>
          <w:szCs w:val="22"/>
        </w:rPr>
        <w:t>,</w:t>
      </w:r>
      <w:r w:rsidRPr="006D0C30">
        <w:rPr>
          <w:szCs w:val="22"/>
        </w:rPr>
        <w:t xml:space="preserve"> with the balance of the construction cost covered by a mortgage </w:t>
      </w:r>
      <w:r w:rsidR="00CD4E42" w:rsidRPr="006D0C30">
        <w:rPr>
          <w:szCs w:val="22"/>
        </w:rPr>
        <w:t>between FCIG and the</w:t>
      </w:r>
      <w:r w:rsidRPr="006D0C30">
        <w:rPr>
          <w:szCs w:val="22"/>
        </w:rPr>
        <w:t xml:space="preserve"> Cantonal Bank of Geneva</w:t>
      </w:r>
      <w:r w:rsidR="00CD4E42" w:rsidRPr="006D0C30">
        <w:rPr>
          <w:szCs w:val="22"/>
        </w:rPr>
        <w:t>.</w:t>
      </w:r>
      <w:r w:rsidR="002A49C8">
        <w:rPr>
          <w:szCs w:val="22"/>
        </w:rPr>
        <w:t xml:space="preserve"> At that date the Organization also entered into an agreement to lease the building from FCIG. The lease agreement was renewed for a period of seven years from January 1, 2012.</w:t>
      </w:r>
    </w:p>
    <w:p w:rsidR="006C08A0" w:rsidRPr="006D0C30" w:rsidRDefault="006C08A0" w:rsidP="00D26DEA">
      <w:pPr>
        <w:pStyle w:val="Style3"/>
        <w:spacing w:after="0"/>
        <w:ind w:right="53"/>
        <w:rPr>
          <w:szCs w:val="22"/>
        </w:rPr>
      </w:pPr>
    </w:p>
    <w:p w:rsidR="0046741E" w:rsidRPr="006D0C30" w:rsidRDefault="002A49C8" w:rsidP="006D0C30">
      <w:pPr>
        <w:pStyle w:val="Style3"/>
        <w:spacing w:after="0"/>
        <w:ind w:right="53"/>
        <w:rPr>
          <w:rFonts w:cs="Arial"/>
          <w:b/>
          <w:szCs w:val="22"/>
        </w:rPr>
      </w:pPr>
      <w:r>
        <w:t>Under the current</w:t>
      </w:r>
      <w:r w:rsidR="006C08A0" w:rsidRPr="004B5787">
        <w:t xml:space="preserve"> lease agreement between the Organization and FCIG</w:t>
      </w:r>
      <w:r>
        <w:t>,</w:t>
      </w:r>
      <w:r w:rsidR="006C08A0" w:rsidRPr="004B5787">
        <w:t xml:space="preserve"> </w:t>
      </w:r>
      <w:r w:rsidR="00F57C52">
        <w:t>both parties have the right to terminate the agreement at any point through mutual consent formalized in writing</w:t>
      </w:r>
      <w:r w:rsidR="00D31114">
        <w:t xml:space="preserve">. The annual amount of rent payable by WIPO is equivalent to the annual repayments (interest plus </w:t>
      </w:r>
      <w:r w:rsidR="00862F55">
        <w:t>repayments of the principal</w:t>
      </w:r>
      <w:r w:rsidR="00D31114">
        <w:t>) on the mortgage between FCIG and the Cantonal Bank of Geneva.</w:t>
      </w:r>
      <w:r w:rsidR="00F57C52">
        <w:t xml:space="preserve"> </w:t>
      </w:r>
      <w:r w:rsidR="005D7847" w:rsidRPr="005D7847">
        <w:rPr>
          <w:szCs w:val="22"/>
        </w:rPr>
        <w:t>The rent paid by WIPO on this basis during 2012 totaled 216,422 Swiss francs</w:t>
      </w:r>
      <w:r w:rsidR="005D7847">
        <w:rPr>
          <w:sz w:val="20"/>
        </w:rPr>
        <w:t xml:space="preserve">. </w:t>
      </w:r>
      <w:r w:rsidR="00F57C52">
        <w:t>The current rate of interest, fixed through to December 31, 2018, is 1.48 per cent.</w:t>
      </w:r>
      <w:r w:rsidR="00F81E36">
        <w:t xml:space="preserve"> </w:t>
      </w:r>
      <w:r>
        <w:t xml:space="preserve">From January 1, 2012, </w:t>
      </w:r>
      <w:r w:rsidR="00F81E36">
        <w:t xml:space="preserve">WIPO also </w:t>
      </w:r>
      <w:r>
        <w:t>recognizes</w:t>
      </w:r>
      <w:r w:rsidR="00F81E36">
        <w:t xml:space="preserve"> </w:t>
      </w:r>
      <w:r w:rsidR="00F81A71">
        <w:t>an annual amortization charge of 18</w:t>
      </w:r>
      <w:r w:rsidR="000727B5">
        <w:t>8,679</w:t>
      </w:r>
      <w:r>
        <w:t xml:space="preserve"> </w:t>
      </w:r>
      <w:r w:rsidR="00F81A71">
        <w:t xml:space="preserve">Swiss francs </w:t>
      </w:r>
      <w:r w:rsidR="00F57C52">
        <w:t>against</w:t>
      </w:r>
      <w:r w:rsidR="000727B5">
        <w:t xml:space="preserve"> the 10.0 million Swiss francs of its</w:t>
      </w:r>
      <w:r w:rsidR="00F81A71">
        <w:t xml:space="preserve"> </w:t>
      </w:r>
      <w:r w:rsidR="000727B5">
        <w:t>11.0 million Swiss francs</w:t>
      </w:r>
      <w:r w:rsidR="00F81A71">
        <w:t xml:space="preserve"> loan </w:t>
      </w:r>
      <w:r>
        <w:t>to FCIG</w:t>
      </w:r>
      <w:r w:rsidR="00F81A71">
        <w:t>.</w:t>
      </w:r>
      <w:r w:rsidR="006C08A0" w:rsidRPr="004B5787">
        <w:t xml:space="preserve"> </w:t>
      </w:r>
      <w:r w:rsidR="00D31114">
        <w:t>U</w:t>
      </w:r>
      <w:r w:rsidR="006C08A0" w:rsidRPr="004B5787">
        <w:t>pon vacating the premises</w:t>
      </w:r>
      <w:r w:rsidR="00932A4C" w:rsidRPr="004B5787">
        <w:t>,</w:t>
      </w:r>
      <w:r w:rsidR="00D31114">
        <w:t xml:space="preserve"> WIPO is</w:t>
      </w:r>
      <w:r w:rsidR="006C08A0" w:rsidRPr="004B5787">
        <w:t xml:space="preserve"> to </w:t>
      </w:r>
      <w:r w:rsidR="00423A21" w:rsidRPr="004B5787">
        <w:t xml:space="preserve">be </w:t>
      </w:r>
      <w:r w:rsidR="006C08A0" w:rsidRPr="004B5787">
        <w:t xml:space="preserve">repaid </w:t>
      </w:r>
      <w:r>
        <w:t>the balance of the</w:t>
      </w:r>
      <w:r w:rsidR="006C08A0" w:rsidRPr="004B5787">
        <w:t xml:space="preserve"> loan</w:t>
      </w:r>
      <w:r w:rsidR="00F57C52">
        <w:t xml:space="preserve"> after </w:t>
      </w:r>
      <w:r>
        <w:t>amortization</w:t>
      </w:r>
      <w:r w:rsidR="006C08A0" w:rsidRPr="004B5787">
        <w:t xml:space="preserve">. </w:t>
      </w:r>
      <w:r>
        <w:t>FCIG will also retain</w:t>
      </w:r>
      <w:r w:rsidR="006C08A0" w:rsidRPr="004B5787">
        <w:t xml:space="preserve"> 1</w:t>
      </w:r>
      <w:r w:rsidR="006A59B3">
        <w:t>.0</w:t>
      </w:r>
      <w:r w:rsidR="006C08A0" w:rsidRPr="004B5787">
        <w:t xml:space="preserve"> million</w:t>
      </w:r>
      <w:r w:rsidR="00CD4E42">
        <w:t xml:space="preserve"> Swiss francs</w:t>
      </w:r>
      <w:r w:rsidR="006C08A0" w:rsidRPr="004B5787">
        <w:t xml:space="preserve"> of the</w:t>
      </w:r>
      <w:r w:rsidR="000727B5">
        <w:t xml:space="preserve"> 11.0 million Swiss francs</w:t>
      </w:r>
      <w:r w:rsidR="006C08A0" w:rsidRPr="004B5787">
        <w:t xml:space="preserve"> loan for restoration of the </w:t>
      </w:r>
      <w:r w:rsidR="00F57C52">
        <w:t>building</w:t>
      </w:r>
      <w:r w:rsidR="006C08A0" w:rsidRPr="004B5787">
        <w:t xml:space="preserve"> to its original condition</w:t>
      </w:r>
      <w:r w:rsidR="006C08A0" w:rsidRPr="006D0C30">
        <w:rPr>
          <w:rFonts w:cs="Arial"/>
          <w:szCs w:val="22"/>
        </w:rPr>
        <w:t xml:space="preserve">. </w:t>
      </w:r>
    </w:p>
    <w:p w:rsidR="002B7281" w:rsidRPr="006D0C30" w:rsidRDefault="002B7281" w:rsidP="006D0C30">
      <w:pPr>
        <w:ind w:right="53"/>
        <w:jc w:val="both"/>
        <w:rPr>
          <w:rFonts w:ascii="Arial" w:hAnsi="Arial" w:cs="Arial"/>
          <w:b/>
          <w:sz w:val="22"/>
          <w:szCs w:val="22"/>
        </w:rPr>
      </w:pPr>
    </w:p>
    <w:p w:rsidR="00D65D40" w:rsidRPr="006D0C30" w:rsidRDefault="00D65D40" w:rsidP="006D0C30">
      <w:pPr>
        <w:pStyle w:val="STYLETITRENOTES"/>
        <w:ind w:right="53"/>
        <w:rPr>
          <w:rFonts w:cs="Arial"/>
          <w:szCs w:val="22"/>
        </w:rPr>
      </w:pPr>
    </w:p>
    <w:p w:rsidR="00C42877" w:rsidRPr="00797AED" w:rsidRDefault="00C42877" w:rsidP="006D0C30">
      <w:pPr>
        <w:pStyle w:val="StyleHeading211ptNotBoldNotItalicAllcaps"/>
        <w:spacing w:before="0" w:after="0"/>
      </w:pPr>
      <w:r w:rsidRPr="00797AED">
        <w:t xml:space="preserve">Note </w:t>
      </w:r>
      <w:r w:rsidR="00CF44A9" w:rsidRPr="00797AED">
        <w:t>11</w:t>
      </w:r>
      <w:r w:rsidRPr="00797AED">
        <w:t>:</w:t>
      </w:r>
      <w:r w:rsidR="0087204A">
        <w:tab/>
      </w:r>
      <w:r w:rsidRPr="00797AED">
        <w:t xml:space="preserve">Accounts </w:t>
      </w:r>
      <w:r w:rsidR="00932A4C" w:rsidRPr="00797AED">
        <w:t>p</w:t>
      </w:r>
      <w:r w:rsidRPr="00797AED">
        <w:t>ayable</w:t>
      </w:r>
    </w:p>
    <w:p w:rsidR="00C42877" w:rsidRPr="00A57553" w:rsidRDefault="00C42877" w:rsidP="006D0C30">
      <w:pPr>
        <w:jc w:val="both"/>
        <w:rPr>
          <w:rFonts w:ascii="Arial" w:hAnsi="Arial" w:cs="Arial"/>
          <w:b/>
          <w:sz w:val="22"/>
          <w:szCs w:val="22"/>
        </w:rPr>
      </w:pPr>
    </w:p>
    <w:p w:rsidR="00802DC6" w:rsidRPr="0099599F" w:rsidRDefault="00BC7CD6" w:rsidP="007C6D77">
      <w:pPr>
        <w:jc w:val="both"/>
        <w:rPr>
          <w:rFonts w:ascii="Arial" w:hAnsi="Arial" w:cs="Arial"/>
          <w:sz w:val="22"/>
          <w:szCs w:val="22"/>
        </w:rPr>
      </w:pPr>
      <w:r>
        <w:rPr>
          <w:noProof/>
        </w:rPr>
        <w:drawing>
          <wp:inline distT="0" distB="0" distL="0" distR="0" wp14:anchorId="07FC55DD" wp14:editId="7676ADE3">
            <wp:extent cx="5972175" cy="1447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72175" cy="1447800"/>
                    </a:xfrm>
                    <a:prstGeom prst="rect">
                      <a:avLst/>
                    </a:prstGeom>
                    <a:noFill/>
                    <a:ln>
                      <a:noFill/>
                    </a:ln>
                  </pic:spPr>
                </pic:pic>
              </a:graphicData>
            </a:graphic>
          </wp:inline>
        </w:drawing>
      </w:r>
    </w:p>
    <w:p w:rsidR="006821F7" w:rsidRPr="006D0C30" w:rsidRDefault="003C759B" w:rsidP="007C6D77">
      <w:pPr>
        <w:pStyle w:val="Style3"/>
        <w:spacing w:after="0"/>
        <w:rPr>
          <w:szCs w:val="22"/>
        </w:rPr>
      </w:pPr>
      <w:r w:rsidRPr="006D0C30">
        <w:rPr>
          <w:szCs w:val="22"/>
        </w:rPr>
        <w:t>Accounts payable includes invoices received from suppliers not yet settled</w:t>
      </w:r>
      <w:r w:rsidR="003A4B38" w:rsidRPr="006D0C30">
        <w:rPr>
          <w:szCs w:val="22"/>
        </w:rPr>
        <w:t xml:space="preserve"> including the revaluation of invoices payable in currencies other than</w:t>
      </w:r>
      <w:r w:rsidR="000D4B9D">
        <w:rPr>
          <w:szCs w:val="22"/>
        </w:rPr>
        <w:t xml:space="preserve"> the</w:t>
      </w:r>
      <w:r w:rsidR="003A4B38" w:rsidRPr="006D0C30">
        <w:rPr>
          <w:szCs w:val="22"/>
        </w:rPr>
        <w:t xml:space="preserve"> Swiss franc. </w:t>
      </w:r>
    </w:p>
    <w:p w:rsidR="00EF1D45" w:rsidRDefault="00EF1D45" w:rsidP="006D0C30">
      <w:pPr>
        <w:jc w:val="both"/>
        <w:rPr>
          <w:rFonts w:ascii="Arial" w:hAnsi="Arial" w:cs="Arial"/>
          <w:b/>
          <w:sz w:val="22"/>
          <w:szCs w:val="22"/>
        </w:rPr>
      </w:pPr>
    </w:p>
    <w:p w:rsidR="00054EBB" w:rsidRPr="006D0C30" w:rsidRDefault="00054EBB" w:rsidP="006D0C30">
      <w:pPr>
        <w:jc w:val="both"/>
        <w:rPr>
          <w:rFonts w:ascii="Arial" w:hAnsi="Arial" w:cs="Arial"/>
          <w:b/>
          <w:sz w:val="22"/>
          <w:szCs w:val="22"/>
        </w:rPr>
      </w:pPr>
    </w:p>
    <w:p w:rsidR="00CF44A9" w:rsidRPr="006D0C30" w:rsidRDefault="00CF44A9" w:rsidP="006D0C30">
      <w:pPr>
        <w:pStyle w:val="StyleHeading211ptNotBoldNotItalicAllcaps"/>
        <w:spacing w:before="0" w:after="0"/>
        <w:rPr>
          <w:szCs w:val="22"/>
        </w:rPr>
      </w:pPr>
      <w:r w:rsidRPr="006D0C30">
        <w:rPr>
          <w:szCs w:val="22"/>
        </w:rPr>
        <w:t>Note 12:</w:t>
      </w:r>
      <w:r w:rsidR="0087204A" w:rsidRPr="006D0C30">
        <w:rPr>
          <w:szCs w:val="22"/>
        </w:rPr>
        <w:tab/>
      </w:r>
      <w:r w:rsidRPr="006D0C30">
        <w:rPr>
          <w:szCs w:val="22"/>
        </w:rPr>
        <w:t>Employee Benefits</w:t>
      </w:r>
    </w:p>
    <w:p w:rsidR="0056293C" w:rsidRPr="006D0C30" w:rsidRDefault="0056293C" w:rsidP="006D0C30">
      <w:pPr>
        <w:pStyle w:val="STYLETITRENOTES"/>
        <w:rPr>
          <w:szCs w:val="22"/>
        </w:rPr>
      </w:pPr>
    </w:p>
    <w:p w:rsidR="001372BE" w:rsidRPr="0007311F" w:rsidRDefault="001372BE" w:rsidP="006D0C30">
      <w:pPr>
        <w:pStyle w:val="Style3"/>
        <w:spacing w:after="0"/>
      </w:pPr>
      <w:r w:rsidRPr="006D0C30">
        <w:rPr>
          <w:szCs w:val="22"/>
        </w:rPr>
        <w:t>Employee benefits comprise</w:t>
      </w:r>
      <w:r w:rsidRPr="0007311F">
        <w:t>:</w:t>
      </w:r>
    </w:p>
    <w:p w:rsidR="001372BE" w:rsidRPr="0007311F" w:rsidRDefault="001372BE" w:rsidP="001372BE">
      <w:pPr>
        <w:pStyle w:val="Style3"/>
        <w:spacing w:after="0"/>
      </w:pPr>
    </w:p>
    <w:p w:rsidR="001372BE" w:rsidRPr="0007311F" w:rsidRDefault="001372BE" w:rsidP="001372BE">
      <w:pPr>
        <w:pStyle w:val="Style3"/>
        <w:spacing w:after="0"/>
      </w:pPr>
      <w:r w:rsidRPr="00403F2A">
        <w:rPr>
          <w:i/>
        </w:rPr>
        <w:t>Short-term employee benefits</w:t>
      </w:r>
      <w:r w:rsidRPr="0007311F">
        <w:t xml:space="preserve"> </w:t>
      </w:r>
      <w:r>
        <w:t xml:space="preserve">that </w:t>
      </w:r>
      <w:r w:rsidRPr="0007311F">
        <w:t>include salary, allowances, grant on initial assignment</w:t>
      </w:r>
      <w:r>
        <w:t>, grants</w:t>
      </w:r>
      <w:r w:rsidRPr="0007311F">
        <w:t xml:space="preserve"> for the education of dependent children, paid annual leave, paid sick leave, accident and life insurance</w:t>
      </w:r>
      <w:r>
        <w:t>;</w:t>
      </w:r>
    </w:p>
    <w:p w:rsidR="001372BE" w:rsidRPr="0007311F" w:rsidRDefault="001372BE" w:rsidP="001372BE">
      <w:pPr>
        <w:pStyle w:val="Style3"/>
        <w:spacing w:after="0"/>
      </w:pPr>
    </w:p>
    <w:p w:rsidR="001372BE" w:rsidRPr="0007311F" w:rsidRDefault="001372BE" w:rsidP="001372BE">
      <w:pPr>
        <w:pStyle w:val="Style3"/>
        <w:spacing w:after="0"/>
      </w:pPr>
      <w:r w:rsidRPr="00403F2A">
        <w:rPr>
          <w:i/>
        </w:rPr>
        <w:t>Post-employment benefits</w:t>
      </w:r>
      <w:r w:rsidRPr="0007311F">
        <w:t xml:space="preserve"> which include separation benefits consisting of grants up</w:t>
      </w:r>
      <w:r>
        <w:t>on repatriation, repatriation travel and sh</w:t>
      </w:r>
      <w:r w:rsidR="00BF6B93">
        <w:t>ipping of personal effects and After Service Medical I</w:t>
      </w:r>
      <w:r>
        <w:t>nsurance;</w:t>
      </w:r>
    </w:p>
    <w:p w:rsidR="00117E63" w:rsidRPr="00117E63" w:rsidRDefault="001372BE" w:rsidP="00117E63">
      <w:pPr>
        <w:pStyle w:val="BodyText"/>
        <w:rPr>
          <w:sz w:val="22"/>
          <w:szCs w:val="22"/>
        </w:rPr>
      </w:pPr>
      <w:r w:rsidRPr="00117E63">
        <w:rPr>
          <w:i/>
          <w:sz w:val="22"/>
          <w:szCs w:val="22"/>
        </w:rPr>
        <w:lastRenderedPageBreak/>
        <w:t>Termination benefits</w:t>
      </w:r>
      <w:r w:rsidRPr="00117E63">
        <w:rPr>
          <w:sz w:val="22"/>
          <w:szCs w:val="22"/>
        </w:rPr>
        <w:t xml:space="preserve"> which include an indemnity payable to staff members holding a permanent or fixed term contract whose appointment is terminated by the Organization prior to the end of their contract.</w:t>
      </w:r>
    </w:p>
    <w:p w:rsidR="00CF0030" w:rsidRPr="003354C1" w:rsidRDefault="00CD3ADD" w:rsidP="00CD3ADD">
      <w:pPr>
        <w:pStyle w:val="STYLETITRENOTES"/>
        <w:jc w:val="center"/>
      </w:pPr>
      <w:r w:rsidRPr="00CD3ADD">
        <w:rPr>
          <w:noProof/>
        </w:rPr>
        <w:drawing>
          <wp:inline distT="0" distB="0" distL="0" distR="0">
            <wp:extent cx="5772150" cy="54006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72150" cy="5400675"/>
                    </a:xfrm>
                    <a:prstGeom prst="rect">
                      <a:avLst/>
                    </a:prstGeom>
                    <a:noFill/>
                    <a:ln>
                      <a:noFill/>
                    </a:ln>
                  </pic:spPr>
                </pic:pic>
              </a:graphicData>
            </a:graphic>
          </wp:inline>
        </w:drawing>
      </w:r>
    </w:p>
    <w:p w:rsidR="00CD3ADD" w:rsidRDefault="00CD3ADD" w:rsidP="00403F2A">
      <w:pPr>
        <w:pStyle w:val="Style3"/>
        <w:spacing w:after="0"/>
        <w:rPr>
          <w:b/>
        </w:rPr>
      </w:pPr>
    </w:p>
    <w:p w:rsidR="001372BE" w:rsidRPr="001372BE" w:rsidRDefault="001372BE" w:rsidP="00403F2A">
      <w:pPr>
        <w:pStyle w:val="Style3"/>
        <w:spacing w:after="0"/>
        <w:rPr>
          <w:b/>
        </w:rPr>
      </w:pPr>
      <w:r>
        <w:rPr>
          <w:b/>
        </w:rPr>
        <w:t>Short-Term Employee Benefits</w:t>
      </w:r>
    </w:p>
    <w:p w:rsidR="001372BE" w:rsidRDefault="001372BE" w:rsidP="00403F2A">
      <w:pPr>
        <w:pStyle w:val="Style3"/>
        <w:spacing w:after="0"/>
      </w:pPr>
    </w:p>
    <w:p w:rsidR="00403F2A" w:rsidRPr="007450CE" w:rsidRDefault="00403F2A" w:rsidP="00403F2A">
      <w:pPr>
        <w:pStyle w:val="Style3"/>
        <w:spacing w:after="0"/>
      </w:pPr>
      <w:r>
        <w:t xml:space="preserve">The Organization has </w:t>
      </w:r>
      <w:r w:rsidRPr="00420690">
        <w:t>recognized liabilities for the following short-term benefits, the value of which is based on the amount payable to each staff member at the reporting date</w:t>
      </w:r>
      <w:r w:rsidRPr="007450CE">
        <w:t>.</w:t>
      </w:r>
    </w:p>
    <w:p w:rsidR="00403F2A" w:rsidRPr="00FB4990" w:rsidRDefault="00403F2A" w:rsidP="00403F2A">
      <w:pPr>
        <w:pStyle w:val="Style3"/>
        <w:spacing w:after="0"/>
      </w:pPr>
    </w:p>
    <w:p w:rsidR="00403F2A" w:rsidRPr="00FB4990" w:rsidRDefault="00403F2A" w:rsidP="00D656CE">
      <w:pPr>
        <w:pStyle w:val="Style3"/>
        <w:numPr>
          <w:ilvl w:val="0"/>
          <w:numId w:val="35"/>
        </w:numPr>
        <w:spacing w:after="0"/>
      </w:pPr>
      <w:r w:rsidRPr="00FB4990">
        <w:t>Accumulated leave – staff members are eligible for 30 days annual leave</w:t>
      </w:r>
      <w:r w:rsidR="00117E63">
        <w:t>. Under the Staff Regulations and Rules (SRR) in force until December 31, 2012, staff were able to</w:t>
      </w:r>
      <w:r w:rsidRPr="00FB4990">
        <w:t xml:space="preserve"> accumulate up to </w:t>
      </w:r>
      <w:r>
        <w:t>9</w:t>
      </w:r>
      <w:r w:rsidRPr="00FB4990">
        <w:t xml:space="preserve">0 days leave </w:t>
      </w:r>
      <w:r>
        <w:t xml:space="preserve">of which up to 60 days is </w:t>
      </w:r>
      <w:r w:rsidRPr="00FB4990">
        <w:t>payable on separation from service.</w:t>
      </w:r>
      <w:r w:rsidR="00117E63">
        <w:t xml:space="preserve"> Under the revised SRR in force from January 1, 2013, staff members may accrue up to 15 days of annual leave in a given year, and a total accumulated balance of 60 days.</w:t>
      </w:r>
      <w:r w:rsidRPr="00FB4990">
        <w:t xml:space="preserve">  The total outstanding liability at the reporting date is</w:t>
      </w:r>
      <w:r>
        <w:t xml:space="preserve"> </w:t>
      </w:r>
      <w:r w:rsidR="00CC6997">
        <w:t>13.5</w:t>
      </w:r>
      <w:r w:rsidR="00117E63">
        <w:t xml:space="preserve"> million</w:t>
      </w:r>
      <w:r w:rsidR="00A575F4">
        <w:t xml:space="preserve"> Swiss francs</w:t>
      </w:r>
      <w:r>
        <w:t xml:space="preserve"> </w:t>
      </w:r>
      <w:r w:rsidRPr="00FB4990">
        <w:t>[</w:t>
      </w:r>
      <w:r w:rsidR="00117E63">
        <w:t>13.8 million</w:t>
      </w:r>
      <w:r w:rsidR="00A575F4">
        <w:t xml:space="preserve"> Swiss francs</w:t>
      </w:r>
      <w:r w:rsidRPr="00FB4990">
        <w:t xml:space="preserve"> at</w:t>
      </w:r>
      <w:r w:rsidR="00A575F4">
        <w:t xml:space="preserve"> December 31, 201</w:t>
      </w:r>
      <w:r w:rsidR="00F2526E">
        <w:t>1</w:t>
      </w:r>
      <w:r w:rsidRPr="00FB4990">
        <w:t>].</w:t>
      </w:r>
    </w:p>
    <w:p w:rsidR="00403F2A" w:rsidRPr="00FB4990" w:rsidRDefault="00403F2A" w:rsidP="00403F2A">
      <w:pPr>
        <w:pStyle w:val="Style3"/>
        <w:spacing w:after="0"/>
      </w:pPr>
    </w:p>
    <w:p w:rsidR="00403F2A" w:rsidRPr="00FB4990" w:rsidRDefault="00403F2A" w:rsidP="00D656CE">
      <w:pPr>
        <w:pStyle w:val="Style3"/>
        <w:numPr>
          <w:ilvl w:val="0"/>
          <w:numId w:val="35"/>
        </w:numPr>
        <w:spacing w:after="0"/>
      </w:pPr>
      <w:r w:rsidRPr="00FB4990">
        <w:t xml:space="preserve">Home Leave – internationally recruited staff members are eligible for home leave for themselves and their dependents to the country from which they were recruited every second year.  The total outstanding liability for home leave earned but not taken at the </w:t>
      </w:r>
      <w:r w:rsidRPr="00FB4990">
        <w:lastRenderedPageBreak/>
        <w:t xml:space="preserve">reporting date is </w:t>
      </w:r>
      <w:r w:rsidR="0099599F">
        <w:t>0.5 million</w:t>
      </w:r>
      <w:r w:rsidR="00A575F4">
        <w:t xml:space="preserve"> Swiss francs</w:t>
      </w:r>
      <w:r w:rsidRPr="003A3B36">
        <w:t xml:space="preserve"> [</w:t>
      </w:r>
      <w:r w:rsidR="0099599F">
        <w:t>0.5 million</w:t>
      </w:r>
      <w:r w:rsidR="00A575F4">
        <w:t xml:space="preserve"> Swiss francs</w:t>
      </w:r>
      <w:r>
        <w:t xml:space="preserve"> </w:t>
      </w:r>
      <w:r w:rsidR="006E4DAB">
        <w:t>at December 31, </w:t>
      </w:r>
      <w:r w:rsidR="00A575F4">
        <w:t>201</w:t>
      </w:r>
      <w:r w:rsidR="002B1F31">
        <w:t>1</w:t>
      </w:r>
      <w:r w:rsidRPr="00FB4990">
        <w:t>].</w:t>
      </w:r>
    </w:p>
    <w:p w:rsidR="00403F2A" w:rsidRPr="00FB4990" w:rsidRDefault="00403F2A" w:rsidP="00403F2A">
      <w:pPr>
        <w:pStyle w:val="Style3"/>
        <w:spacing w:after="0"/>
      </w:pPr>
    </w:p>
    <w:p w:rsidR="00403F2A" w:rsidRPr="00FB4990" w:rsidRDefault="00403F2A" w:rsidP="00D656CE">
      <w:pPr>
        <w:pStyle w:val="Style3"/>
        <w:numPr>
          <w:ilvl w:val="0"/>
          <w:numId w:val="35"/>
        </w:numPr>
        <w:spacing w:after="0"/>
      </w:pPr>
      <w:r w:rsidRPr="00FB4990">
        <w:t xml:space="preserve">Overtime – staff members are eligible to be paid in cash for overtime accrued after </w:t>
      </w:r>
      <w:r>
        <w:t xml:space="preserve">the expiry of </w:t>
      </w:r>
      <w:r w:rsidRPr="00FB4990">
        <w:t xml:space="preserve">a period established in the Staff </w:t>
      </w:r>
      <w:r>
        <w:t xml:space="preserve">Regulations and </w:t>
      </w:r>
      <w:r w:rsidRPr="00FB4990">
        <w:t>R</w:t>
      </w:r>
      <w:r>
        <w:t>ules</w:t>
      </w:r>
      <w:r w:rsidRPr="00FB4990">
        <w:t>.  The total amo</w:t>
      </w:r>
      <w:r w:rsidR="00A575F4">
        <w:t>unt payable at the reporting date</w:t>
      </w:r>
      <w:r w:rsidRPr="00FB4990">
        <w:t xml:space="preserve"> is </w:t>
      </w:r>
      <w:r w:rsidR="0099599F">
        <w:t>0.7 million</w:t>
      </w:r>
      <w:r w:rsidR="00A575F4">
        <w:t xml:space="preserve"> Swiss francs</w:t>
      </w:r>
      <w:r w:rsidRPr="00FB4990">
        <w:t xml:space="preserve"> [</w:t>
      </w:r>
      <w:r w:rsidR="0099599F">
        <w:t>0.6 million</w:t>
      </w:r>
      <w:r w:rsidR="00A575F4">
        <w:t xml:space="preserve"> Swiss francs</w:t>
      </w:r>
      <w:r>
        <w:t xml:space="preserve"> </w:t>
      </w:r>
      <w:r w:rsidR="00A575F4">
        <w:t>at December 31, 201</w:t>
      </w:r>
      <w:r w:rsidR="002B1F31">
        <w:t>1</w:t>
      </w:r>
      <w:r w:rsidRPr="00FB4990">
        <w:t>].</w:t>
      </w:r>
    </w:p>
    <w:p w:rsidR="00101989" w:rsidRDefault="00101989" w:rsidP="001372BE">
      <w:pPr>
        <w:pStyle w:val="Style3"/>
        <w:spacing w:after="0"/>
      </w:pPr>
    </w:p>
    <w:p w:rsidR="00CF44A9" w:rsidRPr="00D656CE" w:rsidRDefault="00D656CE" w:rsidP="007C6D77">
      <w:pPr>
        <w:pStyle w:val="Style3"/>
        <w:spacing w:after="0"/>
      </w:pPr>
      <w:r>
        <w:rPr>
          <w:b/>
        </w:rPr>
        <w:t>Post-Employment B</w:t>
      </w:r>
      <w:r w:rsidR="00A575F4" w:rsidRPr="00D656CE">
        <w:rPr>
          <w:b/>
        </w:rPr>
        <w:t xml:space="preserve">enefits </w:t>
      </w:r>
    </w:p>
    <w:p w:rsidR="00CF44A9" w:rsidRPr="0007311F" w:rsidRDefault="00CF44A9" w:rsidP="007C6D77">
      <w:pPr>
        <w:pStyle w:val="Style3"/>
        <w:spacing w:after="0"/>
      </w:pPr>
    </w:p>
    <w:p w:rsidR="00CF44A9" w:rsidRPr="00FB4990" w:rsidRDefault="00DF3861" w:rsidP="007C6D77">
      <w:pPr>
        <w:pStyle w:val="Style3"/>
        <w:spacing w:after="0"/>
      </w:pPr>
      <w:r w:rsidRPr="001372BE">
        <w:rPr>
          <w:i/>
        </w:rPr>
        <w:t>Closed Pension Fund (</w:t>
      </w:r>
      <w:r w:rsidR="00CF44A9" w:rsidRPr="001372BE">
        <w:rPr>
          <w:i/>
        </w:rPr>
        <w:t>CROMPI</w:t>
      </w:r>
      <w:r w:rsidRPr="001372BE">
        <w:rPr>
          <w:i/>
        </w:rPr>
        <w:t>)</w:t>
      </w:r>
      <w:r w:rsidR="00CF44A9" w:rsidRPr="00D21E87">
        <w:t>:</w:t>
      </w:r>
      <w:r w:rsidR="00CF44A9">
        <w:t xml:space="preserve"> </w:t>
      </w:r>
      <w:r w:rsidR="00CF44A9" w:rsidRPr="0007311F">
        <w:t>Prior to becoming a participa</w:t>
      </w:r>
      <w:r w:rsidR="003354C1">
        <w:t>ting organization in the UNJSPF</w:t>
      </w:r>
      <w:r w:rsidR="0086338B">
        <w:t>,</w:t>
      </w:r>
      <w:r w:rsidR="00CF44A9" w:rsidRPr="0007311F">
        <w:t xml:space="preserve"> the WIPO’s predecessor organization had its own pension fund established in 1955. This pension fund was closed to new members on 30 September 1975 and continues for those who were members at the time of closure under the management of a Foundation Council. In accordance with a convention between the Closed Pension Fund and the Organization and with a recent decision of the</w:t>
      </w:r>
      <w:r w:rsidR="00CD3ADD">
        <w:t xml:space="preserve"> International </w:t>
      </w:r>
      <w:proofErr w:type="spellStart"/>
      <w:r w:rsidR="00CD3ADD">
        <w:t>Labour</w:t>
      </w:r>
      <w:proofErr w:type="spellEnd"/>
      <w:r w:rsidR="00CD3ADD">
        <w:t xml:space="preserve"> </w:t>
      </w:r>
      <w:proofErr w:type="spellStart"/>
      <w:r w:rsidR="00CD3ADD">
        <w:t>Organizatin</w:t>
      </w:r>
      <w:proofErr w:type="spellEnd"/>
      <w:r w:rsidR="00CF44A9" w:rsidRPr="0007311F">
        <w:t xml:space="preserve"> </w:t>
      </w:r>
      <w:r w:rsidR="00CD3ADD">
        <w:t>(</w:t>
      </w:r>
      <w:r w:rsidR="00CF44A9" w:rsidRPr="0007311F">
        <w:t>ILO</w:t>
      </w:r>
      <w:r w:rsidR="00CD3ADD">
        <w:t>)</w:t>
      </w:r>
      <w:r w:rsidR="00CF44A9" w:rsidRPr="0007311F">
        <w:t xml:space="preserve"> Administrative Tribunal, WIPO is responsible for financing costs incurred by the Closed Pension Fund related to foreign exchange differences and to differences in </w:t>
      </w:r>
      <w:r w:rsidR="00CF44A9">
        <w:t xml:space="preserve">the </w:t>
      </w:r>
      <w:r w:rsidR="00CF44A9" w:rsidRPr="0007311F">
        <w:t>retirement age</w:t>
      </w:r>
      <w:r w:rsidR="000D4B9D">
        <w:t xml:space="preserve"> as</w:t>
      </w:r>
      <w:r w:rsidR="00CF44A9" w:rsidRPr="0007311F">
        <w:t xml:space="preserve"> stipulated by the Closed Pension Fund and </w:t>
      </w:r>
      <w:r w:rsidR="00CF44A9">
        <w:t xml:space="preserve">that of </w:t>
      </w:r>
      <w:r w:rsidR="003354C1">
        <w:t>the UNJSPF</w:t>
      </w:r>
      <w:r w:rsidR="00CF44A9" w:rsidRPr="0007311F">
        <w:t xml:space="preserve">. </w:t>
      </w:r>
      <w:r w:rsidR="00CF44A9">
        <w:t>T</w:t>
      </w:r>
      <w:r w:rsidR="00CF44A9" w:rsidRPr="00FB4990">
        <w:t>he Organization has several obligations related to participants in the closed pension fund including:</w:t>
      </w:r>
    </w:p>
    <w:p w:rsidR="00CF44A9" w:rsidRPr="00FB4990" w:rsidRDefault="00CF44A9" w:rsidP="007C6D77">
      <w:pPr>
        <w:pStyle w:val="Style3"/>
        <w:spacing w:after="0"/>
      </w:pPr>
    </w:p>
    <w:p w:rsidR="00CF44A9" w:rsidRDefault="00CF44A9" w:rsidP="00D656CE">
      <w:pPr>
        <w:pStyle w:val="Style3"/>
        <w:numPr>
          <w:ilvl w:val="0"/>
          <w:numId w:val="37"/>
        </w:numPr>
        <w:spacing w:after="0"/>
      </w:pPr>
      <w:proofErr w:type="gramStart"/>
      <w:r w:rsidRPr="00FB4990">
        <w:t>the</w:t>
      </w:r>
      <w:proofErr w:type="gramEnd"/>
      <w:r w:rsidRPr="00FB4990">
        <w:t xml:space="preserve"> obligation to cover the cost of pensions paid to former staff participating in the closed pension fund before they reach the age of 65.  Based upon an actuarial valuation performed in December 20</w:t>
      </w:r>
      <w:r w:rsidR="003129EB">
        <w:t>1</w:t>
      </w:r>
      <w:r w:rsidR="002B1F31">
        <w:t>2</w:t>
      </w:r>
      <w:r w:rsidRPr="00FB4990">
        <w:t xml:space="preserve">, the estimated liability is </w:t>
      </w:r>
      <w:r w:rsidR="000B76DB">
        <w:t>0.1 million</w:t>
      </w:r>
      <w:r w:rsidR="00DF3861">
        <w:t xml:space="preserve"> Swiss francs</w:t>
      </w:r>
      <w:r w:rsidR="003129EB">
        <w:t xml:space="preserve"> </w:t>
      </w:r>
      <w:r w:rsidR="006E4DAB">
        <w:t>[0.6 </w:t>
      </w:r>
      <w:r w:rsidR="000B76DB">
        <w:t>million</w:t>
      </w:r>
      <w:r w:rsidR="002B1F31">
        <w:t xml:space="preserve"> </w:t>
      </w:r>
      <w:r w:rsidR="00DF3861">
        <w:t>Swiss francs</w:t>
      </w:r>
      <w:r w:rsidRPr="00FB4990">
        <w:t xml:space="preserve"> </w:t>
      </w:r>
      <w:r w:rsidR="003129EB">
        <w:t>in 20</w:t>
      </w:r>
      <w:r w:rsidR="00DF3861">
        <w:t>1</w:t>
      </w:r>
      <w:r w:rsidR="002B1F31">
        <w:t>1]</w:t>
      </w:r>
      <w:r w:rsidR="003129EB">
        <w:t>.</w:t>
      </w:r>
    </w:p>
    <w:p w:rsidR="00D21E87" w:rsidRPr="00FB4990" w:rsidRDefault="00D21E87" w:rsidP="00D21E87">
      <w:pPr>
        <w:pStyle w:val="Style3"/>
        <w:spacing w:after="0"/>
        <w:ind w:left="360"/>
      </w:pPr>
    </w:p>
    <w:p w:rsidR="00CF44A9" w:rsidRPr="00FB4990" w:rsidRDefault="00CF44A9" w:rsidP="00D656CE">
      <w:pPr>
        <w:pStyle w:val="Style3"/>
        <w:numPr>
          <w:ilvl w:val="0"/>
          <w:numId w:val="37"/>
        </w:numPr>
        <w:spacing w:after="0"/>
      </w:pPr>
      <w:r w:rsidRPr="00FB4990">
        <w:t xml:space="preserve">the obligation, based upon a decision of the Administrative Tribunal of the International </w:t>
      </w:r>
      <w:proofErr w:type="spellStart"/>
      <w:r w:rsidRPr="00FB4990">
        <w:t>Labour</w:t>
      </w:r>
      <w:proofErr w:type="spellEnd"/>
      <w:r w:rsidRPr="00FB4990">
        <w:t xml:space="preserve"> Organization in 2006, to cover certain differences between the pension receivable of closed pension fund members under the closed pension fund and </w:t>
      </w:r>
      <w:r w:rsidR="00380C97">
        <w:t xml:space="preserve">that </w:t>
      </w:r>
      <w:r w:rsidRPr="00FB4990">
        <w:t>receivable from the UNJSPF which, based upon actuarial valuation</w:t>
      </w:r>
      <w:r w:rsidR="008A5E39">
        <w:t>s</w:t>
      </w:r>
      <w:r w:rsidRPr="00FB4990">
        <w:t xml:space="preserve"> performed in December 20</w:t>
      </w:r>
      <w:r w:rsidR="003129EB">
        <w:t>1</w:t>
      </w:r>
      <w:r w:rsidR="002B1F31">
        <w:t>2</w:t>
      </w:r>
      <w:r w:rsidRPr="00FB4990">
        <w:t xml:space="preserve">, is estimated at </w:t>
      </w:r>
      <w:r w:rsidR="000B76DB">
        <w:t>3.1 million</w:t>
      </w:r>
      <w:r w:rsidR="00DF3861">
        <w:t xml:space="preserve"> Swiss francs</w:t>
      </w:r>
      <w:r w:rsidR="003129EB">
        <w:t xml:space="preserve"> (</w:t>
      </w:r>
      <w:r w:rsidR="000B76DB">
        <w:t>6.6 million</w:t>
      </w:r>
      <w:r w:rsidR="00DF3861">
        <w:t xml:space="preserve"> Swiss francs</w:t>
      </w:r>
      <w:r w:rsidRPr="00FB4990">
        <w:t xml:space="preserve"> </w:t>
      </w:r>
      <w:r w:rsidR="00871EC9">
        <w:t>in </w:t>
      </w:r>
      <w:r w:rsidR="003129EB">
        <w:t>20</w:t>
      </w:r>
      <w:r w:rsidR="00DF3861">
        <w:t>1</w:t>
      </w:r>
      <w:r w:rsidR="002B1F31">
        <w:t>1</w:t>
      </w:r>
      <w:r w:rsidR="003129EB">
        <w:t>)</w:t>
      </w:r>
      <w:r w:rsidRPr="00FB4990">
        <w:t xml:space="preserve">.  </w:t>
      </w:r>
    </w:p>
    <w:p w:rsidR="00CF44A9" w:rsidRDefault="00CF44A9" w:rsidP="007C6D77">
      <w:pPr>
        <w:pStyle w:val="Style3"/>
        <w:spacing w:after="0"/>
      </w:pPr>
    </w:p>
    <w:p w:rsidR="00121A1A" w:rsidRDefault="00DF3861" w:rsidP="007C6D77">
      <w:pPr>
        <w:pStyle w:val="Style3"/>
        <w:spacing w:after="0"/>
      </w:pPr>
      <w:r w:rsidRPr="00D656CE">
        <w:rPr>
          <w:i/>
        </w:rPr>
        <w:t>Repatriation grant and travel</w:t>
      </w:r>
      <w:r w:rsidR="00CF44A9" w:rsidRPr="0013454B">
        <w:t xml:space="preserve">: </w:t>
      </w:r>
      <w:r w:rsidR="00CF44A9" w:rsidRPr="00FB4990">
        <w:t xml:space="preserve">The Organization has a contractual obligation to provide benefits such as repatriation grants and travel for </w:t>
      </w:r>
      <w:r w:rsidR="00CF44A9">
        <w:t>certain</w:t>
      </w:r>
      <w:r w:rsidR="00CF44A9" w:rsidRPr="00FB4990">
        <w:t xml:space="preserve"> internationally recruited staff </w:t>
      </w:r>
      <w:r w:rsidR="00CF44A9">
        <w:t xml:space="preserve">members </w:t>
      </w:r>
      <w:r w:rsidR="00CF44A9" w:rsidRPr="00FB4990">
        <w:t>at the time of their separation from service.  On the basis of an actuarial valuation carried out in December 20</w:t>
      </w:r>
      <w:r w:rsidR="00CF44A9">
        <w:t>1</w:t>
      </w:r>
      <w:r w:rsidR="009C52A3">
        <w:t>2</w:t>
      </w:r>
      <w:r w:rsidR="00CF44A9" w:rsidRPr="00FB4990">
        <w:t xml:space="preserve"> by an independent </w:t>
      </w:r>
      <w:r w:rsidR="00CF44A9">
        <w:t>actuary</w:t>
      </w:r>
      <w:r w:rsidR="00CF44A9" w:rsidRPr="00FB4990">
        <w:t>, the obligation was estimated as follows at the reporting date:</w:t>
      </w:r>
    </w:p>
    <w:p w:rsidR="00B040B6" w:rsidRPr="00AD1138" w:rsidRDefault="00BC7CD6" w:rsidP="007C6D77">
      <w:pPr>
        <w:pStyle w:val="Style3"/>
        <w:spacing w:after="0"/>
      </w:pPr>
      <w:r>
        <w:rPr>
          <w:noProof/>
        </w:rPr>
        <w:drawing>
          <wp:inline distT="0" distB="0" distL="0" distR="0" wp14:anchorId="0682941A" wp14:editId="5A786FCD">
            <wp:extent cx="5972175" cy="94297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72175" cy="942975"/>
                    </a:xfrm>
                    <a:prstGeom prst="rect">
                      <a:avLst/>
                    </a:prstGeom>
                    <a:noFill/>
                    <a:ln>
                      <a:noFill/>
                    </a:ln>
                  </pic:spPr>
                </pic:pic>
              </a:graphicData>
            </a:graphic>
          </wp:inline>
        </w:drawing>
      </w:r>
    </w:p>
    <w:p w:rsidR="00CD3ADD" w:rsidRDefault="00CF44A9" w:rsidP="00DF09B4">
      <w:pPr>
        <w:pStyle w:val="Style3"/>
        <w:spacing w:after="0"/>
      </w:pPr>
      <w:r w:rsidRPr="00D656CE">
        <w:rPr>
          <w:i/>
        </w:rPr>
        <w:t>After Service Health Insurance</w:t>
      </w:r>
      <w:r w:rsidR="00DF09B4" w:rsidRPr="00D656CE">
        <w:rPr>
          <w:i/>
        </w:rPr>
        <w:t xml:space="preserve"> (ASHI)</w:t>
      </w:r>
      <w:r w:rsidR="00D656CE">
        <w:t>:</w:t>
      </w:r>
      <w:r>
        <w:t xml:space="preserve"> </w:t>
      </w:r>
      <w:r w:rsidRPr="00FB4990">
        <w:t>The Organization also has a contractual obligation to provide post-</w:t>
      </w:r>
      <w:r w:rsidR="00956303">
        <w:t>employment</w:t>
      </w:r>
      <w:r w:rsidRPr="00FB4990">
        <w:t xml:space="preserve"> medical benefits for its staff members in the form of insurance premiums for the medical and accident insurance plan. </w:t>
      </w:r>
      <w:r w:rsidR="002B379E" w:rsidRPr="00FB4990">
        <w:t xml:space="preserve">Staff members (and their spouses, dependent children and survivors) retiring from service are eligible for ASHI coverage if </w:t>
      </w:r>
      <w:r w:rsidR="002B379E">
        <w:t xml:space="preserve">they </w:t>
      </w:r>
      <w:r w:rsidR="002B379E" w:rsidRPr="00FB4990">
        <w:t xml:space="preserve">continue to participate in the </w:t>
      </w:r>
      <w:r w:rsidR="002B379E">
        <w:t>ASHI</w:t>
      </w:r>
      <w:r w:rsidR="002B379E" w:rsidRPr="00FB4990">
        <w:t xml:space="preserve"> scheme after separation from service. </w:t>
      </w:r>
    </w:p>
    <w:p w:rsidR="00CD3ADD" w:rsidRDefault="00CD3ADD">
      <w:pPr>
        <w:rPr>
          <w:rFonts w:ascii="Arial" w:hAnsi="Arial"/>
          <w:sz w:val="22"/>
          <w:szCs w:val="20"/>
        </w:rPr>
      </w:pPr>
      <w:r>
        <w:br w:type="page"/>
      </w:r>
    </w:p>
    <w:p w:rsidR="00CF44A9" w:rsidRDefault="002B379E" w:rsidP="00DF09B4">
      <w:pPr>
        <w:pStyle w:val="Style3"/>
        <w:spacing w:after="0"/>
      </w:pPr>
      <w:r w:rsidRPr="00FB4990">
        <w:lastRenderedPageBreak/>
        <w:t xml:space="preserve">In accordance with WIPO’s Staff </w:t>
      </w:r>
      <w:r>
        <w:t>Regulations and Rules</w:t>
      </w:r>
      <w:r w:rsidR="00B040B6">
        <w:t>,</w:t>
      </w:r>
      <w:r>
        <w:t xml:space="preserve"> </w:t>
      </w:r>
      <w:r w:rsidRPr="00FB4990">
        <w:t>a share of 65</w:t>
      </w:r>
      <w:r w:rsidR="003354C1">
        <w:t xml:space="preserve"> </w:t>
      </w:r>
      <w:r w:rsidR="002D6885">
        <w:t>per cent</w:t>
      </w:r>
      <w:r w:rsidRPr="00FB4990">
        <w:t xml:space="preserve"> of the monthly medical insurance premium is paid by the organization. The current monthly medical premium amounts to 552</w:t>
      </w:r>
      <w:r>
        <w:t xml:space="preserve"> Swiss francs</w:t>
      </w:r>
      <w:r w:rsidRPr="00FB4990">
        <w:t xml:space="preserve"> </w:t>
      </w:r>
      <w:r w:rsidR="009C52A3">
        <w:t>(</w:t>
      </w:r>
      <w:r w:rsidRPr="00FB4990">
        <w:t xml:space="preserve">as </w:t>
      </w:r>
      <w:r>
        <w:t>at</w:t>
      </w:r>
      <w:r w:rsidRPr="00FB4990">
        <w:t xml:space="preserve"> </w:t>
      </w:r>
      <w:r>
        <w:t>December 31, 201</w:t>
      </w:r>
      <w:r w:rsidR="009C52A3">
        <w:t>2)</w:t>
      </w:r>
      <w:r w:rsidRPr="00FB4990">
        <w:t xml:space="preserve">. </w:t>
      </w:r>
      <w:r w:rsidR="00CF44A9" w:rsidRPr="0007311F">
        <w:t xml:space="preserve">The present value of the defined benefit obligations for post-employment medical </w:t>
      </w:r>
      <w:r w:rsidR="00956303">
        <w:t>benefits</w:t>
      </w:r>
      <w:r w:rsidR="00CF44A9" w:rsidRPr="0007311F">
        <w:t xml:space="preserve"> is determined </w:t>
      </w:r>
      <w:r w:rsidR="00CF44A9">
        <w:t>using the projected unit credit</w:t>
      </w:r>
      <w:r w:rsidR="00CF44A9" w:rsidRPr="0007311F">
        <w:t xml:space="preserve"> method including discounting the estimated future cash outflows using a discount rate based upon both Swiss franc high grade corporate bonds and Swiss government bonds. </w:t>
      </w:r>
      <w:r w:rsidR="00CF44A9">
        <w:t xml:space="preserve">The plan is unfunded and no plan assets are held in a long-term employee benefit fund. </w:t>
      </w:r>
      <w:r w:rsidR="00CF44A9" w:rsidRPr="00FB4990">
        <w:t>On the basis of an actuarial valuation carried out in December 20</w:t>
      </w:r>
      <w:r w:rsidR="00CF44A9">
        <w:t>1</w:t>
      </w:r>
      <w:r w:rsidR="009C52A3">
        <w:t>2</w:t>
      </w:r>
      <w:r w:rsidR="00CF44A9" w:rsidRPr="00FB4990">
        <w:t xml:space="preserve"> by an independent office, this liability was estimated as follows at the reporting date:</w:t>
      </w:r>
    </w:p>
    <w:p w:rsidR="002B379E" w:rsidRDefault="002B379E" w:rsidP="00DF09B4">
      <w:pPr>
        <w:pStyle w:val="Style3"/>
        <w:spacing w:after="0"/>
      </w:pPr>
    </w:p>
    <w:p w:rsidR="002B379E" w:rsidRPr="003354C1" w:rsidRDefault="00BC7CD6" w:rsidP="00380C97">
      <w:pPr>
        <w:pStyle w:val="Style3"/>
        <w:spacing w:after="0"/>
      </w:pPr>
      <w:r>
        <w:rPr>
          <w:noProof/>
        </w:rPr>
        <w:drawing>
          <wp:inline distT="0" distB="0" distL="0" distR="0" wp14:anchorId="5965FAD1" wp14:editId="3853FA9E">
            <wp:extent cx="5981700" cy="790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81700" cy="790575"/>
                    </a:xfrm>
                    <a:prstGeom prst="rect">
                      <a:avLst/>
                    </a:prstGeom>
                    <a:noFill/>
                    <a:ln>
                      <a:noFill/>
                    </a:ln>
                  </pic:spPr>
                </pic:pic>
              </a:graphicData>
            </a:graphic>
          </wp:inline>
        </w:drawing>
      </w:r>
    </w:p>
    <w:p w:rsidR="00A74529" w:rsidRDefault="00A74529" w:rsidP="00B13782">
      <w:pPr>
        <w:jc w:val="both"/>
        <w:rPr>
          <w:rFonts w:ascii="Arial" w:hAnsi="Arial" w:cs="Arial"/>
          <w:sz w:val="22"/>
          <w:szCs w:val="22"/>
        </w:rPr>
      </w:pPr>
    </w:p>
    <w:p w:rsidR="00D90EB9" w:rsidRPr="00B13782" w:rsidRDefault="00F73C5E" w:rsidP="00B13782">
      <w:pPr>
        <w:jc w:val="both"/>
        <w:rPr>
          <w:rFonts w:ascii="Arial" w:hAnsi="Arial" w:cs="Arial"/>
          <w:sz w:val="22"/>
          <w:szCs w:val="22"/>
        </w:rPr>
      </w:pPr>
      <w:r>
        <w:rPr>
          <w:rFonts w:ascii="Arial" w:hAnsi="Arial" w:cs="Arial"/>
          <w:sz w:val="22"/>
          <w:szCs w:val="22"/>
        </w:rPr>
        <w:t>The actuarial assumptions and calculations applicable to the AS</w:t>
      </w:r>
      <w:r w:rsidR="00871EC9">
        <w:rPr>
          <w:rFonts w:ascii="Arial" w:hAnsi="Arial" w:cs="Arial"/>
          <w:sz w:val="22"/>
          <w:szCs w:val="22"/>
        </w:rPr>
        <w:t>HI liability as at December 31, </w:t>
      </w:r>
      <w:r>
        <w:rPr>
          <w:rFonts w:ascii="Arial" w:hAnsi="Arial" w:cs="Arial"/>
          <w:sz w:val="22"/>
          <w:szCs w:val="22"/>
        </w:rPr>
        <w:t>2011 are disclosed in the following table:</w:t>
      </w:r>
    </w:p>
    <w:p w:rsidR="00F73C5E" w:rsidRPr="000B76DB" w:rsidRDefault="00CD3ADD" w:rsidP="00B13782">
      <w:pPr>
        <w:jc w:val="center"/>
        <w:rPr>
          <w:szCs w:val="22"/>
        </w:rPr>
      </w:pPr>
      <w:r>
        <w:rPr>
          <w:noProof/>
        </w:rPr>
        <w:lastRenderedPageBreak/>
        <w:drawing>
          <wp:inline distT="0" distB="0" distL="0" distR="0" wp14:anchorId="20396546" wp14:editId="54EEEDE5">
            <wp:extent cx="5756400" cy="8564400"/>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56400" cy="8564400"/>
                    </a:xfrm>
                    <a:prstGeom prst="rect">
                      <a:avLst/>
                    </a:prstGeom>
                    <a:noFill/>
                    <a:ln>
                      <a:noFill/>
                    </a:ln>
                  </pic:spPr>
                </pic:pic>
              </a:graphicData>
            </a:graphic>
          </wp:inline>
        </w:drawing>
      </w:r>
    </w:p>
    <w:p w:rsidR="00F73C5E" w:rsidRDefault="00F73C5E" w:rsidP="00B13782">
      <w:pPr>
        <w:jc w:val="both"/>
        <w:rPr>
          <w:rFonts w:ascii="Arial" w:hAnsi="Arial" w:cs="Arial"/>
          <w:noProof/>
          <w:sz w:val="22"/>
          <w:szCs w:val="22"/>
        </w:rPr>
      </w:pPr>
      <w:r w:rsidRPr="00B13782">
        <w:rPr>
          <w:rFonts w:ascii="Arial" w:hAnsi="Arial" w:cs="Arial"/>
          <w:sz w:val="22"/>
          <w:szCs w:val="22"/>
        </w:rPr>
        <w:lastRenderedPageBreak/>
        <w:t>The</w:t>
      </w:r>
      <w:r w:rsidRPr="00F73C5E">
        <w:rPr>
          <w:rFonts w:ascii="Arial" w:hAnsi="Arial" w:cs="Arial"/>
          <w:sz w:val="22"/>
          <w:szCs w:val="22"/>
        </w:rPr>
        <w:t xml:space="preserve"> </w:t>
      </w:r>
      <w:r w:rsidRPr="00F73C5E">
        <w:rPr>
          <w:rFonts w:ascii="Arial" w:hAnsi="Arial" w:cs="Arial"/>
          <w:noProof/>
          <w:sz w:val="22"/>
          <w:szCs w:val="22"/>
        </w:rPr>
        <w:t xml:space="preserve">unrecognized actuarial </w:t>
      </w:r>
      <w:r w:rsidR="009C52A3">
        <w:rPr>
          <w:rFonts w:ascii="Arial" w:hAnsi="Arial" w:cs="Arial"/>
          <w:noProof/>
          <w:sz w:val="22"/>
          <w:szCs w:val="22"/>
        </w:rPr>
        <w:t>loss</w:t>
      </w:r>
      <w:r w:rsidR="00496DE4">
        <w:rPr>
          <w:rFonts w:ascii="Arial" w:hAnsi="Arial" w:cs="Arial"/>
          <w:noProof/>
          <w:sz w:val="22"/>
          <w:szCs w:val="22"/>
        </w:rPr>
        <w:t xml:space="preserve"> for the year is</w:t>
      </w:r>
      <w:r w:rsidR="00E5552D">
        <w:rPr>
          <w:rFonts w:ascii="Arial" w:hAnsi="Arial" w:cs="Arial"/>
          <w:noProof/>
          <w:sz w:val="22"/>
          <w:szCs w:val="22"/>
        </w:rPr>
        <w:t xml:space="preserve"> </w:t>
      </w:r>
      <w:r w:rsidR="009C52A3">
        <w:rPr>
          <w:rFonts w:ascii="Arial" w:hAnsi="Arial" w:cs="Arial"/>
          <w:noProof/>
          <w:sz w:val="22"/>
          <w:szCs w:val="22"/>
        </w:rPr>
        <w:t>10</w:t>
      </w:r>
      <w:r w:rsidR="000B76DB">
        <w:rPr>
          <w:rFonts w:ascii="Arial" w:hAnsi="Arial" w:cs="Arial"/>
          <w:noProof/>
          <w:sz w:val="22"/>
          <w:szCs w:val="22"/>
        </w:rPr>
        <w:t>.3 million</w:t>
      </w:r>
      <w:r w:rsidR="000D49A1">
        <w:rPr>
          <w:rFonts w:ascii="Arial" w:hAnsi="Arial" w:cs="Arial"/>
          <w:noProof/>
          <w:sz w:val="22"/>
          <w:szCs w:val="22"/>
        </w:rPr>
        <w:t xml:space="preserve"> </w:t>
      </w:r>
      <w:r w:rsidR="00496DE4">
        <w:rPr>
          <w:rFonts w:ascii="Arial" w:hAnsi="Arial" w:cs="Arial"/>
          <w:noProof/>
          <w:sz w:val="22"/>
          <w:szCs w:val="22"/>
        </w:rPr>
        <w:t xml:space="preserve">Swiss francs. This </w:t>
      </w:r>
      <w:r w:rsidR="00E5552D">
        <w:rPr>
          <w:rFonts w:ascii="Arial" w:hAnsi="Arial" w:cs="Arial"/>
          <w:noProof/>
          <w:sz w:val="22"/>
          <w:szCs w:val="22"/>
        </w:rPr>
        <w:t>represents the net impact of</w:t>
      </w:r>
      <w:r w:rsidR="00496DE4">
        <w:rPr>
          <w:rFonts w:ascii="Arial" w:hAnsi="Arial" w:cs="Arial"/>
          <w:noProof/>
          <w:sz w:val="22"/>
          <w:szCs w:val="22"/>
        </w:rPr>
        <w:t xml:space="preserve"> an ac</w:t>
      </w:r>
      <w:r w:rsidR="000D49A1">
        <w:rPr>
          <w:rFonts w:ascii="Arial" w:hAnsi="Arial" w:cs="Arial"/>
          <w:noProof/>
          <w:sz w:val="22"/>
          <w:szCs w:val="22"/>
        </w:rPr>
        <w:t>tu</w:t>
      </w:r>
      <w:r w:rsidR="00496DE4">
        <w:rPr>
          <w:rFonts w:ascii="Arial" w:hAnsi="Arial" w:cs="Arial"/>
          <w:noProof/>
          <w:sz w:val="22"/>
          <w:szCs w:val="22"/>
        </w:rPr>
        <w:t xml:space="preserve">arial loss of </w:t>
      </w:r>
      <w:r w:rsidR="000B76DB">
        <w:rPr>
          <w:rFonts w:ascii="Arial" w:hAnsi="Arial" w:cs="Arial"/>
          <w:noProof/>
          <w:sz w:val="22"/>
          <w:szCs w:val="22"/>
        </w:rPr>
        <w:t>17.0</w:t>
      </w:r>
      <w:r w:rsidR="00496DE4">
        <w:rPr>
          <w:rFonts w:ascii="Arial" w:hAnsi="Arial" w:cs="Arial"/>
          <w:noProof/>
          <w:sz w:val="22"/>
          <w:szCs w:val="22"/>
        </w:rPr>
        <w:t xml:space="preserve"> </w:t>
      </w:r>
      <w:r w:rsidR="000B76DB">
        <w:rPr>
          <w:rFonts w:ascii="Arial" w:hAnsi="Arial" w:cs="Arial"/>
          <w:noProof/>
          <w:sz w:val="22"/>
          <w:szCs w:val="22"/>
        </w:rPr>
        <w:t>million</w:t>
      </w:r>
      <w:r w:rsidR="00496DE4">
        <w:rPr>
          <w:rFonts w:ascii="Arial" w:hAnsi="Arial" w:cs="Arial"/>
          <w:noProof/>
          <w:sz w:val="22"/>
          <w:szCs w:val="22"/>
        </w:rPr>
        <w:t xml:space="preserve"> Swiss francs resulting from the reduction in the discount rate and the updating of demographic tables, and a gain of </w:t>
      </w:r>
      <w:r w:rsidR="000B76DB">
        <w:rPr>
          <w:rFonts w:ascii="Arial" w:hAnsi="Arial" w:cs="Arial"/>
          <w:noProof/>
          <w:sz w:val="22"/>
          <w:szCs w:val="22"/>
        </w:rPr>
        <w:t>6.7 million</w:t>
      </w:r>
      <w:r w:rsidR="00496DE4">
        <w:rPr>
          <w:rFonts w:ascii="Arial" w:hAnsi="Arial" w:cs="Arial"/>
          <w:noProof/>
          <w:sz w:val="22"/>
          <w:szCs w:val="22"/>
        </w:rPr>
        <w:t xml:space="preserve"> Swiss francs resulting from experience adjustments. </w:t>
      </w:r>
      <w:r w:rsidRPr="00F73C5E">
        <w:rPr>
          <w:rFonts w:ascii="Arial" w:hAnsi="Arial" w:cs="Arial"/>
          <w:noProof/>
          <w:sz w:val="22"/>
          <w:szCs w:val="22"/>
        </w:rPr>
        <w:t xml:space="preserve">The </w:t>
      </w:r>
      <w:r w:rsidR="00496DE4">
        <w:rPr>
          <w:rFonts w:ascii="Arial" w:hAnsi="Arial" w:cs="Arial"/>
          <w:noProof/>
          <w:sz w:val="22"/>
          <w:szCs w:val="22"/>
        </w:rPr>
        <w:t xml:space="preserve">cumulative </w:t>
      </w:r>
      <w:r w:rsidRPr="00F73C5E">
        <w:rPr>
          <w:rFonts w:ascii="Arial" w:hAnsi="Arial" w:cs="Arial"/>
          <w:noProof/>
          <w:sz w:val="22"/>
          <w:szCs w:val="22"/>
        </w:rPr>
        <w:t xml:space="preserve">actuarial loss </w:t>
      </w:r>
      <w:r w:rsidR="00496DE4">
        <w:rPr>
          <w:rFonts w:ascii="Arial" w:hAnsi="Arial" w:cs="Arial"/>
          <w:noProof/>
          <w:sz w:val="22"/>
          <w:szCs w:val="22"/>
        </w:rPr>
        <w:t>is</w:t>
      </w:r>
      <w:r w:rsidRPr="00F73C5E">
        <w:rPr>
          <w:rFonts w:ascii="Arial" w:hAnsi="Arial" w:cs="Arial"/>
          <w:noProof/>
          <w:sz w:val="22"/>
          <w:szCs w:val="22"/>
        </w:rPr>
        <w:t xml:space="preserve"> amortized over the estimated remaining working lives of the employees covered by after service health insurance. The portion of the liability recognized on the Statement of Financial Performance i</w:t>
      </w:r>
      <w:r w:rsidR="00496DE4">
        <w:rPr>
          <w:rFonts w:ascii="Arial" w:hAnsi="Arial" w:cs="Arial"/>
          <w:noProof/>
          <w:sz w:val="22"/>
          <w:szCs w:val="22"/>
        </w:rPr>
        <w:t>s</w:t>
      </w:r>
      <w:r w:rsidRPr="00F73C5E">
        <w:rPr>
          <w:rFonts w:ascii="Arial" w:hAnsi="Arial" w:cs="Arial"/>
          <w:noProof/>
          <w:sz w:val="22"/>
          <w:szCs w:val="22"/>
        </w:rPr>
        <w:t xml:space="preserve"> the amount of the amortized actuarial loss or gain exceeding ten </w:t>
      </w:r>
      <w:r w:rsidR="002D6885">
        <w:rPr>
          <w:rFonts w:ascii="Arial" w:hAnsi="Arial" w:cs="Arial"/>
          <w:noProof/>
          <w:sz w:val="22"/>
          <w:szCs w:val="22"/>
        </w:rPr>
        <w:t>per cent</w:t>
      </w:r>
      <w:r w:rsidRPr="00F73C5E">
        <w:rPr>
          <w:rFonts w:ascii="Arial" w:hAnsi="Arial" w:cs="Arial"/>
          <w:noProof/>
          <w:sz w:val="22"/>
          <w:szCs w:val="22"/>
        </w:rPr>
        <w:t xml:space="preserve"> of the present value of the defined benefit liability at the reporting date in accordance with the corridor method of recognition.</w:t>
      </w:r>
      <w:r w:rsidR="001F3424">
        <w:rPr>
          <w:rFonts w:ascii="Arial" w:hAnsi="Arial" w:cs="Arial"/>
          <w:noProof/>
          <w:sz w:val="22"/>
          <w:szCs w:val="22"/>
        </w:rPr>
        <w:t xml:space="preserve"> </w:t>
      </w:r>
    </w:p>
    <w:p w:rsidR="00F73C5E" w:rsidRDefault="00F73C5E" w:rsidP="00F73C5E">
      <w:pPr>
        <w:jc w:val="both"/>
        <w:rPr>
          <w:rFonts w:ascii="Arial" w:hAnsi="Arial" w:cs="Arial"/>
          <w:noProof/>
          <w:sz w:val="22"/>
          <w:szCs w:val="22"/>
        </w:rPr>
      </w:pPr>
    </w:p>
    <w:p w:rsidR="00F73C5E" w:rsidRPr="00B13782" w:rsidRDefault="00F73C5E" w:rsidP="00F73C5E">
      <w:pPr>
        <w:jc w:val="both"/>
        <w:rPr>
          <w:rFonts w:ascii="Arial" w:hAnsi="Arial" w:cs="Arial"/>
          <w:sz w:val="22"/>
          <w:szCs w:val="22"/>
        </w:rPr>
      </w:pPr>
      <w:r>
        <w:rPr>
          <w:rFonts w:ascii="Arial" w:hAnsi="Arial" w:cs="Arial"/>
          <w:noProof/>
          <w:sz w:val="22"/>
          <w:szCs w:val="22"/>
        </w:rPr>
        <w:t xml:space="preserve">Assumed healthcare cost trends have a significant effect on the amounts calculated for the ASHI liability. A one </w:t>
      </w:r>
      <w:r w:rsidR="002D6885">
        <w:rPr>
          <w:rFonts w:ascii="Arial" w:hAnsi="Arial" w:cs="Arial"/>
          <w:noProof/>
          <w:sz w:val="22"/>
          <w:szCs w:val="22"/>
        </w:rPr>
        <w:t>per cent</w:t>
      </w:r>
      <w:r>
        <w:rPr>
          <w:rFonts w:ascii="Arial" w:hAnsi="Arial" w:cs="Arial"/>
          <w:noProof/>
          <w:sz w:val="22"/>
          <w:szCs w:val="22"/>
        </w:rPr>
        <w:t xml:space="preserve">age </w:t>
      </w:r>
      <w:r w:rsidR="00D65D40">
        <w:rPr>
          <w:rFonts w:ascii="Arial" w:hAnsi="Arial" w:cs="Arial"/>
          <w:noProof/>
          <w:sz w:val="22"/>
          <w:szCs w:val="22"/>
        </w:rPr>
        <w:t>point change in assum</w:t>
      </w:r>
      <w:r w:rsidR="00121F5E">
        <w:rPr>
          <w:rFonts w:ascii="Arial" w:hAnsi="Arial" w:cs="Arial"/>
          <w:noProof/>
          <w:sz w:val="22"/>
          <w:szCs w:val="22"/>
        </w:rPr>
        <w:t>ed healthcare cost trends would have the following effects:</w:t>
      </w:r>
    </w:p>
    <w:p w:rsidR="008A160A" w:rsidRPr="00B13782" w:rsidRDefault="008A160A" w:rsidP="007C6D77">
      <w:pPr>
        <w:jc w:val="both"/>
        <w:rPr>
          <w:rFonts w:ascii="Arial" w:hAnsi="Arial" w:cs="Arial"/>
          <w:noProof/>
          <w:sz w:val="22"/>
          <w:szCs w:val="22"/>
        </w:rPr>
      </w:pPr>
    </w:p>
    <w:p w:rsidR="00E44BEB" w:rsidRPr="000D49A1" w:rsidRDefault="00BC7CD6" w:rsidP="007C6D77">
      <w:pPr>
        <w:jc w:val="both"/>
        <w:rPr>
          <w:szCs w:val="22"/>
        </w:rPr>
      </w:pPr>
      <w:r>
        <w:rPr>
          <w:noProof/>
        </w:rPr>
        <w:drawing>
          <wp:inline distT="0" distB="0" distL="0" distR="0" wp14:anchorId="5C1927E9" wp14:editId="4C1D0237">
            <wp:extent cx="5972175" cy="2114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72175" cy="2114550"/>
                    </a:xfrm>
                    <a:prstGeom prst="rect">
                      <a:avLst/>
                    </a:prstGeom>
                    <a:noFill/>
                    <a:ln>
                      <a:noFill/>
                    </a:ln>
                  </pic:spPr>
                </pic:pic>
              </a:graphicData>
            </a:graphic>
          </wp:inline>
        </w:drawing>
      </w:r>
    </w:p>
    <w:p w:rsidR="00E44BEB" w:rsidRPr="00B13782" w:rsidRDefault="00E44BEB" w:rsidP="007C6D77">
      <w:pPr>
        <w:jc w:val="both"/>
        <w:rPr>
          <w:rFonts w:ascii="Arial" w:hAnsi="Arial" w:cs="Arial"/>
          <w:noProof/>
          <w:sz w:val="22"/>
          <w:szCs w:val="22"/>
        </w:rPr>
      </w:pPr>
    </w:p>
    <w:p w:rsidR="00A575F4" w:rsidRPr="00D656CE" w:rsidRDefault="00A575F4" w:rsidP="007C6D77">
      <w:pPr>
        <w:pStyle w:val="Style3"/>
        <w:spacing w:after="0"/>
        <w:rPr>
          <w:b/>
        </w:rPr>
      </w:pPr>
      <w:r w:rsidRPr="00B13782">
        <w:rPr>
          <w:rFonts w:cs="Arial"/>
          <w:b/>
          <w:szCs w:val="22"/>
        </w:rPr>
        <w:t xml:space="preserve">Termination </w:t>
      </w:r>
      <w:r w:rsidR="006D0C30">
        <w:rPr>
          <w:rFonts w:cs="Arial"/>
          <w:b/>
          <w:szCs w:val="22"/>
        </w:rPr>
        <w:t>B</w:t>
      </w:r>
      <w:r w:rsidRPr="00B13782">
        <w:rPr>
          <w:rFonts w:cs="Arial"/>
          <w:b/>
          <w:szCs w:val="22"/>
        </w:rPr>
        <w:t>enefits</w:t>
      </w:r>
    </w:p>
    <w:p w:rsidR="00A575F4" w:rsidRDefault="00A575F4" w:rsidP="007C6D77">
      <w:pPr>
        <w:pStyle w:val="Style3"/>
        <w:spacing w:after="0"/>
      </w:pPr>
    </w:p>
    <w:p w:rsidR="00CF44A9" w:rsidRDefault="00CF44A9" w:rsidP="007C6D77">
      <w:pPr>
        <w:pStyle w:val="Style3"/>
        <w:spacing w:after="0"/>
      </w:pPr>
      <w:r>
        <w:t>In 2009 the Coordination Committee approved a voluntary separation program providing additional benefits for staff members accepting early retirement. The total cost of the program was 22.0 million</w:t>
      </w:r>
      <w:r w:rsidR="00F73C5E">
        <w:t xml:space="preserve"> Swiss francs</w:t>
      </w:r>
      <w:r w:rsidR="00121F5E">
        <w:t>, with a balance of 0.5 million Swiss francs</w:t>
      </w:r>
      <w:r>
        <w:t xml:space="preserve"> </w:t>
      </w:r>
      <w:r w:rsidR="00121F5E">
        <w:t>to</w:t>
      </w:r>
      <w:r>
        <w:t xml:space="preserve"> be utilized to cover continuing costs of pension and after service health insurance costs for staff members covered by the program in 201</w:t>
      </w:r>
      <w:r w:rsidR="00693C79">
        <w:t>2</w:t>
      </w:r>
      <w:r>
        <w:t>.</w:t>
      </w:r>
      <w:r w:rsidR="000D49A1">
        <w:t xml:space="preserve"> </w:t>
      </w:r>
      <w:r w:rsidR="000D49A1" w:rsidRPr="00517103">
        <w:t>This balance was fully utilized during 2012, and there is no remaining liability for the voluntary separation program as at December 31, 2012.</w:t>
      </w:r>
    </w:p>
    <w:p w:rsidR="00DF09B4" w:rsidRDefault="00DF09B4" w:rsidP="007C6D77">
      <w:pPr>
        <w:pStyle w:val="Style3"/>
        <w:spacing w:after="0"/>
      </w:pPr>
    </w:p>
    <w:p w:rsidR="00DF09B4" w:rsidRPr="00D656CE" w:rsidRDefault="00DF09B4" w:rsidP="007C6D77">
      <w:pPr>
        <w:pStyle w:val="Style3"/>
        <w:spacing w:after="0"/>
        <w:rPr>
          <w:b/>
        </w:rPr>
      </w:pPr>
      <w:r w:rsidRPr="00D656CE">
        <w:rPr>
          <w:b/>
        </w:rPr>
        <w:t>United Nations Joint Staff Pension Fund</w:t>
      </w:r>
    </w:p>
    <w:p w:rsidR="00A575F4" w:rsidRPr="00266221" w:rsidRDefault="00A575F4" w:rsidP="007C6D77">
      <w:pPr>
        <w:pStyle w:val="Style3"/>
        <w:spacing w:after="0"/>
        <w:rPr>
          <w:rFonts w:cs="Arial"/>
          <w:szCs w:val="22"/>
        </w:rPr>
      </w:pPr>
    </w:p>
    <w:p w:rsidR="00266221" w:rsidRPr="00266221" w:rsidRDefault="00266221" w:rsidP="00266221">
      <w:pPr>
        <w:autoSpaceDE w:val="0"/>
        <w:autoSpaceDN w:val="0"/>
        <w:adjustRightInd w:val="0"/>
        <w:jc w:val="both"/>
        <w:rPr>
          <w:rFonts w:ascii="Arial" w:hAnsi="Arial" w:cs="Arial"/>
          <w:sz w:val="22"/>
          <w:szCs w:val="22"/>
          <w:lang w:val="en-GB"/>
        </w:rPr>
      </w:pPr>
      <w:r w:rsidRPr="00266221">
        <w:rPr>
          <w:rFonts w:ascii="Arial" w:hAnsi="Arial" w:cs="Arial"/>
          <w:sz w:val="22"/>
          <w:szCs w:val="22"/>
        </w:rPr>
        <w:t xml:space="preserve">The Pension Fund’s Regulations state that the Pension Board shall have an actuarial valuation made of the Fund at least once every three years by the Consulting Actuary.  The practice of the Pension Board has been to carry out an actuarial valuation every two years using the Open Group Aggregate Method. </w:t>
      </w:r>
      <w:r w:rsidRPr="00266221">
        <w:rPr>
          <w:rFonts w:ascii="Arial" w:hAnsi="Arial" w:cs="Arial"/>
          <w:sz w:val="22"/>
          <w:szCs w:val="22"/>
          <w:lang w:val="en-GB"/>
        </w:rPr>
        <w:t xml:space="preserve">The primary purpose of the actuarial valuation is to determine whether the current and estimated future assets of the Pension Fund will be sufficient to meet its liabilities. </w:t>
      </w:r>
    </w:p>
    <w:p w:rsidR="00266221" w:rsidRPr="00266221" w:rsidRDefault="00266221" w:rsidP="00266221">
      <w:pPr>
        <w:autoSpaceDE w:val="0"/>
        <w:autoSpaceDN w:val="0"/>
        <w:adjustRightInd w:val="0"/>
        <w:jc w:val="both"/>
        <w:rPr>
          <w:rFonts w:ascii="Arial" w:hAnsi="Arial" w:cs="Arial"/>
          <w:sz w:val="22"/>
          <w:szCs w:val="22"/>
          <w:lang w:val="en-GB"/>
        </w:rPr>
      </w:pPr>
    </w:p>
    <w:p w:rsidR="00266221" w:rsidRPr="00266221" w:rsidRDefault="00266221" w:rsidP="00266221">
      <w:pPr>
        <w:autoSpaceDE w:val="0"/>
        <w:autoSpaceDN w:val="0"/>
        <w:adjustRightInd w:val="0"/>
        <w:jc w:val="both"/>
        <w:rPr>
          <w:rFonts w:ascii="Arial" w:hAnsi="Arial" w:cs="Arial"/>
          <w:sz w:val="22"/>
          <w:szCs w:val="22"/>
        </w:rPr>
      </w:pPr>
      <w:r>
        <w:rPr>
          <w:rFonts w:ascii="Arial" w:hAnsi="Arial" w:cs="Arial"/>
          <w:sz w:val="22"/>
          <w:szCs w:val="22"/>
          <w:lang w:val="en-GB"/>
        </w:rPr>
        <w:t>WIPO’s</w:t>
      </w:r>
      <w:r w:rsidRPr="00266221">
        <w:rPr>
          <w:rFonts w:ascii="Arial" w:hAnsi="Arial" w:cs="Arial"/>
          <w:sz w:val="22"/>
          <w:szCs w:val="22"/>
        </w:rPr>
        <w:t xml:space="preserve"> financial obligation to the UNJSPF consists of its mandated contribution, at the rate e</w:t>
      </w:r>
      <w:r w:rsidR="00857F03">
        <w:rPr>
          <w:rFonts w:ascii="Arial" w:hAnsi="Arial" w:cs="Arial"/>
          <w:sz w:val="22"/>
          <w:szCs w:val="22"/>
        </w:rPr>
        <w:t>stablished by the UN</w:t>
      </w:r>
      <w:r w:rsidRPr="00266221">
        <w:rPr>
          <w:rFonts w:ascii="Arial" w:hAnsi="Arial" w:cs="Arial"/>
          <w:sz w:val="22"/>
          <w:szCs w:val="22"/>
        </w:rPr>
        <w:t xml:space="preserve"> Gen</w:t>
      </w:r>
      <w:r w:rsidR="000B76DB">
        <w:rPr>
          <w:rFonts w:ascii="Arial" w:hAnsi="Arial" w:cs="Arial"/>
          <w:sz w:val="22"/>
          <w:szCs w:val="22"/>
        </w:rPr>
        <w:t xml:space="preserve">eral Assembly (currently at 7.9 </w:t>
      </w:r>
      <w:r w:rsidR="002D6885">
        <w:rPr>
          <w:rFonts w:ascii="Arial" w:hAnsi="Arial" w:cs="Arial"/>
          <w:sz w:val="22"/>
          <w:szCs w:val="22"/>
        </w:rPr>
        <w:t>per cent</w:t>
      </w:r>
      <w:r w:rsidR="000B76DB">
        <w:rPr>
          <w:rFonts w:ascii="Arial" w:hAnsi="Arial" w:cs="Arial"/>
          <w:sz w:val="22"/>
          <w:szCs w:val="22"/>
        </w:rPr>
        <w:t xml:space="preserve"> for participants and 15.8 </w:t>
      </w:r>
      <w:r w:rsidR="002D6885">
        <w:rPr>
          <w:rFonts w:ascii="Arial" w:hAnsi="Arial" w:cs="Arial"/>
          <w:sz w:val="22"/>
          <w:szCs w:val="22"/>
        </w:rPr>
        <w:t>per cent</w:t>
      </w:r>
      <w:r w:rsidRPr="00266221">
        <w:rPr>
          <w:rFonts w:ascii="Arial" w:hAnsi="Arial" w:cs="Arial"/>
          <w:sz w:val="22"/>
          <w:szCs w:val="22"/>
        </w:rPr>
        <w:t xml:space="preserve"> for member organizations) together with any share of any actuarial deficiency payments under Article 26 of the Regulations of the Pension Fund. Such deficiency payments are only payable if and when the United Nations General Assembly has invoked the provision of Article 26, following determination that there is a requirement for deficiency payments based on an assessment of the actuarial sufficiency of the Pension Fund as of the valuation date. Each member organization shall contribute to this deficiency an amount proportionate to the total contributions which each paid during the three years preceding the valuation date. </w:t>
      </w:r>
    </w:p>
    <w:p w:rsidR="00266221" w:rsidRPr="00266221" w:rsidRDefault="00266221" w:rsidP="00266221">
      <w:pPr>
        <w:autoSpaceDE w:val="0"/>
        <w:autoSpaceDN w:val="0"/>
        <w:adjustRightInd w:val="0"/>
        <w:jc w:val="both"/>
        <w:rPr>
          <w:rFonts w:ascii="Arial" w:hAnsi="Arial" w:cs="Arial"/>
          <w:sz w:val="22"/>
          <w:szCs w:val="22"/>
          <w:lang w:val="en-GB"/>
        </w:rPr>
      </w:pPr>
    </w:p>
    <w:p w:rsidR="00266221" w:rsidRPr="00266221" w:rsidRDefault="00266221" w:rsidP="00266221">
      <w:pPr>
        <w:tabs>
          <w:tab w:val="num" w:pos="1080"/>
        </w:tabs>
        <w:autoSpaceDE w:val="0"/>
        <w:autoSpaceDN w:val="0"/>
        <w:adjustRightInd w:val="0"/>
        <w:jc w:val="both"/>
        <w:rPr>
          <w:rFonts w:ascii="Arial" w:hAnsi="Arial" w:cs="Arial"/>
          <w:sz w:val="22"/>
          <w:szCs w:val="22"/>
        </w:rPr>
      </w:pPr>
      <w:r w:rsidRPr="00266221">
        <w:rPr>
          <w:rFonts w:ascii="Arial" w:hAnsi="Arial" w:cs="Arial"/>
          <w:sz w:val="22"/>
          <w:szCs w:val="22"/>
          <w:lang w:val="en-GB"/>
        </w:rPr>
        <w:t>The latest actuarial v</w:t>
      </w:r>
      <w:r w:rsidR="000B76DB">
        <w:rPr>
          <w:rFonts w:ascii="Arial" w:hAnsi="Arial" w:cs="Arial"/>
          <w:sz w:val="22"/>
          <w:szCs w:val="22"/>
          <w:lang w:val="en-GB"/>
        </w:rPr>
        <w:t xml:space="preserve">aluation was performed as of </w:t>
      </w:r>
      <w:r w:rsidRPr="00266221">
        <w:rPr>
          <w:rFonts w:ascii="Arial" w:hAnsi="Arial" w:cs="Arial"/>
          <w:sz w:val="22"/>
          <w:szCs w:val="22"/>
          <w:lang w:val="en-GB"/>
        </w:rPr>
        <w:t>December</w:t>
      </w:r>
      <w:r w:rsidR="000B76DB">
        <w:rPr>
          <w:rFonts w:ascii="Arial" w:hAnsi="Arial" w:cs="Arial"/>
          <w:sz w:val="22"/>
          <w:szCs w:val="22"/>
          <w:lang w:val="en-GB"/>
        </w:rPr>
        <w:t xml:space="preserve"> 31,</w:t>
      </w:r>
      <w:r w:rsidRPr="00266221">
        <w:rPr>
          <w:rFonts w:ascii="Arial" w:hAnsi="Arial" w:cs="Arial"/>
          <w:sz w:val="22"/>
          <w:szCs w:val="22"/>
          <w:lang w:val="en-GB"/>
        </w:rPr>
        <w:t xml:space="preserve"> 2011. </w:t>
      </w:r>
      <w:r w:rsidRPr="00266221">
        <w:rPr>
          <w:rFonts w:ascii="Arial" w:hAnsi="Arial" w:cs="Arial"/>
          <w:sz w:val="22"/>
          <w:szCs w:val="22"/>
        </w:rPr>
        <w:t>The valuation reveal</w:t>
      </w:r>
      <w:r w:rsidR="000B76DB">
        <w:rPr>
          <w:rFonts w:ascii="Arial" w:hAnsi="Arial" w:cs="Arial"/>
          <w:sz w:val="22"/>
          <w:szCs w:val="22"/>
        </w:rPr>
        <w:t xml:space="preserve">ed an actuarial deficit of 1.87 </w:t>
      </w:r>
      <w:r w:rsidR="002D6885">
        <w:rPr>
          <w:rFonts w:ascii="Arial" w:hAnsi="Arial" w:cs="Arial"/>
          <w:sz w:val="22"/>
          <w:szCs w:val="22"/>
        </w:rPr>
        <w:t>per cent</w:t>
      </w:r>
      <w:r w:rsidR="000B76DB">
        <w:rPr>
          <w:rFonts w:ascii="Arial" w:hAnsi="Arial" w:cs="Arial"/>
          <w:sz w:val="22"/>
          <w:szCs w:val="22"/>
        </w:rPr>
        <w:t xml:space="preserve"> (0.38 </w:t>
      </w:r>
      <w:r w:rsidR="002D6885">
        <w:rPr>
          <w:rFonts w:ascii="Arial" w:hAnsi="Arial" w:cs="Arial"/>
          <w:sz w:val="22"/>
          <w:szCs w:val="22"/>
        </w:rPr>
        <w:t>per cent</w:t>
      </w:r>
      <w:r w:rsidRPr="00266221">
        <w:rPr>
          <w:rFonts w:ascii="Arial" w:hAnsi="Arial" w:cs="Arial"/>
          <w:sz w:val="22"/>
          <w:szCs w:val="22"/>
        </w:rPr>
        <w:t xml:space="preserve"> in the 2009 valuation) of pensionable remuneration, implying that the theoretical contribution rate required to achieve balance a</w:t>
      </w:r>
      <w:r w:rsidR="000B76DB">
        <w:rPr>
          <w:rFonts w:ascii="Arial" w:hAnsi="Arial" w:cs="Arial"/>
          <w:sz w:val="22"/>
          <w:szCs w:val="22"/>
        </w:rPr>
        <w:t xml:space="preserve">s of December 31, 2011 was 25.57 </w:t>
      </w:r>
      <w:r w:rsidR="002D6885">
        <w:rPr>
          <w:rFonts w:ascii="Arial" w:hAnsi="Arial" w:cs="Arial"/>
          <w:sz w:val="22"/>
          <w:szCs w:val="22"/>
        </w:rPr>
        <w:t>per cent</w:t>
      </w:r>
      <w:r w:rsidRPr="00266221">
        <w:rPr>
          <w:rFonts w:ascii="Arial" w:hAnsi="Arial" w:cs="Arial"/>
          <w:sz w:val="22"/>
          <w:szCs w:val="22"/>
        </w:rPr>
        <w:t xml:space="preserve"> of pensionable remuneration, compared to the a</w:t>
      </w:r>
      <w:r w:rsidR="000B76DB">
        <w:rPr>
          <w:rFonts w:ascii="Arial" w:hAnsi="Arial" w:cs="Arial"/>
          <w:sz w:val="22"/>
          <w:szCs w:val="22"/>
        </w:rPr>
        <w:t xml:space="preserve">ctual contribution rate of 23.7 </w:t>
      </w:r>
      <w:r w:rsidR="002D6885">
        <w:rPr>
          <w:rFonts w:ascii="Arial" w:hAnsi="Arial" w:cs="Arial"/>
          <w:sz w:val="22"/>
          <w:szCs w:val="22"/>
        </w:rPr>
        <w:t>per cent</w:t>
      </w:r>
      <w:r w:rsidRPr="00266221">
        <w:rPr>
          <w:rFonts w:ascii="Arial" w:hAnsi="Arial" w:cs="Arial"/>
          <w:sz w:val="22"/>
          <w:szCs w:val="22"/>
        </w:rPr>
        <w:t>. The actuarial deficit was primarily attributable to the lower than expected investment experience in recent years.</w:t>
      </w:r>
    </w:p>
    <w:p w:rsidR="00266221" w:rsidRPr="00266221" w:rsidRDefault="00266221" w:rsidP="00266221">
      <w:pPr>
        <w:tabs>
          <w:tab w:val="num" w:pos="1080"/>
        </w:tabs>
        <w:autoSpaceDE w:val="0"/>
        <w:autoSpaceDN w:val="0"/>
        <w:adjustRightInd w:val="0"/>
        <w:jc w:val="both"/>
        <w:rPr>
          <w:rFonts w:ascii="Arial" w:hAnsi="Arial" w:cs="Arial"/>
          <w:sz w:val="22"/>
          <w:szCs w:val="22"/>
        </w:rPr>
      </w:pPr>
    </w:p>
    <w:p w:rsidR="00266221" w:rsidRPr="00266221" w:rsidRDefault="000B76DB" w:rsidP="00266221">
      <w:pPr>
        <w:tabs>
          <w:tab w:val="num" w:pos="1080"/>
        </w:tabs>
        <w:autoSpaceDE w:val="0"/>
        <w:autoSpaceDN w:val="0"/>
        <w:adjustRightInd w:val="0"/>
        <w:jc w:val="both"/>
        <w:rPr>
          <w:rFonts w:ascii="Arial" w:hAnsi="Arial" w:cs="Arial"/>
          <w:sz w:val="22"/>
          <w:szCs w:val="22"/>
          <w:highlight w:val="green"/>
        </w:rPr>
      </w:pPr>
      <w:r>
        <w:rPr>
          <w:rFonts w:ascii="Arial" w:hAnsi="Arial" w:cs="Arial"/>
          <w:sz w:val="22"/>
          <w:szCs w:val="22"/>
          <w:lang w:val="en-GB"/>
        </w:rPr>
        <w:t xml:space="preserve">At </w:t>
      </w:r>
      <w:r w:rsidR="00266221" w:rsidRPr="00266221">
        <w:rPr>
          <w:rFonts w:ascii="Arial" w:hAnsi="Arial" w:cs="Arial"/>
          <w:sz w:val="22"/>
          <w:szCs w:val="22"/>
          <w:lang w:val="en-GB"/>
        </w:rPr>
        <w:t>December</w:t>
      </w:r>
      <w:r>
        <w:rPr>
          <w:rFonts w:ascii="Arial" w:hAnsi="Arial" w:cs="Arial"/>
          <w:sz w:val="22"/>
          <w:szCs w:val="22"/>
          <w:lang w:val="en-GB"/>
        </w:rPr>
        <w:t xml:space="preserve"> 31,</w:t>
      </w:r>
      <w:r w:rsidR="00266221" w:rsidRPr="00266221">
        <w:rPr>
          <w:rFonts w:ascii="Arial" w:hAnsi="Arial" w:cs="Arial"/>
          <w:sz w:val="22"/>
          <w:szCs w:val="22"/>
          <w:lang w:val="en-GB"/>
        </w:rPr>
        <w:t xml:space="preserve"> 2011, the funded ratio of actuarial assets to actuarial liabilities, assuming no futu</w:t>
      </w:r>
      <w:r>
        <w:rPr>
          <w:rFonts w:ascii="Arial" w:hAnsi="Arial" w:cs="Arial"/>
          <w:sz w:val="22"/>
          <w:szCs w:val="22"/>
          <w:lang w:val="en-GB"/>
        </w:rPr>
        <w:t xml:space="preserve">re pension adjustments, was 130 </w:t>
      </w:r>
      <w:r w:rsidR="002D6885">
        <w:rPr>
          <w:rFonts w:ascii="Arial" w:hAnsi="Arial" w:cs="Arial"/>
          <w:sz w:val="22"/>
          <w:szCs w:val="22"/>
          <w:lang w:val="en-GB"/>
        </w:rPr>
        <w:t>per cent</w:t>
      </w:r>
      <w:r>
        <w:rPr>
          <w:rFonts w:ascii="Arial" w:hAnsi="Arial" w:cs="Arial"/>
          <w:sz w:val="22"/>
          <w:szCs w:val="22"/>
          <w:lang w:val="en-GB"/>
        </w:rPr>
        <w:t xml:space="preserve"> (140 </w:t>
      </w:r>
      <w:r w:rsidR="002D6885">
        <w:rPr>
          <w:rFonts w:ascii="Arial" w:hAnsi="Arial" w:cs="Arial"/>
          <w:sz w:val="22"/>
          <w:szCs w:val="22"/>
          <w:lang w:val="en-GB"/>
        </w:rPr>
        <w:t>per cent</w:t>
      </w:r>
      <w:r w:rsidR="00266221" w:rsidRPr="00266221">
        <w:rPr>
          <w:rFonts w:ascii="Arial" w:hAnsi="Arial" w:cs="Arial"/>
          <w:sz w:val="22"/>
          <w:szCs w:val="22"/>
          <w:lang w:val="en-GB"/>
        </w:rPr>
        <w:t xml:space="preserve"> in the 2009 valu</w:t>
      </w:r>
      <w:r>
        <w:rPr>
          <w:rFonts w:ascii="Arial" w:hAnsi="Arial" w:cs="Arial"/>
          <w:sz w:val="22"/>
          <w:szCs w:val="22"/>
          <w:lang w:val="en-GB"/>
        </w:rPr>
        <w:t xml:space="preserve">ation). The funded ratio was 86 </w:t>
      </w:r>
      <w:r w:rsidR="002D6885">
        <w:rPr>
          <w:rFonts w:ascii="Arial" w:hAnsi="Arial" w:cs="Arial"/>
          <w:sz w:val="22"/>
          <w:szCs w:val="22"/>
          <w:lang w:val="en-GB"/>
        </w:rPr>
        <w:t>per cent</w:t>
      </w:r>
      <w:r>
        <w:rPr>
          <w:rFonts w:ascii="Arial" w:hAnsi="Arial" w:cs="Arial"/>
          <w:sz w:val="22"/>
          <w:szCs w:val="22"/>
          <w:lang w:val="en-GB"/>
        </w:rPr>
        <w:t xml:space="preserve"> (91 </w:t>
      </w:r>
      <w:r w:rsidR="002D6885">
        <w:rPr>
          <w:rFonts w:ascii="Arial" w:hAnsi="Arial" w:cs="Arial"/>
          <w:sz w:val="22"/>
          <w:szCs w:val="22"/>
          <w:lang w:val="en-GB"/>
        </w:rPr>
        <w:t>per cent</w:t>
      </w:r>
      <w:r w:rsidR="00266221" w:rsidRPr="00266221">
        <w:rPr>
          <w:rFonts w:ascii="Arial" w:hAnsi="Arial" w:cs="Arial"/>
          <w:sz w:val="22"/>
          <w:szCs w:val="22"/>
          <w:lang w:val="en-GB"/>
        </w:rPr>
        <w:t xml:space="preserve"> in the 2009 valuation) when the current system of pension adjustments was taken into account. </w:t>
      </w:r>
    </w:p>
    <w:p w:rsidR="00266221" w:rsidRPr="00266221" w:rsidRDefault="00266221" w:rsidP="00266221">
      <w:pPr>
        <w:tabs>
          <w:tab w:val="num" w:pos="1080"/>
        </w:tabs>
        <w:autoSpaceDE w:val="0"/>
        <w:autoSpaceDN w:val="0"/>
        <w:adjustRightInd w:val="0"/>
        <w:jc w:val="both"/>
        <w:rPr>
          <w:rFonts w:ascii="Arial" w:hAnsi="Arial" w:cs="Arial"/>
          <w:sz w:val="22"/>
          <w:szCs w:val="22"/>
          <w:lang w:val="en-GB"/>
        </w:rPr>
      </w:pPr>
    </w:p>
    <w:p w:rsidR="00266221" w:rsidRDefault="00266221" w:rsidP="00266221">
      <w:pPr>
        <w:tabs>
          <w:tab w:val="num" w:pos="1080"/>
        </w:tabs>
        <w:autoSpaceDE w:val="0"/>
        <w:autoSpaceDN w:val="0"/>
        <w:adjustRightInd w:val="0"/>
        <w:jc w:val="both"/>
        <w:rPr>
          <w:rFonts w:ascii="Arial" w:hAnsi="Arial" w:cs="Arial"/>
          <w:sz w:val="22"/>
          <w:szCs w:val="22"/>
          <w:lang w:val="en-GB"/>
        </w:rPr>
      </w:pPr>
      <w:r w:rsidRPr="00266221">
        <w:rPr>
          <w:rFonts w:ascii="Arial" w:hAnsi="Arial" w:cs="Arial"/>
          <w:sz w:val="22"/>
          <w:szCs w:val="22"/>
          <w:lang w:val="en-GB"/>
        </w:rPr>
        <w:t>After assessing the actuarial sufficiency of the Fund, the Consulting Actuary concluded that the</w:t>
      </w:r>
      <w:r w:rsidR="000B76DB">
        <w:rPr>
          <w:rFonts w:ascii="Arial" w:hAnsi="Arial" w:cs="Arial"/>
          <w:sz w:val="22"/>
          <w:szCs w:val="22"/>
          <w:lang w:val="en-GB"/>
        </w:rPr>
        <w:t xml:space="preserve">re was no requirement, as of </w:t>
      </w:r>
      <w:r w:rsidRPr="00266221">
        <w:rPr>
          <w:rFonts w:ascii="Arial" w:hAnsi="Arial" w:cs="Arial"/>
          <w:sz w:val="22"/>
          <w:szCs w:val="22"/>
          <w:lang w:val="en-GB"/>
        </w:rPr>
        <w:t>December</w:t>
      </w:r>
      <w:r w:rsidR="000B76DB">
        <w:rPr>
          <w:rFonts w:ascii="Arial" w:hAnsi="Arial" w:cs="Arial"/>
          <w:sz w:val="22"/>
          <w:szCs w:val="22"/>
          <w:lang w:val="en-GB"/>
        </w:rPr>
        <w:t xml:space="preserve"> 31,</w:t>
      </w:r>
      <w:r w:rsidRPr="00266221">
        <w:rPr>
          <w:rFonts w:ascii="Arial" w:hAnsi="Arial" w:cs="Arial"/>
          <w:sz w:val="22"/>
          <w:szCs w:val="22"/>
          <w:lang w:val="en-GB"/>
        </w:rPr>
        <w:t xml:space="preserve"> 2011, for deficiency payments under Article 26 of the Regulations of the Fund as the actuarial value of assets exceeded the actuarial value of all accrued liabilities under the Fund. In addition, the market value of assets also exceeded the actuarial value of all accrued liabilities as of the valuation date. At the time of this report, </w:t>
      </w:r>
      <w:r w:rsidRPr="00266221">
        <w:rPr>
          <w:rFonts w:ascii="Arial" w:eastAsia="宋體" w:hAnsi="Arial" w:cs="Arial"/>
          <w:sz w:val="22"/>
          <w:szCs w:val="22"/>
          <w:lang w:val="en-GB" w:eastAsia="zh-TW"/>
        </w:rPr>
        <w:t xml:space="preserve">the General Assembly has not invoked the provision of Article 26. </w:t>
      </w:r>
      <w:r w:rsidRPr="00266221">
        <w:rPr>
          <w:rFonts w:ascii="Arial" w:hAnsi="Arial" w:cs="Arial"/>
          <w:sz w:val="22"/>
          <w:szCs w:val="22"/>
          <w:lang w:val="en-GB"/>
        </w:rPr>
        <w:t>The pensionable remuneration will be reviewed at the time of the ne</w:t>
      </w:r>
      <w:r w:rsidR="000B76DB">
        <w:rPr>
          <w:rFonts w:ascii="Arial" w:hAnsi="Arial" w:cs="Arial"/>
          <w:sz w:val="22"/>
          <w:szCs w:val="22"/>
          <w:lang w:val="en-GB"/>
        </w:rPr>
        <w:t xml:space="preserve">xt actuarial valuation as of </w:t>
      </w:r>
      <w:r w:rsidRPr="00266221">
        <w:rPr>
          <w:rFonts w:ascii="Arial" w:hAnsi="Arial" w:cs="Arial"/>
          <w:sz w:val="22"/>
          <w:szCs w:val="22"/>
          <w:lang w:val="en-GB"/>
        </w:rPr>
        <w:t>December</w:t>
      </w:r>
      <w:r w:rsidR="000B76DB">
        <w:rPr>
          <w:rFonts w:ascii="Arial" w:hAnsi="Arial" w:cs="Arial"/>
          <w:sz w:val="22"/>
          <w:szCs w:val="22"/>
          <w:lang w:val="en-GB"/>
        </w:rPr>
        <w:t xml:space="preserve"> 31,</w:t>
      </w:r>
      <w:r w:rsidRPr="00266221">
        <w:rPr>
          <w:rFonts w:ascii="Arial" w:hAnsi="Arial" w:cs="Arial"/>
          <w:sz w:val="22"/>
          <w:szCs w:val="22"/>
          <w:lang w:val="en-GB"/>
        </w:rPr>
        <w:t xml:space="preserve"> 2013.</w:t>
      </w:r>
    </w:p>
    <w:p w:rsidR="00266221" w:rsidRPr="00266221" w:rsidRDefault="00266221" w:rsidP="00266221">
      <w:pPr>
        <w:tabs>
          <w:tab w:val="num" w:pos="1080"/>
        </w:tabs>
        <w:autoSpaceDE w:val="0"/>
        <w:autoSpaceDN w:val="0"/>
        <w:adjustRightInd w:val="0"/>
        <w:jc w:val="both"/>
        <w:rPr>
          <w:rFonts w:ascii="Arial" w:eastAsia="宋體" w:hAnsi="Arial" w:cs="Arial"/>
          <w:sz w:val="22"/>
          <w:szCs w:val="22"/>
          <w:lang w:val="en-GB" w:eastAsia="zh-TW"/>
        </w:rPr>
      </w:pPr>
    </w:p>
    <w:p w:rsidR="00266221" w:rsidRPr="00266221" w:rsidRDefault="00266221" w:rsidP="00266221">
      <w:pPr>
        <w:autoSpaceDE w:val="0"/>
        <w:autoSpaceDN w:val="0"/>
        <w:adjustRightInd w:val="0"/>
        <w:jc w:val="both"/>
        <w:rPr>
          <w:rFonts w:ascii="Arial" w:hAnsi="Arial" w:cs="Arial"/>
          <w:sz w:val="22"/>
          <w:szCs w:val="22"/>
        </w:rPr>
      </w:pPr>
      <w:r w:rsidRPr="00266221">
        <w:rPr>
          <w:rFonts w:ascii="Arial" w:hAnsi="Arial" w:cs="Arial"/>
          <w:sz w:val="22"/>
          <w:szCs w:val="22"/>
        </w:rPr>
        <w:t>In July 2012, the Pension Board noted in its Report of the fifty-ninth session to the General Assembly that an increase in the normal age of retirement for new participants of the Fund to 65 is expected to significantly reduce the deficit and would potentially cover half</w:t>
      </w:r>
      <w:r w:rsidR="000B76DB">
        <w:rPr>
          <w:rFonts w:ascii="Arial" w:hAnsi="Arial" w:cs="Arial"/>
          <w:sz w:val="22"/>
          <w:szCs w:val="22"/>
        </w:rPr>
        <w:t xml:space="preserve"> of the current deficit of 1.87 </w:t>
      </w:r>
      <w:r w:rsidR="002D6885">
        <w:rPr>
          <w:rFonts w:ascii="Arial" w:hAnsi="Arial" w:cs="Arial"/>
          <w:sz w:val="22"/>
          <w:szCs w:val="22"/>
        </w:rPr>
        <w:t>per cent</w:t>
      </w:r>
      <w:r w:rsidRPr="00266221">
        <w:rPr>
          <w:rFonts w:ascii="Arial" w:hAnsi="Arial" w:cs="Arial"/>
          <w:sz w:val="22"/>
          <w:szCs w:val="22"/>
        </w:rPr>
        <w:t>. In December 2012, the General Assembly authorized the United Nations Joint Staff Pension Board to increase the normal retirement age to 65 for new participants of the Fund, wi</w:t>
      </w:r>
      <w:r w:rsidR="000B76DB">
        <w:rPr>
          <w:rFonts w:ascii="Arial" w:hAnsi="Arial" w:cs="Arial"/>
          <w:sz w:val="22"/>
          <w:szCs w:val="22"/>
        </w:rPr>
        <w:t xml:space="preserve">th effect not later than from </w:t>
      </w:r>
      <w:r w:rsidRPr="00266221">
        <w:rPr>
          <w:rFonts w:ascii="Arial" w:hAnsi="Arial" w:cs="Arial"/>
          <w:sz w:val="22"/>
          <w:szCs w:val="22"/>
        </w:rPr>
        <w:t>January</w:t>
      </w:r>
      <w:r w:rsidR="000B76DB">
        <w:rPr>
          <w:rFonts w:ascii="Arial" w:hAnsi="Arial" w:cs="Arial"/>
          <w:sz w:val="22"/>
          <w:szCs w:val="22"/>
        </w:rPr>
        <w:t xml:space="preserve"> 1,</w:t>
      </w:r>
      <w:r w:rsidRPr="00266221">
        <w:rPr>
          <w:rFonts w:ascii="Arial" w:hAnsi="Arial" w:cs="Arial"/>
          <w:sz w:val="22"/>
          <w:szCs w:val="22"/>
        </w:rPr>
        <w:t xml:space="preserve"> 2014, unless the General Assembly has not decided on a corresponding increase in the mandatory age of separation. </w:t>
      </w:r>
    </w:p>
    <w:p w:rsidR="00266221" w:rsidRPr="00266221" w:rsidRDefault="00266221" w:rsidP="00266221">
      <w:pPr>
        <w:autoSpaceDE w:val="0"/>
        <w:autoSpaceDN w:val="0"/>
        <w:adjustRightInd w:val="0"/>
        <w:jc w:val="both"/>
        <w:rPr>
          <w:rFonts w:ascii="Arial" w:hAnsi="Arial" w:cs="Arial"/>
          <w:sz w:val="22"/>
          <w:szCs w:val="22"/>
        </w:rPr>
      </w:pPr>
    </w:p>
    <w:p w:rsidR="00266221" w:rsidRPr="00266221" w:rsidRDefault="00266221" w:rsidP="00266221">
      <w:pPr>
        <w:autoSpaceDE w:val="0"/>
        <w:autoSpaceDN w:val="0"/>
        <w:adjustRightInd w:val="0"/>
        <w:jc w:val="both"/>
        <w:rPr>
          <w:rFonts w:ascii="Arial" w:hAnsi="Arial" w:cs="Arial"/>
          <w:sz w:val="22"/>
          <w:szCs w:val="22"/>
        </w:rPr>
      </w:pPr>
      <w:r w:rsidRPr="00266221">
        <w:rPr>
          <w:rFonts w:ascii="Arial" w:hAnsi="Arial" w:cs="Arial"/>
          <w:sz w:val="22"/>
          <w:szCs w:val="22"/>
        </w:rPr>
        <w:t xml:space="preserve">During 2012, </w:t>
      </w:r>
      <w:r>
        <w:rPr>
          <w:rFonts w:ascii="Arial" w:hAnsi="Arial" w:cs="Arial"/>
          <w:sz w:val="22"/>
          <w:szCs w:val="22"/>
        </w:rPr>
        <w:t xml:space="preserve">WIPO </w:t>
      </w:r>
      <w:r w:rsidRPr="00266221">
        <w:rPr>
          <w:rFonts w:ascii="Arial" w:hAnsi="Arial" w:cs="Arial"/>
          <w:sz w:val="22"/>
          <w:szCs w:val="22"/>
        </w:rPr>
        <w:t>contributions paid to UNJSPF</w:t>
      </w:r>
      <w:r w:rsidR="00D054CB">
        <w:rPr>
          <w:rFonts w:ascii="Arial" w:hAnsi="Arial" w:cs="Arial"/>
          <w:sz w:val="22"/>
          <w:szCs w:val="22"/>
        </w:rPr>
        <w:t xml:space="preserve"> amounted to 24.9</w:t>
      </w:r>
      <w:r>
        <w:rPr>
          <w:rFonts w:ascii="Arial" w:hAnsi="Arial" w:cs="Arial"/>
          <w:sz w:val="22"/>
          <w:szCs w:val="22"/>
        </w:rPr>
        <w:t xml:space="preserve"> million Swiss francs </w:t>
      </w:r>
      <w:r w:rsidR="009C52A3">
        <w:rPr>
          <w:rFonts w:ascii="Arial" w:hAnsi="Arial" w:cs="Arial"/>
          <w:sz w:val="22"/>
          <w:szCs w:val="22"/>
        </w:rPr>
        <w:t>[</w:t>
      </w:r>
      <w:r>
        <w:rPr>
          <w:rFonts w:ascii="Arial" w:hAnsi="Arial" w:cs="Arial"/>
          <w:sz w:val="22"/>
          <w:szCs w:val="22"/>
        </w:rPr>
        <w:t>22.5</w:t>
      </w:r>
      <w:r w:rsidR="00CA77B6">
        <w:rPr>
          <w:rFonts w:ascii="Arial" w:hAnsi="Arial" w:cs="Arial"/>
          <w:sz w:val="22"/>
          <w:szCs w:val="22"/>
        </w:rPr>
        <w:t> </w:t>
      </w:r>
      <w:r w:rsidRPr="00266221">
        <w:rPr>
          <w:rFonts w:ascii="Arial" w:hAnsi="Arial" w:cs="Arial"/>
          <w:sz w:val="22"/>
          <w:szCs w:val="22"/>
        </w:rPr>
        <w:t>million</w:t>
      </w:r>
      <w:r>
        <w:rPr>
          <w:rFonts w:ascii="Arial" w:hAnsi="Arial" w:cs="Arial"/>
          <w:sz w:val="22"/>
          <w:szCs w:val="22"/>
        </w:rPr>
        <w:t xml:space="preserve"> Swiss francs</w:t>
      </w:r>
      <w:r w:rsidR="00CA77B6" w:rsidRPr="00CA77B6">
        <w:rPr>
          <w:rFonts w:ascii="Arial" w:hAnsi="Arial" w:cs="Arial"/>
          <w:sz w:val="22"/>
          <w:szCs w:val="22"/>
        </w:rPr>
        <w:t xml:space="preserve"> </w:t>
      </w:r>
      <w:r w:rsidR="00CA77B6">
        <w:rPr>
          <w:rFonts w:ascii="Arial" w:hAnsi="Arial" w:cs="Arial"/>
          <w:sz w:val="22"/>
          <w:szCs w:val="22"/>
        </w:rPr>
        <w:t>in 2011</w:t>
      </w:r>
      <w:r w:rsidR="009C52A3">
        <w:rPr>
          <w:rFonts w:ascii="Arial" w:hAnsi="Arial" w:cs="Arial"/>
          <w:sz w:val="22"/>
          <w:szCs w:val="22"/>
        </w:rPr>
        <w:t>]</w:t>
      </w:r>
      <w:r w:rsidRPr="00266221">
        <w:rPr>
          <w:rFonts w:ascii="Arial" w:hAnsi="Arial" w:cs="Arial"/>
          <w:sz w:val="22"/>
          <w:szCs w:val="22"/>
        </w:rPr>
        <w:t xml:space="preserve">. Expected contributions due in 2013 are </w:t>
      </w:r>
      <w:r w:rsidR="00D054CB">
        <w:rPr>
          <w:rFonts w:ascii="Arial" w:hAnsi="Arial" w:cs="Arial"/>
          <w:sz w:val="22"/>
          <w:szCs w:val="22"/>
        </w:rPr>
        <w:t>24.9</w:t>
      </w:r>
      <w:r w:rsidRPr="00266221">
        <w:rPr>
          <w:rFonts w:ascii="Arial" w:hAnsi="Arial" w:cs="Arial"/>
          <w:sz w:val="22"/>
          <w:szCs w:val="22"/>
        </w:rPr>
        <w:t xml:space="preserve"> million</w:t>
      </w:r>
      <w:r w:rsidR="00A42AA0">
        <w:rPr>
          <w:rFonts w:ascii="Arial" w:hAnsi="Arial" w:cs="Arial"/>
          <w:sz w:val="22"/>
          <w:szCs w:val="22"/>
        </w:rPr>
        <w:t xml:space="preserve"> Swiss francs</w:t>
      </w:r>
      <w:r w:rsidRPr="00266221">
        <w:rPr>
          <w:rFonts w:ascii="Arial" w:hAnsi="Arial" w:cs="Arial"/>
          <w:sz w:val="22"/>
          <w:szCs w:val="22"/>
        </w:rPr>
        <w:t>.</w:t>
      </w:r>
    </w:p>
    <w:p w:rsidR="00266221" w:rsidRPr="00266221" w:rsidRDefault="00266221" w:rsidP="00266221">
      <w:pPr>
        <w:autoSpaceDE w:val="0"/>
        <w:autoSpaceDN w:val="0"/>
        <w:adjustRightInd w:val="0"/>
        <w:jc w:val="both"/>
        <w:rPr>
          <w:rFonts w:ascii="Arial" w:hAnsi="Arial" w:cs="Arial"/>
          <w:sz w:val="22"/>
          <w:szCs w:val="22"/>
        </w:rPr>
      </w:pPr>
    </w:p>
    <w:p w:rsidR="00266221" w:rsidRPr="00266221" w:rsidRDefault="00266221" w:rsidP="00266221">
      <w:pPr>
        <w:autoSpaceDE w:val="0"/>
        <w:autoSpaceDN w:val="0"/>
        <w:adjustRightInd w:val="0"/>
        <w:jc w:val="both"/>
        <w:rPr>
          <w:rFonts w:ascii="Arial" w:hAnsi="Arial" w:cs="Arial"/>
          <w:sz w:val="22"/>
          <w:szCs w:val="22"/>
        </w:rPr>
      </w:pPr>
      <w:r w:rsidRPr="00266221">
        <w:rPr>
          <w:rFonts w:ascii="Arial" w:hAnsi="Arial" w:cs="Arial"/>
          <w:sz w:val="22"/>
          <w:szCs w:val="22"/>
        </w:rPr>
        <w:t xml:space="preserve">The United Nations Board of Auditors carries out an annual audit of the UNJSPF and reports to the UNJSPF Pension Board on the audit every year. The UNJSPF publishes quarterly reports on its investments and these can be viewed by visiting the UNJSPF at </w:t>
      </w:r>
      <w:hyperlink r:id="rId60" w:history="1">
        <w:r w:rsidRPr="00266221">
          <w:rPr>
            <w:rFonts w:ascii="Arial" w:hAnsi="Arial" w:cs="Arial"/>
            <w:sz w:val="22"/>
            <w:szCs w:val="22"/>
            <w:u w:val="single"/>
          </w:rPr>
          <w:t>www.unjspf.org</w:t>
        </w:r>
      </w:hyperlink>
      <w:r w:rsidRPr="00266221">
        <w:rPr>
          <w:rFonts w:ascii="Arial" w:hAnsi="Arial" w:cs="Arial"/>
          <w:sz w:val="22"/>
          <w:szCs w:val="22"/>
        </w:rPr>
        <w:t>.</w:t>
      </w:r>
    </w:p>
    <w:p w:rsidR="00A575F4" w:rsidRPr="0035686F" w:rsidRDefault="00A575F4" w:rsidP="0053389E">
      <w:pPr>
        <w:pStyle w:val="Style3"/>
        <w:spacing w:after="0"/>
      </w:pPr>
    </w:p>
    <w:p w:rsidR="00CF44A9" w:rsidRDefault="00CF44A9" w:rsidP="0053389E">
      <w:pPr>
        <w:pStyle w:val="Style3"/>
        <w:spacing w:after="0"/>
      </w:pPr>
    </w:p>
    <w:p w:rsidR="00A82A80" w:rsidRPr="00372DD0" w:rsidRDefault="008523C0" w:rsidP="0053389E">
      <w:pPr>
        <w:pStyle w:val="StyleHeading211ptNotBoldNotItalicAllcaps"/>
        <w:spacing w:before="0" w:after="0"/>
        <w:rPr>
          <w:szCs w:val="22"/>
        </w:rPr>
      </w:pPr>
      <w:r w:rsidRPr="00372DD0">
        <w:rPr>
          <w:szCs w:val="22"/>
        </w:rPr>
        <w:t xml:space="preserve">Note </w:t>
      </w:r>
      <w:r w:rsidR="00CF44A9" w:rsidRPr="00372DD0">
        <w:rPr>
          <w:szCs w:val="22"/>
        </w:rPr>
        <w:t>13</w:t>
      </w:r>
      <w:r w:rsidRPr="00372DD0">
        <w:rPr>
          <w:szCs w:val="22"/>
        </w:rPr>
        <w:t>:</w:t>
      </w:r>
      <w:r w:rsidR="0087204A" w:rsidRPr="00372DD0">
        <w:rPr>
          <w:szCs w:val="22"/>
        </w:rPr>
        <w:tab/>
      </w:r>
      <w:r w:rsidR="0092507D" w:rsidRPr="00372DD0">
        <w:rPr>
          <w:szCs w:val="22"/>
        </w:rPr>
        <w:t xml:space="preserve">Transfers </w:t>
      </w:r>
      <w:r w:rsidR="00932A4C" w:rsidRPr="00372DD0">
        <w:rPr>
          <w:szCs w:val="22"/>
        </w:rPr>
        <w:t>p</w:t>
      </w:r>
      <w:r w:rsidR="0092507D" w:rsidRPr="00372DD0">
        <w:rPr>
          <w:szCs w:val="22"/>
        </w:rPr>
        <w:t>ayable</w:t>
      </w:r>
    </w:p>
    <w:p w:rsidR="0092507D" w:rsidRDefault="0092507D" w:rsidP="007C6D77">
      <w:pPr>
        <w:jc w:val="both"/>
        <w:rPr>
          <w:rFonts w:ascii="Arial" w:hAnsi="Arial" w:cs="Arial"/>
          <w:sz w:val="22"/>
          <w:szCs w:val="22"/>
        </w:rPr>
      </w:pPr>
    </w:p>
    <w:p w:rsidR="00BF1A7D" w:rsidRPr="000B76DB" w:rsidRDefault="00BC7CD6" w:rsidP="007C6D77">
      <w:pPr>
        <w:jc w:val="both"/>
        <w:rPr>
          <w:rFonts w:ascii="Arial" w:hAnsi="Arial" w:cs="Arial"/>
          <w:sz w:val="22"/>
          <w:szCs w:val="22"/>
        </w:rPr>
      </w:pPr>
      <w:r>
        <w:rPr>
          <w:noProof/>
        </w:rPr>
        <w:drawing>
          <wp:inline distT="0" distB="0" distL="0" distR="0" wp14:anchorId="0FEAD964" wp14:editId="3FA289E6">
            <wp:extent cx="5972175" cy="210502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972175" cy="2105025"/>
                    </a:xfrm>
                    <a:prstGeom prst="rect">
                      <a:avLst/>
                    </a:prstGeom>
                    <a:noFill/>
                    <a:ln>
                      <a:noFill/>
                    </a:ln>
                  </pic:spPr>
                </pic:pic>
              </a:graphicData>
            </a:graphic>
          </wp:inline>
        </w:drawing>
      </w:r>
    </w:p>
    <w:p w:rsidR="00E36562" w:rsidRPr="000D49A1" w:rsidRDefault="00E36562" w:rsidP="007C6D77">
      <w:pPr>
        <w:jc w:val="both"/>
        <w:rPr>
          <w:szCs w:val="22"/>
        </w:rPr>
      </w:pPr>
    </w:p>
    <w:p w:rsidR="003C77BE" w:rsidRPr="004B5787" w:rsidRDefault="00966CED" w:rsidP="007C6D77">
      <w:pPr>
        <w:pStyle w:val="Style3"/>
        <w:spacing w:after="0"/>
      </w:pPr>
      <w:r w:rsidRPr="00372DD0">
        <w:rPr>
          <w:rFonts w:cs="Arial"/>
          <w:szCs w:val="22"/>
        </w:rPr>
        <w:lastRenderedPageBreak/>
        <w:t xml:space="preserve">The Organization collects fees </w:t>
      </w:r>
      <w:r w:rsidR="008A11DD" w:rsidRPr="00372DD0">
        <w:rPr>
          <w:rFonts w:cs="Arial"/>
          <w:szCs w:val="22"/>
        </w:rPr>
        <w:t>on behalf of</w:t>
      </w:r>
      <w:r w:rsidRPr="00372DD0">
        <w:rPr>
          <w:rFonts w:cs="Arial"/>
          <w:szCs w:val="22"/>
        </w:rPr>
        <w:t xml:space="preserve"> the contracting parties of the Madrid Agreement and Protocol and the Common Regulations of the Hague Agreement. In addition, the Organization’s PCT</w:t>
      </w:r>
      <w:r w:rsidRPr="004B5787">
        <w:t xml:space="preserve"> International Bureau collects funds from applicants to cover the cost of payments of International Search</w:t>
      </w:r>
      <w:r w:rsidR="001D007F">
        <w:t>ing</w:t>
      </w:r>
      <w:r w:rsidRPr="004B5787">
        <w:t xml:space="preserve"> Authorities. The Organization holds these funds on a temporary basis until they are transferred to the final beneficiary in accordance with the </w:t>
      </w:r>
      <w:r w:rsidR="006A1AC6" w:rsidRPr="004B5787">
        <w:t>various treaties</w:t>
      </w:r>
      <w:r w:rsidR="00F07F9B">
        <w:t xml:space="preserve"> and agreements</w:t>
      </w:r>
      <w:r w:rsidR="006A1AC6" w:rsidRPr="004B5787">
        <w:t xml:space="preserve"> administered by the Organization. The total fees collected by the Organization for the biennium and an explanation of each are as follows:</w:t>
      </w:r>
      <w:r w:rsidRPr="004B5787">
        <w:t xml:space="preserve"> </w:t>
      </w:r>
    </w:p>
    <w:p w:rsidR="00141A9A" w:rsidRDefault="00141A9A" w:rsidP="007C6D77">
      <w:pPr>
        <w:jc w:val="both"/>
      </w:pPr>
    </w:p>
    <w:p w:rsidR="00966CED" w:rsidRPr="004B5787" w:rsidRDefault="006A1AC6" w:rsidP="00372DD0">
      <w:pPr>
        <w:pStyle w:val="Style3"/>
        <w:numPr>
          <w:ilvl w:val="0"/>
          <w:numId w:val="38"/>
        </w:numPr>
        <w:spacing w:after="0"/>
      </w:pPr>
      <w:r w:rsidRPr="00372DD0">
        <w:rPr>
          <w:i/>
        </w:rPr>
        <w:t>Madrid Union Complementary and Supplementary fees</w:t>
      </w:r>
      <w:r w:rsidRPr="004B5787">
        <w:t xml:space="preserve">: </w:t>
      </w:r>
      <w:r w:rsidR="00662FA7">
        <w:t>I</w:t>
      </w:r>
      <w:r w:rsidR="00966CED" w:rsidRPr="004B5787">
        <w:t>n accordance with the Madrid Agreement [Article 8(2</w:t>
      </w:r>
      <w:r w:rsidR="007F1842" w:rsidRPr="004B5787">
        <w:t>) (</w:t>
      </w:r>
      <w:r w:rsidR="00966CED" w:rsidRPr="004B5787">
        <w:t>b and c)] and the Madrid Protocol [Article 8(2</w:t>
      </w:r>
      <w:r w:rsidR="007F1842" w:rsidRPr="004B5787">
        <w:t>) (</w:t>
      </w:r>
      <w:r w:rsidR="00966CED" w:rsidRPr="004B5787">
        <w:t xml:space="preserve">ii and iii)] the Organization collects complementary and supplementary fees </w:t>
      </w:r>
      <w:r w:rsidR="00966CED" w:rsidRPr="00C27562">
        <w:t xml:space="preserve">of </w:t>
      </w:r>
      <w:r w:rsidR="00806E70" w:rsidRPr="00C27562">
        <w:t>100</w:t>
      </w:r>
      <w:r w:rsidR="00966CED" w:rsidRPr="00C27562">
        <w:t xml:space="preserve"> Swiss francs</w:t>
      </w:r>
      <w:r w:rsidR="00966CED" w:rsidRPr="004B5787">
        <w:t xml:space="preserve"> per application or renewal on behalf of the contracting parties. The amount due to each contracting party varies based upon the services provided by the party (examination undertaken).  Funds are </w:t>
      </w:r>
      <w:r w:rsidR="006821F7" w:rsidRPr="004B5787">
        <w:t>transferred</w:t>
      </w:r>
      <w:r w:rsidR="00966CED" w:rsidRPr="004B5787">
        <w:t xml:space="preserve"> </w:t>
      </w:r>
      <w:r w:rsidR="000A13E9">
        <w:t>annually in the first half</w:t>
      </w:r>
      <w:r w:rsidRPr="004B5787">
        <w:t xml:space="preserve"> of the year following the reporting date.</w:t>
      </w:r>
    </w:p>
    <w:p w:rsidR="006A1AC6" w:rsidRPr="004B5787" w:rsidRDefault="006A1AC6" w:rsidP="007C6D77">
      <w:pPr>
        <w:jc w:val="both"/>
        <w:rPr>
          <w:rFonts w:ascii="Arial" w:hAnsi="Arial" w:cs="Arial"/>
          <w:sz w:val="20"/>
          <w:szCs w:val="20"/>
        </w:rPr>
      </w:pPr>
    </w:p>
    <w:p w:rsidR="006A1AC6" w:rsidRPr="004B5787" w:rsidRDefault="006A1AC6" w:rsidP="00372DD0">
      <w:pPr>
        <w:pStyle w:val="Style3"/>
        <w:numPr>
          <w:ilvl w:val="0"/>
          <w:numId w:val="38"/>
        </w:numPr>
        <w:spacing w:after="0"/>
      </w:pPr>
      <w:r w:rsidRPr="00372DD0">
        <w:rPr>
          <w:i/>
        </w:rPr>
        <w:t xml:space="preserve">Madrid Union Individual </w:t>
      </w:r>
      <w:r w:rsidR="00C06E8B" w:rsidRPr="00372DD0">
        <w:rPr>
          <w:i/>
        </w:rPr>
        <w:t>and Continuation of Effect</w:t>
      </w:r>
      <w:r w:rsidR="001B3793" w:rsidRPr="00372DD0">
        <w:rPr>
          <w:i/>
        </w:rPr>
        <w:t>s</w:t>
      </w:r>
      <w:r w:rsidR="00C06E8B" w:rsidRPr="00372DD0">
        <w:rPr>
          <w:i/>
        </w:rPr>
        <w:t xml:space="preserve"> </w:t>
      </w:r>
      <w:r w:rsidRPr="00372DD0">
        <w:rPr>
          <w:i/>
        </w:rPr>
        <w:t>fees</w:t>
      </w:r>
      <w:r w:rsidRPr="004B5787">
        <w:t xml:space="preserve">: In accordance with Article 8(7) of the Madrid Protocol and Rule 38 of the Common Regulations contracting parties may establish fees which are collected by the Organization and payable to contracting parties within </w:t>
      </w:r>
      <w:r w:rsidR="00F07F9B">
        <w:t>the</w:t>
      </w:r>
      <w:r w:rsidRPr="004B5787">
        <w:t xml:space="preserve"> month following the recording of the registration or designation of renewal for which the fee was paid.  </w:t>
      </w:r>
      <w:r w:rsidR="005F1D95" w:rsidRPr="004B5787">
        <w:t xml:space="preserve">Contracting parties that have elected to establish individual fees are not eligible to receive the complementary </w:t>
      </w:r>
      <w:r w:rsidR="00B44124" w:rsidRPr="004B5787">
        <w:t xml:space="preserve">and supplementary </w:t>
      </w:r>
      <w:r w:rsidR="005F1D95" w:rsidRPr="004B5787">
        <w:t xml:space="preserve">fees described above.  </w:t>
      </w:r>
      <w:r w:rsidRPr="004B5787">
        <w:t>The amount</w:t>
      </w:r>
      <w:r w:rsidR="00556065" w:rsidRPr="004B5787">
        <w:t>s</w:t>
      </w:r>
      <w:r w:rsidRPr="004B5787">
        <w:t xml:space="preserve"> shown </w:t>
      </w:r>
      <w:r w:rsidR="007F0050" w:rsidRPr="004B5787">
        <w:t>as payable</w:t>
      </w:r>
      <w:r w:rsidRPr="004B5787">
        <w:t xml:space="preserve"> represent the </w:t>
      </w:r>
      <w:r w:rsidR="007F1842">
        <w:t>fees</w:t>
      </w:r>
      <w:r w:rsidRPr="004B5787">
        <w:t xml:space="preserve"> to be transferred at the end of the reporting period.</w:t>
      </w:r>
      <w:r w:rsidR="005F1D95" w:rsidRPr="004B5787">
        <w:t xml:space="preserve">  </w:t>
      </w:r>
    </w:p>
    <w:p w:rsidR="006A1AC6" w:rsidRPr="004B5787" w:rsidRDefault="006A1AC6" w:rsidP="007C6D77">
      <w:pPr>
        <w:jc w:val="both"/>
        <w:rPr>
          <w:rFonts w:ascii="Arial" w:hAnsi="Arial" w:cs="Arial"/>
          <w:sz w:val="20"/>
          <w:szCs w:val="20"/>
        </w:rPr>
      </w:pPr>
    </w:p>
    <w:p w:rsidR="006A1AC6" w:rsidRPr="004B5787" w:rsidRDefault="006A1AC6" w:rsidP="00372DD0">
      <w:pPr>
        <w:pStyle w:val="Style3"/>
        <w:numPr>
          <w:ilvl w:val="0"/>
          <w:numId w:val="38"/>
        </w:numPr>
        <w:spacing w:after="0"/>
        <w:rPr>
          <w:u w:val="single"/>
        </w:rPr>
      </w:pPr>
      <w:r w:rsidRPr="00372DD0">
        <w:rPr>
          <w:i/>
        </w:rPr>
        <w:t>Hague Union Distribution</w:t>
      </w:r>
      <w:r w:rsidRPr="00372DD0">
        <w:t>:</w:t>
      </w:r>
      <w:r w:rsidRPr="004B5787">
        <w:t xml:space="preserve">  In accordance with Rules 13.2(a)(iii), 13.2(e) and 24.2 of the Common Regulations under the Hague Agreement, the Organization collects </w:t>
      </w:r>
      <w:r w:rsidR="002A116C" w:rsidRPr="004B5787">
        <w:t xml:space="preserve">ordinary state fees, state renewal fees and novelty examination fees on behalf of contracting parties for international registrations or their renewals. These funds are payable to the contracting parties on a monthly basis. The amount shown </w:t>
      </w:r>
      <w:r w:rsidR="007F0050" w:rsidRPr="004B5787">
        <w:t>as payable represent</w:t>
      </w:r>
      <w:r w:rsidR="00686D94">
        <w:t>s</w:t>
      </w:r>
      <w:r w:rsidR="002A116C" w:rsidRPr="004B5787">
        <w:t xml:space="preserve"> the amount</w:t>
      </w:r>
      <w:r w:rsidR="007F0050" w:rsidRPr="004B5787">
        <w:t>s</w:t>
      </w:r>
      <w:r w:rsidR="002A116C" w:rsidRPr="004B5787">
        <w:t xml:space="preserve"> to be transferred at the end of the reporting period. </w:t>
      </w:r>
    </w:p>
    <w:p w:rsidR="006A1AC6" w:rsidRPr="004B5787" w:rsidRDefault="006A1AC6" w:rsidP="007C6D77">
      <w:pPr>
        <w:pStyle w:val="Style3"/>
        <w:spacing w:after="0"/>
        <w:rPr>
          <w:u w:val="single"/>
        </w:rPr>
      </w:pPr>
    </w:p>
    <w:p w:rsidR="009C3956" w:rsidRPr="0041406F" w:rsidRDefault="00DA5682" w:rsidP="00372DD0">
      <w:pPr>
        <w:pStyle w:val="Style3"/>
        <w:numPr>
          <w:ilvl w:val="0"/>
          <w:numId w:val="38"/>
        </w:numPr>
        <w:spacing w:after="0"/>
      </w:pPr>
      <w:r w:rsidRPr="0041406F">
        <w:rPr>
          <w:i/>
        </w:rPr>
        <w:t>Madrid and Hague Union Repartition Fees</w:t>
      </w:r>
      <w:r w:rsidRPr="0041406F">
        <w:t xml:space="preserve">:  </w:t>
      </w:r>
      <w:r w:rsidR="00EC3F7B" w:rsidRPr="0041406F">
        <w:t xml:space="preserve">The Organization holds funds payable to contracting parties when no clear payment instructions have been received or the contracting party requests that payment </w:t>
      </w:r>
      <w:proofErr w:type="gramStart"/>
      <w:r w:rsidR="00EC3F7B" w:rsidRPr="0041406F">
        <w:t>be</w:t>
      </w:r>
      <w:proofErr w:type="gramEnd"/>
      <w:r w:rsidR="00EC3F7B" w:rsidRPr="0041406F">
        <w:t xml:space="preserve"> held pending confirmation</w:t>
      </w:r>
      <w:r w:rsidR="00EC3F7B" w:rsidRPr="0041406F">
        <w:rPr>
          <w:szCs w:val="22"/>
        </w:rPr>
        <w:t xml:space="preserve">. </w:t>
      </w:r>
      <w:r w:rsidR="00A73B4D" w:rsidRPr="0041406F">
        <w:rPr>
          <w:szCs w:val="22"/>
        </w:rPr>
        <w:t xml:space="preserve">The amount shown includes the sum of 7.3 million Swiss francs due to all of the countries making up the former Federal Republic of Yugoslavia, that is, Bosnia and Herzegovina, Croatia, Montenegro, Serbia, Slovenia and The </w:t>
      </w:r>
      <w:proofErr w:type="gramStart"/>
      <w:r w:rsidR="00A73B4D" w:rsidRPr="0041406F">
        <w:rPr>
          <w:szCs w:val="22"/>
        </w:rPr>
        <w:t>former</w:t>
      </w:r>
      <w:proofErr w:type="gramEnd"/>
      <w:r w:rsidR="00A73B4D" w:rsidRPr="0041406F">
        <w:rPr>
          <w:szCs w:val="22"/>
        </w:rPr>
        <w:t xml:space="preserve"> Yugoslav Republic of Macedonia</w:t>
      </w:r>
      <w:r w:rsidR="008F45AA" w:rsidRPr="0041406F">
        <w:rPr>
          <w:szCs w:val="22"/>
        </w:rPr>
        <w:t xml:space="preserve">. </w:t>
      </w:r>
      <w:r w:rsidR="00E17250" w:rsidRPr="0041406F">
        <w:rPr>
          <w:szCs w:val="22"/>
        </w:rPr>
        <w:t>Negotiations are in progress to settle the amounts due to each country and payment will be effected as soon</w:t>
      </w:r>
      <w:r w:rsidR="00E17250" w:rsidRPr="0041406F">
        <w:t xml:space="preserve"> as a mutual agreement between the concerned </w:t>
      </w:r>
      <w:r w:rsidR="00BE6315" w:rsidRPr="0041406F">
        <w:t>M</w:t>
      </w:r>
      <w:r w:rsidR="00E17250" w:rsidRPr="0041406F">
        <w:t>ember States has been received by the International Bureau</w:t>
      </w:r>
      <w:r w:rsidR="008F45AA" w:rsidRPr="0041406F">
        <w:t>.</w:t>
      </w:r>
      <w:r w:rsidR="00EC3F7B" w:rsidRPr="0041406F">
        <w:t xml:space="preserve">  </w:t>
      </w:r>
      <w:r w:rsidR="00AA4C87" w:rsidRPr="0041406F">
        <w:t xml:space="preserve"> </w:t>
      </w:r>
    </w:p>
    <w:p w:rsidR="0028729A" w:rsidRPr="00164B0D" w:rsidRDefault="0028729A" w:rsidP="007C6D77">
      <w:pPr>
        <w:ind w:firstLineChars="100" w:firstLine="200"/>
        <w:jc w:val="both"/>
        <w:rPr>
          <w:rFonts w:ascii="Arial" w:hAnsi="Arial" w:cs="Arial"/>
          <w:sz w:val="20"/>
          <w:szCs w:val="20"/>
          <w:u w:val="single"/>
        </w:rPr>
      </w:pPr>
    </w:p>
    <w:p w:rsidR="001C3219" w:rsidRPr="004B5787" w:rsidRDefault="001C3219" w:rsidP="00372DD0">
      <w:pPr>
        <w:pStyle w:val="Style3"/>
        <w:numPr>
          <w:ilvl w:val="0"/>
          <w:numId w:val="38"/>
        </w:numPr>
        <w:spacing w:after="0"/>
      </w:pPr>
      <w:r w:rsidRPr="00372DD0">
        <w:rPr>
          <w:i/>
        </w:rPr>
        <w:t>AMC Deposits</w:t>
      </w:r>
      <w:r w:rsidRPr="00372DD0">
        <w:t>:</w:t>
      </w:r>
      <w:r w:rsidRPr="004B5787">
        <w:t xml:space="preserve"> The Organization collects fees for arbitrations undertaken through its Arbitration and Mediation Centre covering domain names and other issues related to intellectual property.  In addition to the fee paid to the Organization, participants deposit an amount equal to the estimated fee of the arbitrator.  If the arbitrator’s fee exceeds the estimate, the Organization requires the participants to provide the additional funds required.  The amount collected is paid directly to the arbitrator and </w:t>
      </w:r>
      <w:r w:rsidR="00BB75A6">
        <w:t>is</w:t>
      </w:r>
      <w:r w:rsidRPr="004B5787">
        <w:t xml:space="preserve"> not recognized as income by the Organization.  The amount shown </w:t>
      </w:r>
      <w:r w:rsidR="00F07F9B">
        <w:t>in the prior table</w:t>
      </w:r>
      <w:r w:rsidRPr="004B5787">
        <w:t xml:space="preserve"> represents the net amount paid by participants but not paid to the arbitrator as of the reporting date.</w:t>
      </w:r>
    </w:p>
    <w:p w:rsidR="001C3219" w:rsidRPr="004B5787" w:rsidRDefault="001C3219" w:rsidP="007C6D77">
      <w:pPr>
        <w:pStyle w:val="Style3"/>
        <w:spacing w:after="0"/>
        <w:rPr>
          <w:u w:val="single"/>
        </w:rPr>
      </w:pPr>
    </w:p>
    <w:p w:rsidR="006A1AC6" w:rsidRPr="004B5787" w:rsidRDefault="006A1AC6" w:rsidP="00372DD0">
      <w:pPr>
        <w:pStyle w:val="Style3"/>
        <w:numPr>
          <w:ilvl w:val="0"/>
          <w:numId w:val="38"/>
        </w:numPr>
        <w:spacing w:after="0"/>
      </w:pPr>
      <w:r w:rsidRPr="00372DD0">
        <w:rPr>
          <w:i/>
        </w:rPr>
        <w:t>PCT International Search</w:t>
      </w:r>
      <w:r w:rsidR="00BB75A6" w:rsidRPr="00372DD0">
        <w:rPr>
          <w:i/>
        </w:rPr>
        <w:t>ing</w:t>
      </w:r>
      <w:r w:rsidRPr="00372DD0">
        <w:rPr>
          <w:i/>
        </w:rPr>
        <w:t xml:space="preserve"> Authorities</w:t>
      </w:r>
      <w:r w:rsidRPr="004B5787">
        <w:t xml:space="preserve">: The International Bureau collects fees from applicants for international </w:t>
      </w:r>
      <w:r w:rsidR="009C3956" w:rsidRPr="004B5787">
        <w:t>patents to cover the costs of the international searches which are p</w:t>
      </w:r>
      <w:r w:rsidR="00857F03">
        <w:t>erformed by ISAs</w:t>
      </w:r>
      <w:r w:rsidR="009C3956" w:rsidRPr="004B5787">
        <w:t xml:space="preserve"> designated by the Orga</w:t>
      </w:r>
      <w:r w:rsidR="00857F03">
        <w:t>nization pursuant to the</w:t>
      </w:r>
      <w:r w:rsidR="00383941">
        <w:t xml:space="preserve"> (PCT)</w:t>
      </w:r>
      <w:r w:rsidR="009C3956" w:rsidRPr="004B5787">
        <w:t xml:space="preserve">. The </w:t>
      </w:r>
      <w:r w:rsidR="009C3956" w:rsidRPr="004B5787">
        <w:lastRenderedPageBreak/>
        <w:t>amount shown above represents the amount to be trans</w:t>
      </w:r>
      <w:r w:rsidR="00857F03">
        <w:t>ferred to ISAs</w:t>
      </w:r>
      <w:r w:rsidR="009C3956" w:rsidRPr="004B5787">
        <w:t xml:space="preserve"> at the reporting date.</w:t>
      </w:r>
    </w:p>
    <w:p w:rsidR="00966CED" w:rsidRPr="004B5787" w:rsidRDefault="00966CED" w:rsidP="0053389E">
      <w:pPr>
        <w:pStyle w:val="Style3"/>
        <w:spacing w:after="0"/>
      </w:pPr>
    </w:p>
    <w:p w:rsidR="00121F5E" w:rsidRDefault="00121F5E" w:rsidP="0053389E">
      <w:pPr>
        <w:pStyle w:val="STYLETITRENOTES"/>
      </w:pPr>
    </w:p>
    <w:p w:rsidR="00CF44A9" w:rsidRPr="006D0C30" w:rsidRDefault="00CF44A9" w:rsidP="0053389E">
      <w:pPr>
        <w:pStyle w:val="StyleHeading211ptNotBoldNotItalicAllcaps"/>
        <w:spacing w:before="0" w:after="0"/>
        <w:rPr>
          <w:szCs w:val="22"/>
        </w:rPr>
      </w:pPr>
      <w:r w:rsidRPr="00797AED">
        <w:t>Note 14:</w:t>
      </w:r>
      <w:r w:rsidR="0087204A">
        <w:tab/>
      </w:r>
      <w:r w:rsidRPr="00797AED">
        <w:t>Advance receipts</w:t>
      </w:r>
    </w:p>
    <w:p w:rsidR="0014738E" w:rsidRPr="006D0C30" w:rsidRDefault="0014738E" w:rsidP="0053389E">
      <w:pPr>
        <w:jc w:val="both"/>
        <w:rPr>
          <w:rFonts w:ascii="Arial" w:hAnsi="Arial" w:cs="Arial"/>
          <w:sz w:val="22"/>
          <w:szCs w:val="22"/>
        </w:rPr>
      </w:pPr>
    </w:p>
    <w:p w:rsidR="0014738E" w:rsidRPr="000B76DB" w:rsidRDefault="00BC7CD6" w:rsidP="0053389E">
      <w:pPr>
        <w:jc w:val="both"/>
      </w:pPr>
      <w:r>
        <w:rPr>
          <w:noProof/>
        </w:rPr>
        <w:drawing>
          <wp:inline distT="0" distB="0" distL="0" distR="0" wp14:anchorId="59911BB6" wp14:editId="2EE1092F">
            <wp:extent cx="5972175" cy="240982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72175" cy="2409825"/>
                    </a:xfrm>
                    <a:prstGeom prst="rect">
                      <a:avLst/>
                    </a:prstGeom>
                    <a:noFill/>
                    <a:ln>
                      <a:noFill/>
                    </a:ln>
                  </pic:spPr>
                </pic:pic>
              </a:graphicData>
            </a:graphic>
          </wp:inline>
        </w:drawing>
      </w:r>
    </w:p>
    <w:p w:rsidR="00E72A45" w:rsidRPr="00127956" w:rsidRDefault="00CF44A9" w:rsidP="00127956">
      <w:pPr>
        <w:pStyle w:val="Style3"/>
        <w:spacing w:after="0"/>
      </w:pPr>
      <w:r w:rsidRPr="00FB4990">
        <w:t xml:space="preserve">In many cases, the Organization collects fees and charges for services before the services are performed completely, or before the fee is earned in accordance with the treaties, agreements, protocols and regulations administered by the Organization. </w:t>
      </w:r>
      <w:r w:rsidR="00E72A45">
        <w:rPr>
          <w:rFonts w:cs="Arial"/>
          <w:szCs w:val="22"/>
        </w:rPr>
        <w:t>R</w:t>
      </w:r>
      <w:r w:rsidR="00E72A45" w:rsidRPr="00E72A45">
        <w:rPr>
          <w:rFonts w:cs="Arial"/>
          <w:szCs w:val="22"/>
        </w:rPr>
        <w:t>evenue from fees related to the processing of international applications (Trademark, Ind</w:t>
      </w:r>
      <w:r w:rsidR="00E72A45">
        <w:rPr>
          <w:rFonts w:cs="Arial"/>
          <w:szCs w:val="22"/>
        </w:rPr>
        <w:t>ustrial Design, Patents) is</w:t>
      </w:r>
      <w:r w:rsidR="00E72A45" w:rsidRPr="00E72A45">
        <w:rPr>
          <w:rFonts w:cs="Arial"/>
          <w:szCs w:val="22"/>
        </w:rPr>
        <w:t xml:space="preserve"> recognized when the application has been published. Revenue for additional page fees related to international patent </w:t>
      </w:r>
      <w:r w:rsidR="00E72A45">
        <w:rPr>
          <w:rFonts w:cs="Arial"/>
          <w:szCs w:val="22"/>
        </w:rPr>
        <w:t>applications filed in paper or easy format is</w:t>
      </w:r>
      <w:r w:rsidR="00E72A45" w:rsidRPr="00E72A45">
        <w:rPr>
          <w:rFonts w:cs="Arial"/>
          <w:szCs w:val="22"/>
        </w:rPr>
        <w:t xml:space="preserve"> deferred until the related application is published.  In addition, the part of the fees for international patent applications which covers the cost of translation of patentability reports not filed</w:t>
      </w:r>
      <w:r w:rsidR="00127956">
        <w:rPr>
          <w:rFonts w:cs="Arial"/>
          <w:szCs w:val="22"/>
        </w:rPr>
        <w:t xml:space="preserve"> in the English language is</w:t>
      </w:r>
      <w:r w:rsidR="00E72A45" w:rsidRPr="00E72A45">
        <w:rPr>
          <w:rFonts w:cs="Arial"/>
          <w:szCs w:val="22"/>
        </w:rPr>
        <w:t xml:space="preserve"> deferred until the translation has been completed.  All revenue from fees such as renewals, extracts, modifications, abandonment, transfers, confirmations and </w:t>
      </w:r>
      <w:r w:rsidR="00127956">
        <w:rPr>
          <w:rFonts w:cs="Arial"/>
          <w:szCs w:val="22"/>
        </w:rPr>
        <w:t>adjustments is</w:t>
      </w:r>
      <w:r w:rsidR="00E72A45" w:rsidRPr="00E72A45">
        <w:rPr>
          <w:rFonts w:cs="Arial"/>
          <w:szCs w:val="22"/>
        </w:rPr>
        <w:t xml:space="preserve"> recognized when the service has been performed.</w:t>
      </w:r>
      <w:r w:rsidR="00127956">
        <w:rPr>
          <w:rFonts w:cs="Arial"/>
          <w:szCs w:val="22"/>
        </w:rPr>
        <w:t xml:space="preserve"> </w:t>
      </w:r>
      <w:r w:rsidR="00E72A45" w:rsidRPr="00E72A45">
        <w:rPr>
          <w:rFonts w:cs="Arial"/>
          <w:szCs w:val="22"/>
        </w:rPr>
        <w:t xml:space="preserve"> </w:t>
      </w:r>
    </w:p>
    <w:p w:rsidR="00BC1EA4" w:rsidRPr="00BC1EA4" w:rsidRDefault="00BC1EA4" w:rsidP="007C6D77">
      <w:pPr>
        <w:pStyle w:val="Style3"/>
        <w:spacing w:after="0"/>
      </w:pPr>
    </w:p>
    <w:p w:rsidR="00CF44A9" w:rsidRPr="00FB4990" w:rsidRDefault="00C95F7E" w:rsidP="006D0C30">
      <w:pPr>
        <w:pStyle w:val="Style3"/>
        <w:spacing w:after="0"/>
      </w:pPr>
      <w:r>
        <w:t>Voluntary contributions from donors to Special Accounts containing conditions requiring the O</w:t>
      </w:r>
      <w:r w:rsidR="004D413D">
        <w:t xml:space="preserve">rganization to provide </w:t>
      </w:r>
      <w:r>
        <w:t xml:space="preserve">services to recipient governments or other third </w:t>
      </w:r>
      <w:proofErr w:type="gramStart"/>
      <w:r>
        <w:t>parties,</w:t>
      </w:r>
      <w:proofErr w:type="gramEnd"/>
      <w:r>
        <w:t xml:space="preserve"> are treated as deferred income until the services covered by the voluntary contributions are performed, whereupon income is recognized.</w:t>
      </w:r>
    </w:p>
    <w:p w:rsidR="00954784" w:rsidRDefault="00954784" w:rsidP="006D0C30">
      <w:pPr>
        <w:jc w:val="both"/>
        <w:rPr>
          <w:rFonts w:ascii="Arial" w:hAnsi="Arial" w:cs="Arial"/>
          <w:b/>
          <w:sz w:val="20"/>
          <w:szCs w:val="20"/>
        </w:rPr>
      </w:pPr>
    </w:p>
    <w:p w:rsidR="006D0C30" w:rsidRPr="00FB4990" w:rsidRDefault="006D0C30" w:rsidP="006D0C30">
      <w:pPr>
        <w:jc w:val="both"/>
        <w:rPr>
          <w:rFonts w:ascii="Arial" w:hAnsi="Arial" w:cs="Arial"/>
          <w:b/>
          <w:sz w:val="20"/>
          <w:szCs w:val="20"/>
        </w:rPr>
      </w:pPr>
    </w:p>
    <w:p w:rsidR="00C42877" w:rsidRPr="00797AED" w:rsidRDefault="00954784" w:rsidP="006D0C30">
      <w:pPr>
        <w:pStyle w:val="StyleHeading211ptNotBoldNotItalicAllcaps"/>
        <w:spacing w:before="0" w:after="0"/>
      </w:pPr>
      <w:r w:rsidRPr="00797AED">
        <w:t>N</w:t>
      </w:r>
      <w:r w:rsidR="00C42877" w:rsidRPr="00797AED">
        <w:t>ote</w:t>
      </w:r>
      <w:r w:rsidR="005C389B" w:rsidRPr="00797AED">
        <w:t xml:space="preserve"> </w:t>
      </w:r>
      <w:r w:rsidR="00CF44A9" w:rsidRPr="00797AED">
        <w:t>15</w:t>
      </w:r>
      <w:r w:rsidR="00C42877" w:rsidRPr="00797AED">
        <w:t>:</w:t>
      </w:r>
      <w:r w:rsidR="0087204A">
        <w:tab/>
      </w:r>
      <w:r w:rsidR="00C42877" w:rsidRPr="00797AED">
        <w:t>Borrowing</w:t>
      </w:r>
      <w:r w:rsidR="007F0050" w:rsidRPr="00797AED">
        <w:t>s</w:t>
      </w:r>
    </w:p>
    <w:p w:rsidR="00C42877" w:rsidRPr="00372DD0" w:rsidRDefault="00C42877" w:rsidP="006D0C30">
      <w:pPr>
        <w:jc w:val="both"/>
        <w:rPr>
          <w:rFonts w:ascii="Arial" w:hAnsi="Arial" w:cs="Arial"/>
          <w:sz w:val="22"/>
          <w:szCs w:val="22"/>
        </w:rPr>
      </w:pPr>
    </w:p>
    <w:p w:rsidR="00EF1D45" w:rsidRPr="000B76DB" w:rsidRDefault="00BC7CD6" w:rsidP="004337B7">
      <w:pPr>
        <w:pStyle w:val="style30"/>
        <w:spacing w:after="0"/>
      </w:pPr>
      <w:r>
        <w:rPr>
          <w:noProof/>
        </w:rPr>
        <w:drawing>
          <wp:inline distT="0" distB="0" distL="0" distR="0" wp14:anchorId="0A2A116A" wp14:editId="0AEAD1F9">
            <wp:extent cx="5972175" cy="2257425"/>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72175" cy="2257425"/>
                    </a:xfrm>
                    <a:prstGeom prst="rect">
                      <a:avLst/>
                    </a:prstGeom>
                    <a:noFill/>
                    <a:ln>
                      <a:noFill/>
                    </a:ln>
                  </pic:spPr>
                </pic:pic>
              </a:graphicData>
            </a:graphic>
          </wp:inline>
        </w:drawing>
      </w:r>
    </w:p>
    <w:p w:rsidR="004337B7" w:rsidRDefault="004337B7" w:rsidP="004337B7">
      <w:pPr>
        <w:pStyle w:val="style30"/>
        <w:spacing w:after="0"/>
      </w:pPr>
      <w:r>
        <w:lastRenderedPageBreak/>
        <w:t>The Organization has borrowed funds</w:t>
      </w:r>
      <w:r w:rsidR="00933549">
        <w:t xml:space="preserve"> (50.8</w:t>
      </w:r>
      <w:r w:rsidR="002E2775">
        <w:t xml:space="preserve"> </w:t>
      </w:r>
      <w:r w:rsidR="00933549">
        <w:t>m</w:t>
      </w:r>
      <w:r w:rsidR="002E2775">
        <w:t>illion</w:t>
      </w:r>
      <w:r w:rsidR="00933549">
        <w:t xml:space="preserve"> Swiss francs and 8.4</w:t>
      </w:r>
      <w:r w:rsidR="0059721D">
        <w:t>1</w:t>
      </w:r>
      <w:r w:rsidR="002E2775">
        <w:t xml:space="preserve"> </w:t>
      </w:r>
      <w:r w:rsidR="00592B26">
        <w:t>m</w:t>
      </w:r>
      <w:r w:rsidR="002E2775">
        <w:t>illion</w:t>
      </w:r>
      <w:r w:rsidR="00592B26">
        <w:t xml:space="preserve"> Swiss francs approved</w:t>
      </w:r>
      <w:r w:rsidR="00933549">
        <w:t xml:space="preserve"> in 1977 and 1987 respectively)</w:t>
      </w:r>
      <w:r>
        <w:t xml:space="preserve"> from the Foundation</w:t>
      </w:r>
      <w:r w:rsidR="00BB0CC5">
        <w:t xml:space="preserve"> for Buildings</w:t>
      </w:r>
      <w:r w:rsidR="00105F7A">
        <w:t xml:space="preserve"> for International Organizations</w:t>
      </w:r>
      <w:r>
        <w:t xml:space="preserve"> (</w:t>
      </w:r>
      <w:r w:rsidRPr="00F03904">
        <w:t>FIPOI)</w:t>
      </w:r>
      <w:r w:rsidR="00BB0CC5" w:rsidRPr="00F03904">
        <w:t xml:space="preserve"> </w:t>
      </w:r>
      <w:r>
        <w:t>for the purpose of constructing its headquarters buildings in Geneva, Switzerland.  These loans were originally subject to interest payments. However, in 1996 the Swiss Federal Department of External Relations agreed to waive any further payments of interest and the loans currently require the reimbursement of principal only. The value of the intere</w:t>
      </w:r>
      <w:r w:rsidR="003A611D">
        <w:t>st waived in 201</w:t>
      </w:r>
      <w:r w:rsidR="002E2775">
        <w:t>2</w:t>
      </w:r>
      <w:r w:rsidR="003A611D">
        <w:t xml:space="preserve"> was </w:t>
      </w:r>
      <w:r w:rsidR="00D721C3">
        <w:t>0.</w:t>
      </w:r>
      <w:r w:rsidR="003A611D">
        <w:t>6</w:t>
      </w:r>
      <w:r w:rsidR="00D721C3">
        <w:t xml:space="preserve"> million</w:t>
      </w:r>
      <w:r w:rsidR="00736AE7">
        <w:t xml:space="preserve"> Swiss francs</w:t>
      </w:r>
      <w:r>
        <w:t xml:space="preserve"> and the value of interest to be waived until the final payment on the loan</w:t>
      </w:r>
      <w:r w:rsidR="00333C51">
        <w:t xml:space="preserve">s, due in 2039, is </w:t>
      </w:r>
      <w:r w:rsidR="002E2775">
        <w:t>5</w:t>
      </w:r>
      <w:r w:rsidR="00333C51">
        <w:t>.</w:t>
      </w:r>
      <w:r w:rsidR="002E2775">
        <w:t>6</w:t>
      </w:r>
      <w:r w:rsidR="00D721C3">
        <w:t xml:space="preserve"> million</w:t>
      </w:r>
      <w:r w:rsidR="00736AE7">
        <w:t xml:space="preserve"> Swiss francs</w:t>
      </w:r>
      <w:r>
        <w:t>. After taking into consideration the value of the waiver of interest payments, the present value of the loans is recognized at the nominal value, since the value of the interest waiver is equal to the future value of the loan discount.</w:t>
      </w:r>
    </w:p>
    <w:p w:rsidR="00C42877" w:rsidRDefault="00C42877" w:rsidP="007C6D77">
      <w:pPr>
        <w:pStyle w:val="Style3"/>
        <w:spacing w:after="0"/>
      </w:pPr>
    </w:p>
    <w:p w:rsidR="00C42877" w:rsidRPr="00FB4990" w:rsidRDefault="009A16A9" w:rsidP="007C6D77">
      <w:pPr>
        <w:pStyle w:val="Style3"/>
        <w:spacing w:after="0"/>
      </w:pPr>
      <w:r w:rsidRPr="00FB4990">
        <w:t>In February 2008, t</w:t>
      </w:r>
      <w:r w:rsidR="00C42877" w:rsidRPr="00FB4990">
        <w:t xml:space="preserve">he Organization entered into a contract with the </w:t>
      </w:r>
      <w:proofErr w:type="spellStart"/>
      <w:r w:rsidR="00C42877" w:rsidRPr="00857F03">
        <w:rPr>
          <w:i/>
        </w:rPr>
        <w:t>Banque</w:t>
      </w:r>
      <w:proofErr w:type="spellEnd"/>
      <w:r w:rsidR="00C42877" w:rsidRPr="00857F03">
        <w:rPr>
          <w:i/>
        </w:rPr>
        <w:t xml:space="preserve"> </w:t>
      </w:r>
      <w:proofErr w:type="spellStart"/>
      <w:r w:rsidR="00C42877" w:rsidRPr="00857F03">
        <w:rPr>
          <w:i/>
        </w:rPr>
        <w:t>Cantonale</w:t>
      </w:r>
      <w:proofErr w:type="spellEnd"/>
      <w:r w:rsidR="00C42877" w:rsidRPr="00857F03">
        <w:rPr>
          <w:i/>
        </w:rPr>
        <w:t xml:space="preserve"> de Genève</w:t>
      </w:r>
      <w:r w:rsidR="00C42877" w:rsidRPr="00FB4990">
        <w:t xml:space="preserve"> and the </w:t>
      </w:r>
      <w:proofErr w:type="spellStart"/>
      <w:r w:rsidR="00C42877" w:rsidRPr="00857F03">
        <w:rPr>
          <w:i/>
        </w:rPr>
        <w:t>Banque</w:t>
      </w:r>
      <w:proofErr w:type="spellEnd"/>
      <w:r w:rsidR="00C42877" w:rsidRPr="00857F03">
        <w:rPr>
          <w:i/>
        </w:rPr>
        <w:t xml:space="preserve"> </w:t>
      </w:r>
      <w:proofErr w:type="spellStart"/>
      <w:r w:rsidR="00C42877" w:rsidRPr="00857F03">
        <w:rPr>
          <w:i/>
        </w:rPr>
        <w:t>Cantonale</w:t>
      </w:r>
      <w:proofErr w:type="spellEnd"/>
      <w:r w:rsidR="00C42877" w:rsidRPr="00857F03">
        <w:rPr>
          <w:i/>
        </w:rPr>
        <w:t xml:space="preserve"> </w:t>
      </w:r>
      <w:proofErr w:type="spellStart"/>
      <w:r w:rsidR="00C42877" w:rsidRPr="00857F03">
        <w:rPr>
          <w:i/>
        </w:rPr>
        <w:t>Vaudoise</w:t>
      </w:r>
      <w:proofErr w:type="spellEnd"/>
      <w:r w:rsidR="00C42877" w:rsidRPr="00857F03">
        <w:rPr>
          <w:i/>
        </w:rPr>
        <w:t xml:space="preserve"> </w:t>
      </w:r>
      <w:r w:rsidR="00C42877" w:rsidRPr="00FB4990">
        <w:t>to borrow 114.0 million</w:t>
      </w:r>
      <w:r w:rsidR="00736AE7">
        <w:t xml:space="preserve"> Swiss francs</w:t>
      </w:r>
      <w:r w:rsidR="00FF2FB5" w:rsidRPr="00FB4990">
        <w:t>,</w:t>
      </w:r>
      <w:r w:rsidR="00C42877" w:rsidRPr="00FB4990">
        <w:t xml:space="preserve"> plus a possible supplementary amount of 16.0 million</w:t>
      </w:r>
      <w:r w:rsidR="00736AE7">
        <w:t xml:space="preserve"> Swiss francs</w:t>
      </w:r>
      <w:r w:rsidR="00FF2FB5" w:rsidRPr="00FB4990">
        <w:t>,</w:t>
      </w:r>
      <w:r w:rsidR="00C42877" w:rsidRPr="00FB4990">
        <w:t xml:space="preserve"> to be used to finance part of the cost of the construction of the </w:t>
      </w:r>
      <w:r w:rsidR="00736AE7">
        <w:t>New B</w:t>
      </w:r>
      <w:r w:rsidR="00C42877" w:rsidRPr="00FB4990">
        <w:t>uilding</w:t>
      </w:r>
      <w:r w:rsidR="00F97F6F">
        <w:t xml:space="preserve"> available for use </w:t>
      </w:r>
      <w:r w:rsidR="008C40EB">
        <w:t>until</w:t>
      </w:r>
      <w:r w:rsidR="00F97F6F">
        <w:t xml:space="preserve"> February 28, 2011</w:t>
      </w:r>
      <w:r w:rsidR="00C42877" w:rsidRPr="00FB4990">
        <w:t>.</w:t>
      </w:r>
      <w:r w:rsidR="006F57E9">
        <w:t xml:space="preserve"> </w:t>
      </w:r>
      <w:r w:rsidR="00736AE7">
        <w:t>The supplementary amount of 16.0 million Swiss francs was drawn d</w:t>
      </w:r>
      <w:r w:rsidR="006F57E9">
        <w:t>own on January 27, 2011.</w:t>
      </w:r>
      <w:r w:rsidR="00C42877" w:rsidRPr="00FB4990">
        <w:t xml:space="preserve"> The interest rate has been fixed at the Swiss franc Swap LIBOR for up to 15 years</w:t>
      </w:r>
      <w:r w:rsidR="00FF2FB5" w:rsidRPr="00FB4990">
        <w:t>,</w:t>
      </w:r>
      <w:r w:rsidR="00C42877" w:rsidRPr="00FB4990">
        <w:t xml:space="preserve"> plus a margin of </w:t>
      </w:r>
      <w:r w:rsidR="007F0050" w:rsidRPr="00FB4990">
        <w:t>between</w:t>
      </w:r>
      <w:r w:rsidR="00C42877" w:rsidRPr="00FB4990">
        <w:t xml:space="preserve"> 0.30</w:t>
      </w:r>
      <w:r w:rsidR="003354C1">
        <w:t xml:space="preserve"> </w:t>
      </w:r>
      <w:r w:rsidR="002D6885">
        <w:t>per cent</w:t>
      </w:r>
      <w:r w:rsidR="00C42877" w:rsidRPr="00FB4990">
        <w:t xml:space="preserve"> to 0.70</w:t>
      </w:r>
      <w:r w:rsidR="003354C1">
        <w:t xml:space="preserve"> </w:t>
      </w:r>
      <w:r w:rsidR="002D6885">
        <w:t>per cent</w:t>
      </w:r>
      <w:r w:rsidR="00C42877" w:rsidRPr="00FB4990">
        <w:t xml:space="preserve"> dependent on the length of the term </w:t>
      </w:r>
      <w:r w:rsidR="002F20D1">
        <w:t xml:space="preserve">as </w:t>
      </w:r>
      <w:r w:rsidR="00C42877" w:rsidRPr="00FB4990">
        <w:t>determined by the Organization.</w:t>
      </w:r>
      <w:r w:rsidR="00A4756A">
        <w:t xml:space="preserve"> Interest payments in 2012 totaled 3.3 million Swiss francs.</w:t>
      </w:r>
      <w:r w:rsidR="00C42877" w:rsidRPr="00FB4990">
        <w:t xml:space="preserve"> In addition to the payment of interest, the contract provides for an annual repayment of principal equal to 3</w:t>
      </w:r>
      <w:r w:rsidR="003354C1">
        <w:t xml:space="preserve">.0 </w:t>
      </w:r>
      <w:r w:rsidR="00857F03">
        <w:t>per </w:t>
      </w:r>
      <w:r w:rsidR="002D6885">
        <w:t>cent</w:t>
      </w:r>
      <w:r w:rsidR="00C42877" w:rsidRPr="00FB4990">
        <w:t xml:space="preserve"> of the total amount borrowed</w:t>
      </w:r>
      <w:r w:rsidR="00F97F6F">
        <w:t xml:space="preserve"> beginning on February 28, 2012</w:t>
      </w:r>
      <w:r w:rsidR="007615EE">
        <w:t xml:space="preserve"> for the original loan of 114.0 </w:t>
      </w:r>
      <w:r w:rsidR="00F97F6F">
        <w:t>million</w:t>
      </w:r>
      <w:r w:rsidR="00736AE7">
        <w:t xml:space="preserve"> Swiss francs</w:t>
      </w:r>
      <w:r w:rsidR="00F97F6F">
        <w:t xml:space="preserve"> and the supplementary loan of 16.0 million</w:t>
      </w:r>
      <w:r w:rsidR="00736AE7">
        <w:t xml:space="preserve"> Swiss francs</w:t>
      </w:r>
      <w:r w:rsidR="00C42877" w:rsidRPr="00FB4990">
        <w:t xml:space="preserve">.  </w:t>
      </w:r>
    </w:p>
    <w:p w:rsidR="004F64CE" w:rsidRDefault="004F64CE" w:rsidP="007C6D77">
      <w:pPr>
        <w:pStyle w:val="Style3"/>
        <w:spacing w:after="0"/>
      </w:pPr>
    </w:p>
    <w:p w:rsidR="00F97F6F" w:rsidRPr="00FB4990" w:rsidRDefault="002F20D1" w:rsidP="006D0C30">
      <w:pPr>
        <w:pStyle w:val="Style3"/>
        <w:spacing w:after="0"/>
      </w:pPr>
      <w:r>
        <w:t>In October 2010, a</w:t>
      </w:r>
      <w:r w:rsidR="00F97F6F">
        <w:t xml:space="preserve">n amendment to the loan agreement was approved by the </w:t>
      </w:r>
      <w:proofErr w:type="spellStart"/>
      <w:r w:rsidR="00F97F6F" w:rsidRPr="00857F03">
        <w:rPr>
          <w:i/>
        </w:rPr>
        <w:t>Banque</w:t>
      </w:r>
      <w:proofErr w:type="spellEnd"/>
      <w:r w:rsidR="00F97F6F" w:rsidRPr="00857F03">
        <w:rPr>
          <w:i/>
        </w:rPr>
        <w:t xml:space="preserve"> </w:t>
      </w:r>
      <w:proofErr w:type="spellStart"/>
      <w:r w:rsidR="00F97F6F" w:rsidRPr="00857F03">
        <w:rPr>
          <w:i/>
        </w:rPr>
        <w:t>Cantonale</w:t>
      </w:r>
      <w:proofErr w:type="spellEnd"/>
      <w:r w:rsidR="00F97F6F" w:rsidRPr="00857F03">
        <w:rPr>
          <w:i/>
        </w:rPr>
        <w:t xml:space="preserve"> de Genève</w:t>
      </w:r>
      <w:r w:rsidR="00105F7A">
        <w:t>,</w:t>
      </w:r>
      <w:r w:rsidR="00F97F6F" w:rsidRPr="00FB4990">
        <w:t xml:space="preserve"> the </w:t>
      </w:r>
      <w:proofErr w:type="spellStart"/>
      <w:r w:rsidR="00F97F6F" w:rsidRPr="00857F03">
        <w:rPr>
          <w:i/>
        </w:rPr>
        <w:t>Banque</w:t>
      </w:r>
      <w:proofErr w:type="spellEnd"/>
      <w:r w:rsidR="00F97F6F" w:rsidRPr="00857F03">
        <w:rPr>
          <w:i/>
        </w:rPr>
        <w:t xml:space="preserve"> </w:t>
      </w:r>
      <w:proofErr w:type="spellStart"/>
      <w:r w:rsidR="00F97F6F" w:rsidRPr="00857F03">
        <w:rPr>
          <w:i/>
        </w:rPr>
        <w:t>Cantonale</w:t>
      </w:r>
      <w:proofErr w:type="spellEnd"/>
      <w:r w:rsidR="00F97F6F" w:rsidRPr="00857F03">
        <w:rPr>
          <w:i/>
        </w:rPr>
        <w:t xml:space="preserve"> </w:t>
      </w:r>
      <w:proofErr w:type="spellStart"/>
      <w:r w:rsidR="00F97F6F" w:rsidRPr="00857F03">
        <w:rPr>
          <w:i/>
        </w:rPr>
        <w:t>Vaudoise</w:t>
      </w:r>
      <w:proofErr w:type="spellEnd"/>
      <w:r w:rsidR="00F97F6F" w:rsidRPr="00FB4990">
        <w:t xml:space="preserve"> </w:t>
      </w:r>
      <w:r w:rsidR="00F97F6F">
        <w:t>and WIPO providing an additional amount of 40.0 million</w:t>
      </w:r>
      <w:r w:rsidR="006F57E9">
        <w:t xml:space="preserve"> Swiss francs</w:t>
      </w:r>
      <w:r w:rsidR="00F97F6F">
        <w:t xml:space="preserve"> to be used to finance part of the cost of the construction of the </w:t>
      </w:r>
      <w:r w:rsidR="006F57E9">
        <w:t>N</w:t>
      </w:r>
      <w:r w:rsidR="00F97F6F">
        <w:t xml:space="preserve">ew </w:t>
      </w:r>
      <w:r w:rsidR="006F57E9">
        <w:t>C</w:t>
      </w:r>
      <w:r w:rsidR="00F97F6F">
        <w:t xml:space="preserve">onference </w:t>
      </w:r>
      <w:r w:rsidR="006F57E9">
        <w:t>Hall</w:t>
      </w:r>
      <w:r w:rsidR="00F97F6F">
        <w:t xml:space="preserve"> </w:t>
      </w:r>
      <w:r w:rsidR="008C40EB">
        <w:t xml:space="preserve">and </w:t>
      </w:r>
      <w:r w:rsidR="00F97F6F">
        <w:t xml:space="preserve">available for use during the period March 31, 2011 to March 31, 2014.  </w:t>
      </w:r>
      <w:r w:rsidR="00F97F6F" w:rsidRPr="00FB4990">
        <w:t xml:space="preserve">The interest rate has </w:t>
      </w:r>
      <w:r w:rsidR="00F97F6F">
        <w:t xml:space="preserve">also </w:t>
      </w:r>
      <w:r w:rsidR="00F97F6F" w:rsidRPr="00FB4990">
        <w:t>been fixed at the Swiss franc Swap LIBOR for up to 15 years, plus a margin of between 0.30</w:t>
      </w:r>
      <w:r w:rsidR="003354C1">
        <w:t xml:space="preserve"> </w:t>
      </w:r>
      <w:r w:rsidR="002D6885">
        <w:t>per cent</w:t>
      </w:r>
      <w:r w:rsidR="00F97F6F" w:rsidRPr="00FB4990">
        <w:t xml:space="preserve"> to 0.70</w:t>
      </w:r>
      <w:r w:rsidR="003354C1">
        <w:t xml:space="preserve"> </w:t>
      </w:r>
      <w:r w:rsidR="002D6885">
        <w:t>per cent</w:t>
      </w:r>
      <w:r w:rsidR="00F97F6F" w:rsidRPr="00FB4990">
        <w:t xml:space="preserve"> dependent on the length of the term </w:t>
      </w:r>
      <w:r>
        <w:t xml:space="preserve">as </w:t>
      </w:r>
      <w:r w:rsidR="00F97F6F" w:rsidRPr="00FB4990">
        <w:t>determined by the Organization.</w:t>
      </w:r>
      <w:r w:rsidR="00F97F6F">
        <w:t xml:space="preserve">  T</w:t>
      </w:r>
      <w:r w:rsidR="00F97F6F" w:rsidRPr="00FB4990">
        <w:t xml:space="preserve">he contract </w:t>
      </w:r>
      <w:r w:rsidR="008C40EB">
        <w:t>again</w:t>
      </w:r>
      <w:r w:rsidR="00F97F6F">
        <w:t xml:space="preserve"> </w:t>
      </w:r>
      <w:r w:rsidR="00F97F6F" w:rsidRPr="00FB4990">
        <w:t>provides for an annual repayment of principal equal to 3</w:t>
      </w:r>
      <w:r w:rsidR="003354C1">
        <w:t xml:space="preserve"> </w:t>
      </w:r>
      <w:r w:rsidR="002D6885">
        <w:t>per cent</w:t>
      </w:r>
      <w:r w:rsidR="00F97F6F" w:rsidRPr="00FB4990">
        <w:t xml:space="preserve"> of the total amount borrowed</w:t>
      </w:r>
      <w:r w:rsidR="008C40EB">
        <w:t xml:space="preserve">, to </w:t>
      </w:r>
      <w:r w:rsidR="00F97F6F">
        <w:t>begin on March 31, 2015 for the loan of 40.0 million</w:t>
      </w:r>
      <w:r w:rsidR="006F57E9">
        <w:t xml:space="preserve"> Swiss francs</w:t>
      </w:r>
      <w:r w:rsidR="00F97F6F">
        <w:t>.</w:t>
      </w:r>
      <w:r w:rsidR="006F57E9">
        <w:t xml:space="preserve"> As at December 31, 201</w:t>
      </w:r>
      <w:r w:rsidR="000A5BB7">
        <w:t>2</w:t>
      </w:r>
      <w:r w:rsidR="006F57E9">
        <w:t xml:space="preserve"> the Organization had not drawn down the additional amount of 40.0 million Swiss francs. It is noted that the Organization pays an annual commission of 0.15</w:t>
      </w:r>
      <w:r w:rsidR="003354C1">
        <w:t xml:space="preserve"> </w:t>
      </w:r>
      <w:r w:rsidR="002D6885">
        <w:t>per cent</w:t>
      </w:r>
      <w:r w:rsidR="006F57E9">
        <w:t xml:space="preserve"> on undrawn loan amounts during the period of availability. </w:t>
      </w:r>
    </w:p>
    <w:p w:rsidR="002F04DA" w:rsidRPr="006D0C30" w:rsidRDefault="002F04DA" w:rsidP="006D0C30">
      <w:pPr>
        <w:pStyle w:val="Style3"/>
        <w:spacing w:after="0"/>
        <w:rPr>
          <w:rFonts w:cs="Arial"/>
          <w:szCs w:val="22"/>
        </w:rPr>
      </w:pPr>
    </w:p>
    <w:p w:rsidR="00D65D40" w:rsidRPr="006D0C30" w:rsidRDefault="00D65D40" w:rsidP="006D0C30">
      <w:pPr>
        <w:pStyle w:val="STYLETITRENOTES"/>
        <w:rPr>
          <w:rFonts w:cs="Arial"/>
          <w:szCs w:val="22"/>
        </w:rPr>
      </w:pPr>
    </w:p>
    <w:p w:rsidR="004B758D" w:rsidRPr="006D0C30" w:rsidRDefault="004B758D" w:rsidP="006D0C30">
      <w:pPr>
        <w:pStyle w:val="StyleHeading211ptNotBoldNotItalicAllcaps"/>
        <w:spacing w:before="0" w:after="0"/>
        <w:rPr>
          <w:szCs w:val="22"/>
        </w:rPr>
      </w:pPr>
      <w:r w:rsidRPr="006D0C30">
        <w:rPr>
          <w:szCs w:val="22"/>
        </w:rPr>
        <w:t xml:space="preserve">Note </w:t>
      </w:r>
      <w:r w:rsidR="00CF44A9" w:rsidRPr="006D0C30">
        <w:rPr>
          <w:szCs w:val="22"/>
        </w:rPr>
        <w:t>16</w:t>
      </w:r>
      <w:r w:rsidRPr="006D0C30">
        <w:rPr>
          <w:szCs w:val="22"/>
        </w:rPr>
        <w:t>:</w:t>
      </w:r>
      <w:r w:rsidR="0087204A" w:rsidRPr="006D0C30">
        <w:rPr>
          <w:szCs w:val="22"/>
        </w:rPr>
        <w:tab/>
      </w:r>
      <w:r w:rsidRPr="006D0C30">
        <w:rPr>
          <w:szCs w:val="22"/>
        </w:rPr>
        <w:t>Provisions</w:t>
      </w:r>
    </w:p>
    <w:p w:rsidR="004B758D" w:rsidRPr="006D0C30" w:rsidRDefault="004B758D" w:rsidP="006D0C30">
      <w:pPr>
        <w:jc w:val="both"/>
        <w:rPr>
          <w:rFonts w:ascii="Arial" w:hAnsi="Arial" w:cs="Arial"/>
          <w:sz w:val="22"/>
          <w:szCs w:val="22"/>
        </w:rPr>
      </w:pPr>
    </w:p>
    <w:p w:rsidR="00C631B1" w:rsidRPr="000B76DB" w:rsidRDefault="00BC7CD6" w:rsidP="006D0C30">
      <w:pPr>
        <w:jc w:val="both"/>
        <w:rPr>
          <w:rFonts w:ascii="Arial" w:hAnsi="Arial" w:cs="Arial"/>
          <w:sz w:val="22"/>
          <w:szCs w:val="22"/>
        </w:rPr>
      </w:pPr>
      <w:r>
        <w:rPr>
          <w:noProof/>
        </w:rPr>
        <w:drawing>
          <wp:inline distT="0" distB="0" distL="0" distR="0" wp14:anchorId="6D85F55A" wp14:editId="47226ADE">
            <wp:extent cx="5972175" cy="12954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972175" cy="1295400"/>
                    </a:xfrm>
                    <a:prstGeom prst="rect">
                      <a:avLst/>
                    </a:prstGeom>
                    <a:noFill/>
                    <a:ln>
                      <a:noFill/>
                    </a:ln>
                  </pic:spPr>
                </pic:pic>
              </a:graphicData>
            </a:graphic>
          </wp:inline>
        </w:drawing>
      </w:r>
    </w:p>
    <w:p w:rsidR="00A630DC" w:rsidRDefault="00524F3E" w:rsidP="007C6D77">
      <w:pPr>
        <w:pStyle w:val="Style3"/>
        <w:spacing w:after="0"/>
      </w:pPr>
      <w:r w:rsidRPr="00372DD0">
        <w:rPr>
          <w:szCs w:val="22"/>
        </w:rPr>
        <w:t xml:space="preserve">The </w:t>
      </w:r>
      <w:r w:rsidR="006D7D07" w:rsidRPr="00372DD0">
        <w:rPr>
          <w:szCs w:val="22"/>
        </w:rPr>
        <w:t xml:space="preserve">provision for </w:t>
      </w:r>
      <w:r w:rsidRPr="00372DD0">
        <w:rPr>
          <w:szCs w:val="22"/>
        </w:rPr>
        <w:t xml:space="preserve">education grants </w:t>
      </w:r>
      <w:r w:rsidR="006D7D07" w:rsidRPr="00372DD0">
        <w:rPr>
          <w:szCs w:val="22"/>
        </w:rPr>
        <w:t>payable relates to the number of months which have elapsed between the start of the school year/university year and December 31, 201</w:t>
      </w:r>
      <w:r w:rsidR="007536B6">
        <w:rPr>
          <w:szCs w:val="22"/>
        </w:rPr>
        <w:t>2</w:t>
      </w:r>
      <w:r w:rsidR="006D7D07" w:rsidRPr="00372DD0">
        <w:rPr>
          <w:szCs w:val="22"/>
        </w:rPr>
        <w:t xml:space="preserve"> for which fees are therefore due. </w:t>
      </w:r>
      <w:r w:rsidR="00A630DC" w:rsidRPr="00372DD0">
        <w:rPr>
          <w:szCs w:val="22"/>
        </w:rPr>
        <w:t>As part of its normal activities, the Organization is subject to litigation. Events occurring prior to December 31, 201</w:t>
      </w:r>
      <w:r w:rsidR="007536B6">
        <w:rPr>
          <w:szCs w:val="22"/>
        </w:rPr>
        <w:t>2</w:t>
      </w:r>
      <w:r w:rsidR="00A630DC" w:rsidRPr="00372DD0">
        <w:rPr>
          <w:szCs w:val="22"/>
        </w:rPr>
        <w:t xml:space="preserve"> have created certain legal obligations at the reporting date.  As it is probable that these obligations will require future settlement and as the settlement </w:t>
      </w:r>
      <w:r w:rsidR="00A630DC" w:rsidRPr="00372DD0">
        <w:rPr>
          <w:szCs w:val="22"/>
        </w:rPr>
        <w:lastRenderedPageBreak/>
        <w:t>amounts can be reliably estimated, a provision for legal costs has been established. The amount of the provision has been estimated</w:t>
      </w:r>
      <w:r w:rsidR="00A630DC">
        <w:t xml:space="preserve"> as closely as possible on the basis of information available.</w:t>
      </w:r>
    </w:p>
    <w:p w:rsidR="00E15CD6" w:rsidRPr="00372DD0" w:rsidRDefault="00E15CD6" w:rsidP="007C6D77">
      <w:pPr>
        <w:pStyle w:val="Style3"/>
        <w:spacing w:after="0"/>
        <w:rPr>
          <w:szCs w:val="22"/>
        </w:rPr>
      </w:pPr>
    </w:p>
    <w:p w:rsidR="0057679E" w:rsidRPr="000B76DB" w:rsidRDefault="00BC7CD6" w:rsidP="00442F97">
      <w:pPr>
        <w:pStyle w:val="Style3"/>
        <w:spacing w:after="0"/>
        <w:jc w:val="center"/>
      </w:pPr>
      <w:r>
        <w:rPr>
          <w:noProof/>
        </w:rPr>
        <w:drawing>
          <wp:inline distT="0" distB="0" distL="0" distR="0" wp14:anchorId="0E6A9327" wp14:editId="299C041B">
            <wp:extent cx="5972175" cy="32956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972175" cy="3295650"/>
                    </a:xfrm>
                    <a:prstGeom prst="rect">
                      <a:avLst/>
                    </a:prstGeom>
                    <a:noFill/>
                    <a:ln>
                      <a:noFill/>
                    </a:ln>
                  </pic:spPr>
                </pic:pic>
              </a:graphicData>
            </a:graphic>
          </wp:inline>
        </w:drawing>
      </w:r>
    </w:p>
    <w:p w:rsidR="00986AC7" w:rsidRPr="00986AC7" w:rsidRDefault="00986AC7" w:rsidP="00442F97">
      <w:pPr>
        <w:pStyle w:val="Style3"/>
        <w:spacing w:after="0"/>
        <w:jc w:val="center"/>
        <w:rPr>
          <w:szCs w:val="22"/>
        </w:rPr>
      </w:pPr>
    </w:p>
    <w:p w:rsidR="00CF44A9" w:rsidRPr="006D0C30" w:rsidRDefault="00CF44A9" w:rsidP="006D0C30">
      <w:pPr>
        <w:pStyle w:val="StyleHeading211ptNotBoldNotItalicAllcaps"/>
        <w:spacing w:before="0" w:after="0"/>
        <w:rPr>
          <w:szCs w:val="22"/>
        </w:rPr>
      </w:pPr>
      <w:r w:rsidRPr="00797AED">
        <w:t>Note 17</w:t>
      </w:r>
      <w:r w:rsidR="00D90C0B" w:rsidRPr="00797AED">
        <w:t>:</w:t>
      </w:r>
      <w:r w:rsidR="0087204A">
        <w:tab/>
      </w:r>
      <w:r w:rsidRPr="00797AED">
        <w:t>Other Current Liabilities</w:t>
      </w:r>
      <w:r w:rsidR="00D90C0B" w:rsidRPr="00797AED">
        <w:t xml:space="preserve"> -</w:t>
      </w:r>
      <w:r w:rsidRPr="00797AED">
        <w:t xml:space="preserve"> Current accounts</w:t>
      </w:r>
    </w:p>
    <w:p w:rsidR="00CF44A9" w:rsidRPr="006D0C30" w:rsidRDefault="00CF44A9" w:rsidP="006D0C30">
      <w:pPr>
        <w:jc w:val="both"/>
        <w:rPr>
          <w:rFonts w:ascii="Arial" w:hAnsi="Arial" w:cs="Arial"/>
          <w:b/>
          <w:sz w:val="22"/>
          <w:szCs w:val="22"/>
        </w:rPr>
      </w:pPr>
    </w:p>
    <w:p w:rsidR="0032315F" w:rsidRPr="000B76DB" w:rsidRDefault="00BC7CD6" w:rsidP="007C6D77">
      <w:pPr>
        <w:jc w:val="both"/>
      </w:pPr>
      <w:r>
        <w:rPr>
          <w:noProof/>
        </w:rPr>
        <w:drawing>
          <wp:inline distT="0" distB="0" distL="0" distR="0" wp14:anchorId="6156377B" wp14:editId="439B41F3">
            <wp:extent cx="5972175" cy="12954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972175" cy="1295400"/>
                    </a:xfrm>
                    <a:prstGeom prst="rect">
                      <a:avLst/>
                    </a:prstGeom>
                    <a:noFill/>
                    <a:ln>
                      <a:noFill/>
                    </a:ln>
                  </pic:spPr>
                </pic:pic>
              </a:graphicData>
            </a:graphic>
          </wp:inline>
        </w:drawing>
      </w:r>
    </w:p>
    <w:p w:rsidR="00CF44A9" w:rsidRPr="0032315F" w:rsidRDefault="00CF44A9" w:rsidP="00442F97">
      <w:pPr>
        <w:pStyle w:val="Style3"/>
        <w:spacing w:after="0"/>
      </w:pPr>
      <w:r w:rsidRPr="0032315F">
        <w:t>The Organization provides facilities for applicants for Trademarks and Industrial Design</w:t>
      </w:r>
      <w:r w:rsidR="00F07F9B">
        <w:t>s</w:t>
      </w:r>
      <w:r w:rsidRPr="0032315F">
        <w:t xml:space="preserve"> to deposit funds entitled “current accounts” for which the Organization acts as custodian pending the use of the funds to cover fees required to be paid in connection with individual applications and renewals.  These funds are held until such time as specific applications are filed.  On receipt of the application</w:t>
      </w:r>
      <w:r w:rsidR="00F07F9B">
        <w:t xml:space="preserve"> and authorization</w:t>
      </w:r>
      <w:r w:rsidRPr="0032315F">
        <w:t xml:space="preserve"> the current account balance is reduced and the funds are considered deposits until the application has been registered.  </w:t>
      </w:r>
    </w:p>
    <w:p w:rsidR="00CF44A9" w:rsidRPr="0032315F" w:rsidRDefault="00CF44A9" w:rsidP="00442F97">
      <w:pPr>
        <w:pStyle w:val="Style3"/>
        <w:spacing w:after="0"/>
      </w:pPr>
    </w:p>
    <w:p w:rsidR="00CF44A9" w:rsidRPr="00901633" w:rsidRDefault="00CF44A9" w:rsidP="00901633">
      <w:pPr>
        <w:pStyle w:val="Style3"/>
        <w:spacing w:after="0"/>
        <w:rPr>
          <w:szCs w:val="22"/>
        </w:rPr>
      </w:pPr>
      <w:r w:rsidRPr="0032315F">
        <w:t>In addition, the Organization maintains bank accounts in its name to provide a mechanism for certain contracting parties to transfer funds which these parties have collected on behalf of the Organization. Until such time as the contracting party informs the Organization that funds held in these accounts represent income belonging to the Organization, the balance remaining in the accounts is not recognized as income.</w:t>
      </w:r>
    </w:p>
    <w:p w:rsidR="000520E5" w:rsidRPr="00901633" w:rsidRDefault="000520E5" w:rsidP="00901633">
      <w:pPr>
        <w:jc w:val="both"/>
        <w:rPr>
          <w:rFonts w:ascii="Arial" w:hAnsi="Arial" w:cs="Arial"/>
          <w:sz w:val="22"/>
          <w:szCs w:val="22"/>
        </w:rPr>
      </w:pPr>
    </w:p>
    <w:p w:rsidR="00442F97" w:rsidRPr="00901633" w:rsidRDefault="00442F97" w:rsidP="00901633">
      <w:pPr>
        <w:jc w:val="both"/>
        <w:rPr>
          <w:rFonts w:ascii="Arial" w:hAnsi="Arial" w:cs="Arial"/>
          <w:sz w:val="22"/>
          <w:szCs w:val="22"/>
        </w:rPr>
      </w:pPr>
    </w:p>
    <w:p w:rsidR="000C1D42" w:rsidRPr="00901633" w:rsidRDefault="000C1D42" w:rsidP="00901633">
      <w:pPr>
        <w:pStyle w:val="StyleHeading211ptNotBoldNotItalicAllcaps"/>
        <w:spacing w:before="0" w:after="0"/>
        <w:rPr>
          <w:szCs w:val="22"/>
        </w:rPr>
      </w:pPr>
      <w:r w:rsidRPr="00901633">
        <w:rPr>
          <w:szCs w:val="22"/>
        </w:rPr>
        <w:t>Note 1</w:t>
      </w:r>
      <w:r w:rsidR="00CF44A9" w:rsidRPr="00901633">
        <w:rPr>
          <w:szCs w:val="22"/>
        </w:rPr>
        <w:t>8</w:t>
      </w:r>
      <w:r w:rsidR="00D90C0B" w:rsidRPr="00901633">
        <w:rPr>
          <w:szCs w:val="22"/>
        </w:rPr>
        <w:t>:</w:t>
      </w:r>
      <w:r w:rsidR="0087204A" w:rsidRPr="00901633">
        <w:rPr>
          <w:szCs w:val="22"/>
        </w:rPr>
        <w:tab/>
      </w:r>
      <w:r w:rsidRPr="00901633">
        <w:rPr>
          <w:szCs w:val="22"/>
        </w:rPr>
        <w:t xml:space="preserve">Contingent </w:t>
      </w:r>
      <w:r w:rsidR="00A81A08" w:rsidRPr="00901633">
        <w:rPr>
          <w:szCs w:val="22"/>
        </w:rPr>
        <w:t xml:space="preserve">assets and </w:t>
      </w:r>
      <w:r w:rsidRPr="00901633">
        <w:rPr>
          <w:szCs w:val="22"/>
        </w:rPr>
        <w:t>liabilities</w:t>
      </w:r>
    </w:p>
    <w:p w:rsidR="000C1D42" w:rsidRPr="00901633" w:rsidRDefault="000C1D42" w:rsidP="00901633">
      <w:pPr>
        <w:jc w:val="both"/>
        <w:rPr>
          <w:rFonts w:ascii="Arial" w:hAnsi="Arial" w:cs="Arial"/>
          <w:sz w:val="22"/>
          <w:szCs w:val="22"/>
        </w:rPr>
      </w:pPr>
    </w:p>
    <w:p w:rsidR="00A758D9" w:rsidRDefault="00420690" w:rsidP="00901633">
      <w:pPr>
        <w:pStyle w:val="Style3"/>
        <w:spacing w:after="0"/>
      </w:pPr>
      <w:r w:rsidRPr="00901633">
        <w:rPr>
          <w:szCs w:val="22"/>
        </w:rPr>
        <w:t xml:space="preserve">Several </w:t>
      </w:r>
      <w:r w:rsidR="00212924" w:rsidRPr="00901633">
        <w:rPr>
          <w:szCs w:val="22"/>
        </w:rPr>
        <w:t xml:space="preserve">members of </w:t>
      </w:r>
      <w:r w:rsidRPr="00901633">
        <w:rPr>
          <w:szCs w:val="22"/>
        </w:rPr>
        <w:t>WIPO personnel</w:t>
      </w:r>
      <w:r>
        <w:t xml:space="preserve"> are in dispute with the Organization</w:t>
      </w:r>
      <w:r w:rsidR="001C1B02">
        <w:t xml:space="preserve">. Cases before the WIPO Appeal Board (WAB) and the ILO Administrative Tribunal (ILOAT) for which provisions have been </w:t>
      </w:r>
      <w:r w:rsidR="00B51010">
        <w:t>made are reflected in Note 16</w:t>
      </w:r>
      <w:r w:rsidR="001C1B02">
        <w:t xml:space="preserve">. No provision has been made for certain other </w:t>
      </w:r>
      <w:r w:rsidR="00B51010">
        <w:t>cases before the WAB or the ILOAT where</w:t>
      </w:r>
      <w:r w:rsidR="001C1B02">
        <w:t xml:space="preserve"> legal advice indicates it is not probable that a liability will </w:t>
      </w:r>
      <w:r w:rsidR="001C1B02">
        <w:lastRenderedPageBreak/>
        <w:t>arise. The estimated value of contingent liab</w:t>
      </w:r>
      <w:r w:rsidR="000A1B3F">
        <w:t>ilities for possible payments</w:t>
      </w:r>
      <w:r w:rsidR="00890251">
        <w:t xml:space="preserve"> by the Organization</w:t>
      </w:r>
      <w:r w:rsidR="000A1B3F">
        <w:t xml:space="preserve"> for claims</w:t>
      </w:r>
      <w:r w:rsidR="00890251">
        <w:t xml:space="preserve"> arising</w:t>
      </w:r>
      <w:r w:rsidR="001C1B02">
        <w:t xml:space="preserve"> from</w:t>
      </w:r>
      <w:r w:rsidR="007536B6">
        <w:t xml:space="preserve"> these cases is 1,155,000</w:t>
      </w:r>
      <w:r w:rsidR="000A1B3F">
        <w:t xml:space="preserve"> Swiss francs</w:t>
      </w:r>
      <w:r w:rsidR="00B51010">
        <w:t xml:space="preserve"> at the reporting date</w:t>
      </w:r>
      <w:r w:rsidR="000A1B3F">
        <w:t xml:space="preserve">. </w:t>
      </w:r>
      <w:r>
        <w:t xml:space="preserve"> </w:t>
      </w:r>
      <w:r w:rsidR="000A1B3F">
        <w:t>Personnel also have</w:t>
      </w:r>
      <w:r>
        <w:t xml:space="preserve"> cases before the</w:t>
      </w:r>
      <w:r w:rsidR="00890251">
        <w:t xml:space="preserve"> WIPO</w:t>
      </w:r>
      <w:r>
        <w:t xml:space="preserve"> Joint Advisory Committee</w:t>
      </w:r>
      <w:r w:rsidR="000A1B3F">
        <w:t>,</w:t>
      </w:r>
      <w:r w:rsidR="00890251">
        <w:t xml:space="preserve"> the WIPO</w:t>
      </w:r>
      <w:r w:rsidR="000A1B3F">
        <w:t xml:space="preserve"> </w:t>
      </w:r>
      <w:r>
        <w:t>Joint Grievance Panel</w:t>
      </w:r>
      <w:r w:rsidR="000A1B3F">
        <w:t xml:space="preserve"> or which have the status of Requests for Review</w:t>
      </w:r>
      <w:r>
        <w:t>.</w:t>
      </w:r>
      <w:r w:rsidR="00890251">
        <w:t xml:space="preserve"> </w:t>
      </w:r>
      <w:r>
        <w:t xml:space="preserve"> </w:t>
      </w:r>
      <w:r w:rsidR="00890251">
        <w:t>For these cases the amount of any claim is yet to be confirmed</w:t>
      </w:r>
      <w:r w:rsidR="00B51010">
        <w:t xml:space="preserve">, and therefore no provision is recognized. </w:t>
      </w:r>
      <w:r w:rsidR="00A758D9">
        <w:t>The estimated value of contingent liabilities</w:t>
      </w:r>
      <w:r w:rsidR="00B51010">
        <w:t xml:space="preserve"> for possible settlement payments by the Organization arising from these cases</w:t>
      </w:r>
      <w:r w:rsidR="00A758D9">
        <w:t xml:space="preserve"> </w:t>
      </w:r>
      <w:r w:rsidR="004446DA">
        <w:t xml:space="preserve">is </w:t>
      </w:r>
      <w:r w:rsidR="007536B6">
        <w:t>170,000</w:t>
      </w:r>
      <w:r w:rsidR="009A638E" w:rsidRPr="005B2622">
        <w:t xml:space="preserve"> Swiss francs</w:t>
      </w:r>
      <w:r w:rsidR="00A758D9">
        <w:t xml:space="preserve"> at the reporting date.  </w:t>
      </w:r>
    </w:p>
    <w:p w:rsidR="00A758D9" w:rsidRDefault="00A758D9" w:rsidP="007C6D77">
      <w:pPr>
        <w:pStyle w:val="Style3"/>
        <w:spacing w:after="0"/>
      </w:pPr>
    </w:p>
    <w:p w:rsidR="00CB100C" w:rsidRPr="00CB100C" w:rsidRDefault="00CB100C" w:rsidP="007C6D77">
      <w:pPr>
        <w:pStyle w:val="Style3"/>
        <w:spacing w:after="0"/>
      </w:pPr>
      <w:r w:rsidRPr="00E867BA">
        <w:t xml:space="preserve">The Organization has no material unrecognized </w:t>
      </w:r>
      <w:r w:rsidR="003507A3" w:rsidRPr="00E867BA">
        <w:t>contractual</w:t>
      </w:r>
      <w:r w:rsidRPr="00E867BA">
        <w:t xml:space="preserve"> commitments.</w:t>
      </w:r>
      <w:r w:rsidR="005640D9" w:rsidRPr="00E867BA">
        <w:t xml:space="preserve"> </w:t>
      </w:r>
      <w:r w:rsidR="006B2118">
        <w:t>As at December 31, </w:t>
      </w:r>
      <w:r w:rsidR="000B76DB" w:rsidRPr="00E867BA">
        <w:t>2012</w:t>
      </w:r>
      <w:r w:rsidR="000D4C30" w:rsidRPr="00E867BA">
        <w:t>, o</w:t>
      </w:r>
      <w:r w:rsidR="005640D9" w:rsidRPr="00E867BA">
        <w:t xml:space="preserve">utstanding contracts for the construction of the </w:t>
      </w:r>
      <w:r w:rsidR="000D4C30" w:rsidRPr="00E867BA">
        <w:t>N</w:t>
      </w:r>
      <w:r w:rsidR="005640D9" w:rsidRPr="00E867BA">
        <w:t xml:space="preserve">ew </w:t>
      </w:r>
      <w:r w:rsidR="000D4C30" w:rsidRPr="00E867BA">
        <w:t>C</w:t>
      </w:r>
      <w:r w:rsidR="00901633" w:rsidRPr="00E867BA">
        <w:t xml:space="preserve">onference </w:t>
      </w:r>
      <w:r w:rsidR="000D4C30" w:rsidRPr="00E867BA">
        <w:t>H</w:t>
      </w:r>
      <w:r w:rsidR="00901633" w:rsidRPr="00E867BA">
        <w:t>all</w:t>
      </w:r>
      <w:r w:rsidR="005640D9" w:rsidRPr="00E867BA">
        <w:t xml:space="preserve"> totaled </w:t>
      </w:r>
      <w:r w:rsidR="00E867BA" w:rsidRPr="00E867BA">
        <w:t>26.3</w:t>
      </w:r>
      <w:r w:rsidR="00901633" w:rsidRPr="00E867BA">
        <w:t xml:space="preserve"> million Swiss francs</w:t>
      </w:r>
      <w:r w:rsidR="005640D9" w:rsidRPr="00E867BA">
        <w:t>.</w:t>
      </w:r>
    </w:p>
    <w:p w:rsidR="00C079AC" w:rsidRDefault="00C079AC" w:rsidP="007C6D77">
      <w:pPr>
        <w:pStyle w:val="Style3"/>
        <w:spacing w:after="0"/>
      </w:pPr>
    </w:p>
    <w:p w:rsidR="009A638E" w:rsidRDefault="00C079AC" w:rsidP="007C6D77">
      <w:pPr>
        <w:pStyle w:val="Style3"/>
        <w:spacing w:after="0"/>
      </w:pPr>
      <w:r w:rsidRPr="00085379">
        <w:t xml:space="preserve">WIPO is engaged in negotiations with the principal contractor involved with the construction of the </w:t>
      </w:r>
      <w:r w:rsidR="009A638E" w:rsidRPr="00085379">
        <w:t>N</w:t>
      </w:r>
      <w:r w:rsidRPr="00085379">
        <w:t xml:space="preserve">ew </w:t>
      </w:r>
      <w:r w:rsidR="009A638E" w:rsidRPr="00085379">
        <w:t>B</w:t>
      </w:r>
      <w:r w:rsidRPr="00085379">
        <w:t>uilding</w:t>
      </w:r>
      <w:r w:rsidR="00085379" w:rsidRPr="00085379">
        <w:t xml:space="preserve"> and the New Conference Hall</w:t>
      </w:r>
      <w:r w:rsidRPr="00085379">
        <w:t xml:space="preserve"> regarding the late delivery of parts of the building</w:t>
      </w:r>
      <w:r w:rsidR="00085379" w:rsidRPr="00085379">
        <w:t>s</w:t>
      </w:r>
      <w:r w:rsidRPr="00085379">
        <w:t xml:space="preserve">. It is </w:t>
      </w:r>
      <w:r w:rsidR="00085379" w:rsidRPr="00085379">
        <w:t>as yet too early to quantify all indemnities</w:t>
      </w:r>
      <w:r w:rsidRPr="00085379">
        <w:t xml:space="preserve"> to be paid to the Organization</w:t>
      </w:r>
      <w:r w:rsidR="00085379">
        <w:t>, although some payments have been agreed during 2012</w:t>
      </w:r>
      <w:r w:rsidRPr="00085379">
        <w:t>.</w:t>
      </w:r>
    </w:p>
    <w:p w:rsidR="009A638E" w:rsidRDefault="009A638E" w:rsidP="007C6D77">
      <w:pPr>
        <w:pStyle w:val="Style3"/>
        <w:spacing w:after="0"/>
      </w:pPr>
    </w:p>
    <w:p w:rsidR="009A638E" w:rsidRPr="00442F97" w:rsidRDefault="009A638E" w:rsidP="007C6D77">
      <w:pPr>
        <w:pStyle w:val="Style3"/>
        <w:spacing w:after="0"/>
        <w:rPr>
          <w:szCs w:val="22"/>
        </w:rPr>
      </w:pPr>
      <w:r w:rsidRPr="00D43FF4">
        <w:t xml:space="preserve">Following </w:t>
      </w:r>
      <w:r w:rsidR="00477856" w:rsidRPr="00D43FF4">
        <w:t xml:space="preserve">the break out of a fire in the A. </w:t>
      </w:r>
      <w:proofErr w:type="spellStart"/>
      <w:r w:rsidR="00477856" w:rsidRPr="00D43FF4">
        <w:t>Bogsch</w:t>
      </w:r>
      <w:proofErr w:type="spellEnd"/>
      <w:r w:rsidR="00477856" w:rsidRPr="00D43FF4">
        <w:t xml:space="preserve"> Building on October 27, 2011, the Organization suffered both direct costs related to </w:t>
      </w:r>
      <w:proofErr w:type="gramStart"/>
      <w:r w:rsidR="00477856" w:rsidRPr="00D43FF4">
        <w:t>repair,</w:t>
      </w:r>
      <w:proofErr w:type="gramEnd"/>
      <w:r w:rsidR="00477856" w:rsidRPr="00D43FF4">
        <w:t xml:space="preserve"> replacement and clean up expenses, and also costs related to th</w:t>
      </w:r>
      <w:r w:rsidR="00085379" w:rsidRPr="00D43FF4">
        <w:t>e postponement of a meeting</w:t>
      </w:r>
      <w:r w:rsidR="00477856" w:rsidRPr="00D43FF4">
        <w:t>.</w:t>
      </w:r>
      <w:r w:rsidR="00085379" w:rsidRPr="00D43FF4">
        <w:t xml:space="preserve"> The Organization received reimbursement for the direct costs during 2012. </w:t>
      </w:r>
      <w:r w:rsidR="00477856" w:rsidRPr="00D43FF4">
        <w:t xml:space="preserve"> The Organization is in the process of claiming reimbursement</w:t>
      </w:r>
      <w:r w:rsidR="00085379" w:rsidRPr="00D43FF4">
        <w:t xml:space="preserve"> for costs related to the postponement of a meeting</w:t>
      </w:r>
      <w:r w:rsidR="00D43FF4" w:rsidRPr="00D43FF4">
        <w:t>.</w:t>
      </w:r>
      <w:r w:rsidR="00477856" w:rsidRPr="00D43FF4">
        <w:t xml:space="preserve"> </w:t>
      </w:r>
      <w:r w:rsidR="00901633" w:rsidRPr="00D43FF4">
        <w:t>It is as yet too early to quantify the total reimbursement to be paid to the Organization</w:t>
      </w:r>
      <w:r w:rsidR="00477856" w:rsidRPr="00D43FF4">
        <w:rPr>
          <w:szCs w:val="22"/>
        </w:rPr>
        <w:t>.</w:t>
      </w:r>
    </w:p>
    <w:p w:rsidR="009A638E" w:rsidRPr="00442F97" w:rsidRDefault="009A638E" w:rsidP="007C6D77">
      <w:pPr>
        <w:pStyle w:val="Style3"/>
        <w:spacing w:after="0"/>
        <w:rPr>
          <w:szCs w:val="22"/>
        </w:rPr>
      </w:pPr>
    </w:p>
    <w:p w:rsidR="00513F6A" w:rsidRDefault="00513F6A" w:rsidP="00D602C9">
      <w:pPr>
        <w:pStyle w:val="style30"/>
        <w:spacing w:after="0"/>
      </w:pPr>
      <w:r w:rsidRPr="00513F6A">
        <w:t>WIPO is a Partner Organization in the International Computing Centre (ICC), the inter-organization facility created to provide information technology services. Under the terms of the ICC Mandate, Partner Organizations shall be responsible for their share of certain liabilities arising from ICC’s operations.</w:t>
      </w:r>
    </w:p>
    <w:p w:rsidR="00D602C9" w:rsidRPr="00D602C9" w:rsidRDefault="00D602C9" w:rsidP="00D602C9">
      <w:pPr>
        <w:pStyle w:val="style30"/>
        <w:spacing w:after="0"/>
      </w:pPr>
    </w:p>
    <w:p w:rsidR="00D602C9" w:rsidRPr="00D602C9" w:rsidRDefault="00D602C9" w:rsidP="00D602C9">
      <w:pPr>
        <w:rPr>
          <w:rFonts w:ascii="Arial" w:hAnsi="Arial" w:cs="Arial"/>
          <w:sz w:val="22"/>
          <w:szCs w:val="22"/>
        </w:rPr>
      </w:pPr>
      <w:r w:rsidRPr="00D602C9">
        <w:rPr>
          <w:rFonts w:ascii="Arial" w:hAnsi="Arial" w:cs="Arial"/>
          <w:sz w:val="22"/>
          <w:szCs w:val="22"/>
        </w:rPr>
        <w:t>WIPO has contractual commitments relating to non-cancellable lease arrangements. These are detailed in</w:t>
      </w:r>
      <w:r w:rsidR="00240646">
        <w:rPr>
          <w:rFonts w:ascii="Arial" w:hAnsi="Arial" w:cs="Arial"/>
          <w:sz w:val="22"/>
          <w:szCs w:val="22"/>
        </w:rPr>
        <w:t xml:space="preserve"> Note 19</w:t>
      </w:r>
      <w:r w:rsidRPr="00D602C9">
        <w:rPr>
          <w:rFonts w:ascii="Arial" w:hAnsi="Arial" w:cs="Arial"/>
          <w:sz w:val="22"/>
          <w:szCs w:val="22"/>
        </w:rPr>
        <w:t>.</w:t>
      </w:r>
    </w:p>
    <w:p w:rsidR="00513F6A" w:rsidRPr="00D602C9" w:rsidRDefault="00513F6A" w:rsidP="00D602C9">
      <w:pPr>
        <w:pStyle w:val="Style3"/>
        <w:spacing w:after="0"/>
        <w:rPr>
          <w:rFonts w:cs="Arial"/>
          <w:szCs w:val="22"/>
        </w:rPr>
      </w:pPr>
    </w:p>
    <w:p w:rsidR="00EA3B36" w:rsidRPr="006D0C30" w:rsidRDefault="00C10E18" w:rsidP="004E7EB2">
      <w:pPr>
        <w:pStyle w:val="StyleHeading211ptNotBoldNotItalicAllcaps"/>
        <w:spacing w:before="0" w:after="0"/>
        <w:rPr>
          <w:szCs w:val="22"/>
        </w:rPr>
      </w:pPr>
      <w:r w:rsidRPr="006D0C30">
        <w:rPr>
          <w:szCs w:val="22"/>
        </w:rPr>
        <w:t xml:space="preserve">Note </w:t>
      </w:r>
      <w:r w:rsidR="000C1D42" w:rsidRPr="006D0C30">
        <w:rPr>
          <w:szCs w:val="22"/>
        </w:rPr>
        <w:t>1</w:t>
      </w:r>
      <w:r w:rsidR="00CF44A9" w:rsidRPr="006D0C30">
        <w:rPr>
          <w:szCs w:val="22"/>
        </w:rPr>
        <w:t>9</w:t>
      </w:r>
      <w:r w:rsidR="00D90C0B" w:rsidRPr="006D0C30">
        <w:rPr>
          <w:szCs w:val="22"/>
        </w:rPr>
        <w:t>:</w:t>
      </w:r>
      <w:r w:rsidR="0087204A" w:rsidRPr="006D0C30">
        <w:rPr>
          <w:szCs w:val="22"/>
        </w:rPr>
        <w:tab/>
      </w:r>
      <w:r w:rsidRPr="006D0C30">
        <w:rPr>
          <w:szCs w:val="22"/>
        </w:rPr>
        <w:t>Leases</w:t>
      </w:r>
      <w:r w:rsidR="00A75C3B" w:rsidRPr="006D0C30">
        <w:rPr>
          <w:szCs w:val="22"/>
        </w:rPr>
        <w:t xml:space="preserve"> </w:t>
      </w:r>
      <w:r w:rsidR="00C16965" w:rsidRPr="006D0C30">
        <w:rPr>
          <w:szCs w:val="22"/>
        </w:rPr>
        <w:t>–</w:t>
      </w:r>
      <w:r w:rsidR="00C631B1" w:rsidRPr="006D0C30">
        <w:rPr>
          <w:szCs w:val="22"/>
        </w:rPr>
        <w:t xml:space="preserve"> </w:t>
      </w:r>
      <w:r w:rsidR="00EA3B36" w:rsidRPr="006D0C30">
        <w:rPr>
          <w:szCs w:val="22"/>
        </w:rPr>
        <w:t>W</w:t>
      </w:r>
      <w:r w:rsidR="00C16965" w:rsidRPr="006D0C30">
        <w:rPr>
          <w:szCs w:val="22"/>
        </w:rPr>
        <w:t>ipo as Lessee</w:t>
      </w:r>
    </w:p>
    <w:p w:rsidR="00C10E18" w:rsidRPr="006D0C30" w:rsidRDefault="00C10E18" w:rsidP="004E7EB2">
      <w:pPr>
        <w:jc w:val="both"/>
        <w:rPr>
          <w:rFonts w:ascii="Arial" w:hAnsi="Arial" w:cs="Arial"/>
          <w:b/>
          <w:sz w:val="22"/>
          <w:szCs w:val="22"/>
        </w:rPr>
      </w:pPr>
    </w:p>
    <w:p w:rsidR="00740763" w:rsidRDefault="00EA3B36" w:rsidP="007C6D77">
      <w:pPr>
        <w:pStyle w:val="Style3"/>
        <w:spacing w:after="0"/>
      </w:pPr>
      <w:r w:rsidRPr="006D0C30">
        <w:rPr>
          <w:rFonts w:cs="Arial"/>
          <w:szCs w:val="22"/>
        </w:rPr>
        <w:t>The Organization has a number of leases providing additional space, storage and specialized facilities</w:t>
      </w:r>
      <w:r w:rsidRPr="00966D11">
        <w:t xml:space="preserve"> in Geneva.  In addition, the Organization leases space</w:t>
      </w:r>
      <w:r w:rsidR="00857F03">
        <w:t xml:space="preserve"> for its liaison offices in New </w:t>
      </w:r>
      <w:r w:rsidRPr="00966D11">
        <w:t>York</w:t>
      </w:r>
      <w:r w:rsidR="00686D94">
        <w:t>,</w:t>
      </w:r>
      <w:r w:rsidR="001858F6" w:rsidRPr="00966D11">
        <w:t xml:space="preserve"> </w:t>
      </w:r>
      <w:r w:rsidR="00FA671B" w:rsidRPr="00966D11">
        <w:t>Rio d</w:t>
      </w:r>
      <w:r w:rsidR="00A61F9B" w:rsidRPr="00966D11">
        <w:t>e</w:t>
      </w:r>
      <w:r w:rsidR="00FA671B" w:rsidRPr="00966D11">
        <w:t xml:space="preserve"> Janeiro</w:t>
      </w:r>
      <w:r w:rsidR="00D43FF4">
        <w:t xml:space="preserve">, </w:t>
      </w:r>
      <w:r w:rsidRPr="00966D11">
        <w:t>Singapore</w:t>
      </w:r>
      <w:r w:rsidR="00D43FF4">
        <w:t xml:space="preserve"> and Tokyo</w:t>
      </w:r>
      <w:r w:rsidRPr="00966D11">
        <w:t xml:space="preserve">.  The majority of these leases are cancellable by the Organization </w:t>
      </w:r>
      <w:r w:rsidR="001858F6" w:rsidRPr="00966D11">
        <w:t>subject to</w:t>
      </w:r>
      <w:r w:rsidRPr="00966D11">
        <w:t xml:space="preserve"> notification periods specified in the agreement</w:t>
      </w:r>
      <w:r w:rsidR="00932A4C" w:rsidRPr="00966D11">
        <w:t>s</w:t>
      </w:r>
      <w:r w:rsidRPr="00966D11">
        <w:t xml:space="preserve">.  The Organization leases space </w:t>
      </w:r>
      <w:r w:rsidR="000D688D">
        <w:t>for its</w:t>
      </w:r>
      <w:r w:rsidRPr="00966D11">
        <w:t xml:space="preserve"> New York</w:t>
      </w:r>
      <w:r w:rsidR="000D688D">
        <w:t xml:space="preserve"> liaison office</w:t>
      </w:r>
      <w:r w:rsidRPr="00966D11">
        <w:t xml:space="preserve"> </w:t>
      </w:r>
      <w:r w:rsidR="001858F6" w:rsidRPr="00966D11">
        <w:t>under the terms of</w:t>
      </w:r>
      <w:r w:rsidR="000D688D">
        <w:t xml:space="preserve"> a</w:t>
      </w:r>
      <w:r w:rsidR="001858F6" w:rsidRPr="00966D11">
        <w:t xml:space="preserve"> </w:t>
      </w:r>
      <w:r w:rsidR="00FF2FB5" w:rsidRPr="00966D11">
        <w:t xml:space="preserve">non-cancellable </w:t>
      </w:r>
      <w:r w:rsidR="001858F6" w:rsidRPr="00966D11">
        <w:t>lease agreement which ha</w:t>
      </w:r>
      <w:r w:rsidR="000D688D">
        <w:t>s</w:t>
      </w:r>
      <w:r w:rsidRPr="00966D11">
        <w:t xml:space="preserve"> outstanding payments </w:t>
      </w:r>
      <w:r w:rsidR="001858F6" w:rsidRPr="00966D11">
        <w:t>to</w:t>
      </w:r>
      <w:r w:rsidRPr="00966D11">
        <w:t xml:space="preserve"> the end of the lease period as follows:</w:t>
      </w:r>
    </w:p>
    <w:p w:rsidR="00C10E18" w:rsidRPr="00966D11" w:rsidRDefault="00C10E18" w:rsidP="007C6D77">
      <w:pPr>
        <w:pStyle w:val="Style3"/>
        <w:spacing w:after="0"/>
      </w:pPr>
    </w:p>
    <w:p w:rsidR="00C10E18" w:rsidRPr="00891BAE" w:rsidRDefault="008D43D8" w:rsidP="007C6D77">
      <w:pPr>
        <w:pStyle w:val="Style3"/>
        <w:spacing w:after="0"/>
      </w:pPr>
      <w:r w:rsidRPr="008D43D8">
        <w:t xml:space="preserve"> </w:t>
      </w:r>
      <w:r w:rsidR="00BC7CD6">
        <w:rPr>
          <w:noProof/>
        </w:rPr>
        <w:drawing>
          <wp:inline distT="0" distB="0" distL="0" distR="0" wp14:anchorId="363DE011" wp14:editId="7EC9CF61">
            <wp:extent cx="5886450" cy="1428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886450" cy="1428750"/>
                    </a:xfrm>
                    <a:prstGeom prst="rect">
                      <a:avLst/>
                    </a:prstGeom>
                    <a:noFill/>
                    <a:ln>
                      <a:noFill/>
                    </a:ln>
                  </pic:spPr>
                </pic:pic>
              </a:graphicData>
            </a:graphic>
          </wp:inline>
        </w:drawing>
      </w:r>
    </w:p>
    <w:p w:rsidR="002947B5" w:rsidRPr="006D0C30" w:rsidRDefault="00164B13" w:rsidP="00901633">
      <w:pPr>
        <w:pStyle w:val="Style3"/>
        <w:spacing w:after="0"/>
        <w:rPr>
          <w:szCs w:val="22"/>
        </w:rPr>
      </w:pPr>
      <w:r>
        <w:t xml:space="preserve">The Organization has no outstanding leases qualifying as finance leases at the reporting date.  The total amount of lease payments recognized as an expense in the reporting period </w:t>
      </w:r>
      <w:r w:rsidRPr="00504CFA">
        <w:t>was</w:t>
      </w:r>
      <w:r w:rsidR="00E050E6" w:rsidRPr="00504CFA">
        <w:t xml:space="preserve"> </w:t>
      </w:r>
      <w:r w:rsidR="006B2118">
        <w:t>2.1 </w:t>
      </w:r>
      <w:r w:rsidR="000B76DB">
        <w:t>million</w:t>
      </w:r>
      <w:r w:rsidR="00FE6124">
        <w:t xml:space="preserve"> </w:t>
      </w:r>
      <w:r w:rsidR="0024508E">
        <w:t>Swiss francs</w:t>
      </w:r>
      <w:r>
        <w:t xml:space="preserve"> [</w:t>
      </w:r>
      <w:r w:rsidR="008D43D8">
        <w:t>7</w:t>
      </w:r>
      <w:r w:rsidR="000B76DB">
        <w:t>.1 million</w:t>
      </w:r>
      <w:r w:rsidR="0024508E">
        <w:t xml:space="preserve"> Swiss francs in 201</w:t>
      </w:r>
      <w:r w:rsidR="008D43D8">
        <w:t>1</w:t>
      </w:r>
      <w:r>
        <w:t>].</w:t>
      </w:r>
    </w:p>
    <w:p w:rsidR="005C25F4" w:rsidRPr="006D0C30" w:rsidRDefault="005C25F4" w:rsidP="00901633">
      <w:pPr>
        <w:pStyle w:val="STYLETITRENOTES"/>
        <w:rPr>
          <w:b w:val="0"/>
          <w:szCs w:val="22"/>
        </w:rPr>
      </w:pPr>
    </w:p>
    <w:p w:rsidR="00D65D40" w:rsidRPr="006D0C30" w:rsidRDefault="00D65D40" w:rsidP="00901633">
      <w:pPr>
        <w:pStyle w:val="STYLETITRENOTES"/>
        <w:rPr>
          <w:b w:val="0"/>
          <w:szCs w:val="22"/>
        </w:rPr>
      </w:pPr>
    </w:p>
    <w:p w:rsidR="0070385A" w:rsidRPr="00901633" w:rsidRDefault="00A74529" w:rsidP="00901633">
      <w:pPr>
        <w:pStyle w:val="StyleHeading211ptNotBoldNotItalicAllcaps"/>
        <w:spacing w:before="0" w:after="0"/>
        <w:rPr>
          <w:szCs w:val="22"/>
        </w:rPr>
      </w:pPr>
      <w:r>
        <w:rPr>
          <w:szCs w:val="22"/>
        </w:rPr>
        <w:br w:type="page"/>
      </w:r>
      <w:r w:rsidR="0070385A" w:rsidRPr="00901633">
        <w:rPr>
          <w:szCs w:val="22"/>
        </w:rPr>
        <w:lastRenderedPageBreak/>
        <w:t xml:space="preserve">Note </w:t>
      </w:r>
      <w:r w:rsidR="000C1D42" w:rsidRPr="00901633">
        <w:rPr>
          <w:szCs w:val="22"/>
        </w:rPr>
        <w:t>20</w:t>
      </w:r>
      <w:r w:rsidR="00D90C0B" w:rsidRPr="00901633">
        <w:rPr>
          <w:szCs w:val="22"/>
        </w:rPr>
        <w:t>:</w:t>
      </w:r>
      <w:r w:rsidR="0087204A" w:rsidRPr="00901633">
        <w:rPr>
          <w:szCs w:val="22"/>
        </w:rPr>
        <w:tab/>
      </w:r>
      <w:r w:rsidR="0070385A" w:rsidRPr="00901633">
        <w:rPr>
          <w:szCs w:val="22"/>
        </w:rPr>
        <w:t>Related Party Transactions</w:t>
      </w:r>
    </w:p>
    <w:p w:rsidR="0070385A" w:rsidRPr="00901633" w:rsidRDefault="0070385A" w:rsidP="00901633">
      <w:pPr>
        <w:jc w:val="both"/>
        <w:rPr>
          <w:rFonts w:ascii="Arial" w:hAnsi="Arial" w:cs="Arial"/>
          <w:b/>
          <w:sz w:val="22"/>
          <w:szCs w:val="22"/>
        </w:rPr>
      </w:pPr>
    </w:p>
    <w:p w:rsidR="00FD0582" w:rsidRPr="00FD0582" w:rsidRDefault="0070385A" w:rsidP="00901633">
      <w:pPr>
        <w:pStyle w:val="Style3"/>
        <w:spacing w:after="0"/>
      </w:pPr>
      <w:r w:rsidRPr="00901633">
        <w:rPr>
          <w:szCs w:val="22"/>
        </w:rPr>
        <w:t>The Organization is governed by the WIPO Assembly</w:t>
      </w:r>
      <w:r w:rsidRPr="00562574">
        <w:t xml:space="preserve"> composed of representatives of all member countries.  They do not receive remuneration from the Organization. The Organization is managed by a Director</w:t>
      </w:r>
      <w:r w:rsidR="00A621A1">
        <w:t xml:space="preserve"> </w:t>
      </w:r>
      <w:r w:rsidRPr="00562574">
        <w:t>General and by Deputy and Assistant Director</w:t>
      </w:r>
      <w:r w:rsidR="00A06680" w:rsidRPr="00562574">
        <w:t>s</w:t>
      </w:r>
      <w:r w:rsidR="00A621A1">
        <w:t xml:space="preserve"> </w:t>
      </w:r>
      <w:r w:rsidRPr="00562574">
        <w:t>General and officers</w:t>
      </w:r>
      <w:r w:rsidR="00A06680" w:rsidRPr="00562574">
        <w:t xml:space="preserve"> (key management personnel)</w:t>
      </w:r>
      <w:r w:rsidR="00562574" w:rsidRPr="00562574">
        <w:t xml:space="preserve"> </w:t>
      </w:r>
      <w:r w:rsidR="00121EEF">
        <w:t>who</w:t>
      </w:r>
      <w:r w:rsidR="00A06680" w:rsidRPr="00562574">
        <w:t xml:space="preserve"> are remunerated by the Organization.</w:t>
      </w:r>
      <w:r w:rsidR="00FD0582">
        <w:t xml:space="preserve"> </w:t>
      </w:r>
      <w:r w:rsidR="00FD0582" w:rsidRPr="00FD0582">
        <w:t xml:space="preserve">The aggregate remuneration paid to key management personnel includes salaries, allowances, statutory travel and other entitlements paid in accordance with the Staff </w:t>
      </w:r>
      <w:r w:rsidR="00CE2A32">
        <w:t xml:space="preserve">Rules and </w:t>
      </w:r>
      <w:r w:rsidR="00FD0582" w:rsidRPr="00FD0582">
        <w:t>Regulations</w:t>
      </w:r>
      <w:r w:rsidR="005D2F9D">
        <w:t xml:space="preserve"> and applicable to all staff</w:t>
      </w:r>
      <w:r w:rsidR="00FD0582" w:rsidRPr="00FD0582">
        <w:t xml:space="preserve">. </w:t>
      </w:r>
      <w:r w:rsidR="005D2F9D">
        <w:t>In addition, the Director</w:t>
      </w:r>
      <w:r w:rsidR="00A621A1">
        <w:t xml:space="preserve"> </w:t>
      </w:r>
      <w:r w:rsidR="005D2F9D">
        <w:t xml:space="preserve">General, deputy directors general and assistant directors general receive representation allowances.  </w:t>
      </w:r>
      <w:r w:rsidR="00FD0582" w:rsidRPr="00FD0582">
        <w:t>Key management personnel are members of the</w:t>
      </w:r>
      <w:r w:rsidR="003354C1">
        <w:t xml:space="preserve"> UNJSPF</w:t>
      </w:r>
      <w:r w:rsidR="00FD0582" w:rsidRPr="00FD0582">
        <w:t xml:space="preserve"> to which the personnel and the </w:t>
      </w:r>
      <w:r w:rsidR="00FD0582">
        <w:t>Organization</w:t>
      </w:r>
      <w:r w:rsidR="00FD0582" w:rsidRPr="00FD0582">
        <w:t xml:space="preserve"> </w:t>
      </w:r>
      <w:proofErr w:type="gramStart"/>
      <w:r w:rsidR="00FD0582" w:rsidRPr="00FD0582">
        <w:t>contributes</w:t>
      </w:r>
      <w:proofErr w:type="gramEnd"/>
      <w:r w:rsidR="00FD0582" w:rsidRPr="00FD0582">
        <w:t xml:space="preserve"> and are also eli</w:t>
      </w:r>
      <w:r w:rsidR="003354C1">
        <w:t>gible for participation in the staff health i</w:t>
      </w:r>
      <w:r w:rsidR="00FD0582" w:rsidRPr="00FD0582">
        <w:t xml:space="preserve">nsurance </w:t>
      </w:r>
      <w:r w:rsidR="003354C1">
        <w:t>s</w:t>
      </w:r>
      <w:r w:rsidR="00FD0582">
        <w:t>cheme</w:t>
      </w:r>
      <w:r w:rsidR="00FD0582" w:rsidRPr="00FD0582">
        <w:t xml:space="preserve"> incl</w:t>
      </w:r>
      <w:r w:rsidR="003354C1">
        <w:t>uding the ASHI</w:t>
      </w:r>
      <w:r w:rsidR="00CE2A32">
        <w:t xml:space="preserve"> </w:t>
      </w:r>
      <w:r w:rsidR="00FD0582" w:rsidRPr="00FD0582">
        <w:t xml:space="preserve">if they meet the eligibility requirements. </w:t>
      </w:r>
    </w:p>
    <w:p w:rsidR="00A06680" w:rsidRPr="00562574" w:rsidRDefault="00A06680" w:rsidP="007C6D77">
      <w:pPr>
        <w:pStyle w:val="Style3"/>
        <w:spacing w:after="0"/>
      </w:pPr>
    </w:p>
    <w:p w:rsidR="00A47EA1" w:rsidRDefault="00A06680" w:rsidP="007C6D77">
      <w:pPr>
        <w:pStyle w:val="Style3"/>
        <w:spacing w:after="0"/>
      </w:pPr>
      <w:r w:rsidRPr="00562574">
        <w:t>The Organization has no ownership interest in associat</w:t>
      </w:r>
      <w:r w:rsidR="00105F7A">
        <w:t>e</w:t>
      </w:r>
      <w:r w:rsidRPr="00562574">
        <w:t xml:space="preserve">s or joint ventures and no controlled entities.  </w:t>
      </w:r>
      <w:r w:rsidR="00A47EA1">
        <w:t xml:space="preserve">WIPO </w:t>
      </w:r>
      <w:r w:rsidR="003354C1">
        <w:t>is a member of the UNJSPF</w:t>
      </w:r>
      <w:r w:rsidR="00A47EA1">
        <w:t xml:space="preserve"> and certain of its current and former staff are members</w:t>
      </w:r>
      <w:r w:rsidR="003354C1">
        <w:t xml:space="preserve"> of WIPO’s CROMPI</w:t>
      </w:r>
      <w:r w:rsidR="00A47EA1">
        <w:t xml:space="preserve">.  The relationship with these two funds is explained in detail in </w:t>
      </w:r>
      <w:r w:rsidR="00650C05">
        <w:t>N</w:t>
      </w:r>
      <w:r w:rsidR="00A47EA1">
        <w:t>ote 1</w:t>
      </w:r>
      <w:r w:rsidR="00C631B1">
        <w:t>2</w:t>
      </w:r>
      <w:r w:rsidR="00A47EA1">
        <w:t xml:space="preserve">. </w:t>
      </w:r>
    </w:p>
    <w:p w:rsidR="00A47EA1" w:rsidRDefault="00A47EA1" w:rsidP="007C6D77">
      <w:pPr>
        <w:pStyle w:val="Style3"/>
        <w:spacing w:after="0"/>
      </w:pPr>
    </w:p>
    <w:p w:rsidR="005175CB" w:rsidRPr="00562574" w:rsidRDefault="00A47EA1" w:rsidP="007C6D77">
      <w:pPr>
        <w:pStyle w:val="Style3"/>
        <w:spacing w:after="0"/>
      </w:pPr>
      <w:r>
        <w:t>T</w:t>
      </w:r>
      <w:r w:rsidR="00A06680" w:rsidRPr="00562574">
        <w:t>he Organization has a relationship with the International Union for the Protection of New Varieties of Plants (UPOV) whereby the Director</w:t>
      </w:r>
      <w:r w:rsidR="00A621A1">
        <w:t xml:space="preserve"> </w:t>
      </w:r>
      <w:r w:rsidR="00A06680" w:rsidRPr="00562574">
        <w:t>General of the Organization serves as Secretary</w:t>
      </w:r>
      <w:r w:rsidR="00F07F9B">
        <w:t xml:space="preserve"> </w:t>
      </w:r>
      <w:r w:rsidR="00A06680" w:rsidRPr="00562574">
        <w:t>General of UPOV.  The Organization is responsible for providing space, personnel administration, financial administration, procurement services and other administrative support to UPOV in accordance with the terms of an agreement between the Organization and UPOV dated November</w:t>
      </w:r>
      <w:r w:rsidR="00F07F9B">
        <w:t xml:space="preserve"> 26,</w:t>
      </w:r>
      <w:r w:rsidR="00A06680" w:rsidRPr="00562574">
        <w:t xml:space="preserve"> 1982.  UPOV reimburses the Organization for the cost of such services </w:t>
      </w:r>
      <w:r w:rsidR="005175CB" w:rsidRPr="00562574">
        <w:t xml:space="preserve">in accordance with the terms of said agreement.  </w:t>
      </w:r>
      <w:r w:rsidR="0070385A" w:rsidRPr="00562574">
        <w:t xml:space="preserve"> </w:t>
      </w:r>
    </w:p>
    <w:p w:rsidR="005175CB" w:rsidRPr="00562574" w:rsidRDefault="005175CB" w:rsidP="007C6D77">
      <w:pPr>
        <w:pStyle w:val="Style3"/>
        <w:spacing w:after="0"/>
      </w:pPr>
    </w:p>
    <w:p w:rsidR="006C7438" w:rsidRPr="00562574" w:rsidRDefault="005175CB" w:rsidP="007C6D77">
      <w:pPr>
        <w:pStyle w:val="Style3"/>
        <w:spacing w:after="0"/>
      </w:pPr>
      <w:r w:rsidRPr="00562574">
        <w:t>The Council of UPOV which serves as UPOV’s governing body consists of the representatives of the contracting parties to the International Convention for the Protection of New Varieties of Plan</w:t>
      </w:r>
      <w:r w:rsidR="001858F6" w:rsidRPr="00562574">
        <w:t>t</w:t>
      </w:r>
      <w:r w:rsidRPr="00562574">
        <w:t>s of December</w:t>
      </w:r>
      <w:r w:rsidR="00F07F9B">
        <w:t xml:space="preserve"> 2,</w:t>
      </w:r>
      <w:r w:rsidRPr="00562574">
        <w:t xml:space="preserve"> 1961, as revised.  In accordance with the Rules and Regulations of UPOV, the office of UPOV</w:t>
      </w:r>
      <w:r w:rsidR="00FF2FB5" w:rsidRPr="00562574">
        <w:t>,</w:t>
      </w:r>
      <w:r w:rsidRPr="00562574">
        <w:t xml:space="preserve"> consisting of the UPOV Secretary</w:t>
      </w:r>
      <w:r w:rsidR="00C44025">
        <w:t xml:space="preserve"> </w:t>
      </w:r>
      <w:r w:rsidRPr="00562574">
        <w:t>General and staff</w:t>
      </w:r>
      <w:r w:rsidR="00932A4C" w:rsidRPr="00562574">
        <w:t>,</w:t>
      </w:r>
      <w:r w:rsidRPr="00562574">
        <w:t xml:space="preserve"> exercises its functions in complete independence of the Organization.</w:t>
      </w:r>
      <w:r w:rsidR="006C7438" w:rsidRPr="00562574">
        <w:t xml:space="preserve">  </w:t>
      </w:r>
    </w:p>
    <w:p w:rsidR="006C7438" w:rsidRPr="00562574" w:rsidRDefault="006C7438" w:rsidP="007C6D77">
      <w:pPr>
        <w:pStyle w:val="Style3"/>
        <w:spacing w:after="0"/>
      </w:pPr>
    </w:p>
    <w:p w:rsidR="0070385A" w:rsidRPr="00562574" w:rsidRDefault="006C7438" w:rsidP="007C6D77">
      <w:pPr>
        <w:pStyle w:val="Style3"/>
        <w:spacing w:after="0"/>
      </w:pPr>
      <w:r w:rsidRPr="00562574">
        <w:t xml:space="preserve">In addition to full reimbursement of all funds disbursed by the Organization on behalf of UPOV, the Organization receives </w:t>
      </w:r>
      <w:r w:rsidR="00DD7004" w:rsidRPr="002510AD">
        <w:t>618 thousand</w:t>
      </w:r>
      <w:r w:rsidR="00477856" w:rsidRPr="002510AD">
        <w:t xml:space="preserve"> Swiss francs</w:t>
      </w:r>
      <w:r w:rsidRPr="002510AD">
        <w:t xml:space="preserve"> per year from UPOV to</w:t>
      </w:r>
      <w:r w:rsidRPr="00562574">
        <w:t xml:space="preserve"> cover the costs of services provided under the agreement between the two organizations. There were no other material transactions with related parties during 20</w:t>
      </w:r>
      <w:r w:rsidR="00562574" w:rsidRPr="00562574">
        <w:t>1</w:t>
      </w:r>
      <w:r w:rsidR="00891BAE">
        <w:t>2</w:t>
      </w:r>
      <w:r w:rsidRPr="00562574">
        <w:t>.</w:t>
      </w:r>
    </w:p>
    <w:p w:rsidR="006C7438" w:rsidRPr="00562574" w:rsidRDefault="006C7438" w:rsidP="007C6D77">
      <w:pPr>
        <w:pStyle w:val="Style3"/>
        <w:spacing w:after="0"/>
      </w:pPr>
    </w:p>
    <w:p w:rsidR="006C7438" w:rsidRPr="00562574" w:rsidRDefault="006C7438" w:rsidP="007C6D77">
      <w:pPr>
        <w:pStyle w:val="Style3"/>
        <w:spacing w:after="0"/>
      </w:pPr>
      <w:r w:rsidRPr="00562574">
        <w:t>Key management personnel and their aggregate remuneration were as follows:</w:t>
      </w:r>
    </w:p>
    <w:p w:rsidR="006C7438" w:rsidRPr="00442F97" w:rsidRDefault="006C7438" w:rsidP="007C6D77">
      <w:pPr>
        <w:pStyle w:val="Style3"/>
        <w:spacing w:after="0"/>
        <w:rPr>
          <w:rFonts w:cs="Arial"/>
          <w:szCs w:val="22"/>
        </w:rPr>
      </w:pPr>
    </w:p>
    <w:p w:rsidR="0032315F" w:rsidRDefault="00BC7CD6" w:rsidP="007C6D77">
      <w:pPr>
        <w:pStyle w:val="Style3"/>
        <w:spacing w:after="0"/>
        <w:rPr>
          <w:szCs w:val="22"/>
        </w:rPr>
      </w:pPr>
      <w:r>
        <w:rPr>
          <w:noProof/>
        </w:rPr>
        <w:drawing>
          <wp:inline distT="0" distB="0" distL="0" distR="0" wp14:anchorId="1F25A8F6" wp14:editId="02CFAE6D">
            <wp:extent cx="5972175" cy="1362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rsidR="001F39EC" w:rsidRPr="001F39EC" w:rsidRDefault="001F39EC" w:rsidP="007C6D77">
      <w:pPr>
        <w:pStyle w:val="Style3"/>
        <w:spacing w:after="0"/>
        <w:rPr>
          <w:szCs w:val="22"/>
        </w:rPr>
      </w:pPr>
    </w:p>
    <w:p w:rsidR="006C7438" w:rsidRPr="00562574" w:rsidRDefault="006C7438" w:rsidP="007C6D77">
      <w:pPr>
        <w:pStyle w:val="Style3"/>
        <w:spacing w:after="0"/>
      </w:pPr>
      <w:r w:rsidRPr="00442F97">
        <w:rPr>
          <w:rFonts w:cs="Arial"/>
          <w:szCs w:val="22"/>
        </w:rPr>
        <w:t>There</w:t>
      </w:r>
      <w:r w:rsidRPr="00562574">
        <w:t xml:space="preserve"> were no loans to key management personnel </w:t>
      </w:r>
      <w:r w:rsidR="001858F6" w:rsidRPr="00562574">
        <w:t>or to</w:t>
      </w:r>
      <w:r w:rsidRPr="00562574">
        <w:t xml:space="preserve"> their close family members which were not available to other categories of staff.  There was no other remuneration </w:t>
      </w:r>
      <w:r w:rsidR="00567497">
        <w:t>or</w:t>
      </w:r>
      <w:r w:rsidRPr="00562574">
        <w:t xml:space="preserve"> compensation to key management personnel </w:t>
      </w:r>
      <w:r w:rsidR="001858F6" w:rsidRPr="00562574">
        <w:t>or to</w:t>
      </w:r>
      <w:r w:rsidRPr="00562574">
        <w:t xml:space="preserve"> their close family members.  </w:t>
      </w:r>
    </w:p>
    <w:p w:rsidR="005175CB" w:rsidRPr="006D0C30" w:rsidRDefault="005175CB" w:rsidP="006D0C30">
      <w:pPr>
        <w:pStyle w:val="Style3"/>
        <w:spacing w:after="0"/>
        <w:rPr>
          <w:rFonts w:cs="Arial"/>
          <w:szCs w:val="22"/>
        </w:rPr>
      </w:pPr>
    </w:p>
    <w:p w:rsidR="00442F97" w:rsidRPr="006D0C30" w:rsidRDefault="00442F97" w:rsidP="006D0C30">
      <w:pPr>
        <w:pStyle w:val="Style3"/>
        <w:spacing w:after="0"/>
        <w:rPr>
          <w:rFonts w:cs="Arial"/>
          <w:szCs w:val="22"/>
        </w:rPr>
      </w:pPr>
    </w:p>
    <w:p w:rsidR="004F5F0C" w:rsidRPr="006D0C30" w:rsidRDefault="005B6328" w:rsidP="006D0C30">
      <w:pPr>
        <w:pStyle w:val="StyleHeading211ptNotBoldNotItalicAllcaps"/>
        <w:spacing w:before="0" w:after="0"/>
        <w:rPr>
          <w:szCs w:val="22"/>
        </w:rPr>
      </w:pPr>
      <w:r w:rsidRPr="006D0C30">
        <w:rPr>
          <w:szCs w:val="22"/>
        </w:rPr>
        <w:lastRenderedPageBreak/>
        <w:t xml:space="preserve">Note </w:t>
      </w:r>
      <w:r w:rsidR="000C1D42" w:rsidRPr="006D0C30">
        <w:rPr>
          <w:szCs w:val="22"/>
        </w:rPr>
        <w:t>21</w:t>
      </w:r>
      <w:r w:rsidR="00D90C0B" w:rsidRPr="006D0C30">
        <w:rPr>
          <w:szCs w:val="22"/>
        </w:rPr>
        <w:t>:</w:t>
      </w:r>
      <w:r w:rsidR="0087204A" w:rsidRPr="006D0C30">
        <w:rPr>
          <w:szCs w:val="22"/>
        </w:rPr>
        <w:tab/>
      </w:r>
      <w:r w:rsidRPr="006D0C30">
        <w:rPr>
          <w:szCs w:val="22"/>
        </w:rPr>
        <w:t>Reserves and fund balance</w:t>
      </w:r>
    </w:p>
    <w:p w:rsidR="002921C8" w:rsidRDefault="002921C8" w:rsidP="00BB447D">
      <w:pPr>
        <w:pStyle w:val="STYLEDUTEXTE"/>
      </w:pPr>
    </w:p>
    <w:p w:rsidR="000D688D" w:rsidRPr="001F39EC" w:rsidRDefault="00BC7CD6" w:rsidP="00BB447D">
      <w:pPr>
        <w:pStyle w:val="STYLEDUTEXTE"/>
      </w:pPr>
      <w:r>
        <w:rPr>
          <w:noProof/>
        </w:rPr>
        <w:drawing>
          <wp:inline distT="0" distB="0" distL="0" distR="0" wp14:anchorId="746342E4" wp14:editId="1F0A26FC">
            <wp:extent cx="5972175" cy="2266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972175" cy="2266950"/>
                    </a:xfrm>
                    <a:prstGeom prst="rect">
                      <a:avLst/>
                    </a:prstGeom>
                    <a:noFill/>
                    <a:ln>
                      <a:noFill/>
                    </a:ln>
                  </pic:spPr>
                </pic:pic>
              </a:graphicData>
            </a:graphic>
          </wp:inline>
        </w:drawing>
      </w:r>
    </w:p>
    <w:p w:rsidR="002921C8" w:rsidRDefault="002921C8" w:rsidP="00BB447D">
      <w:pPr>
        <w:pStyle w:val="STYLEDUTEXTE"/>
      </w:pPr>
    </w:p>
    <w:p w:rsidR="002B72F6" w:rsidRDefault="002B72F6" w:rsidP="002B72F6">
      <w:pPr>
        <w:pStyle w:val="STYLEDUTEXTE"/>
      </w:pPr>
      <w:r w:rsidRPr="00FB4990">
        <w:t>The fund balance of the Organization represents the accumulated net result of operations</w:t>
      </w:r>
      <w:r>
        <w:t xml:space="preserve"> in 2012 and prior periods</w:t>
      </w:r>
      <w:r w:rsidRPr="00FB4990">
        <w:t xml:space="preserve">. The </w:t>
      </w:r>
      <w:r>
        <w:t>fund balance</w:t>
      </w:r>
      <w:r w:rsidRPr="00FB4990">
        <w:t xml:space="preserve"> include</w:t>
      </w:r>
      <w:r>
        <w:t>s</w:t>
      </w:r>
      <w:r w:rsidRPr="00FB4990">
        <w:t xml:space="preserve"> the amount set aside to finance </w:t>
      </w:r>
      <w:proofErr w:type="spellStart"/>
      <w:r w:rsidRPr="00FB4990">
        <w:t>post employment</w:t>
      </w:r>
      <w:proofErr w:type="spellEnd"/>
      <w:r w:rsidRPr="00FB4990">
        <w:t xml:space="preserve"> b</w:t>
      </w:r>
      <w:r>
        <w:t>enefits from a charge</w:t>
      </w:r>
      <w:r w:rsidRPr="00FB4990">
        <w:t xml:space="preserve"> levied against net salary plus post adjustment.</w:t>
      </w:r>
      <w:r>
        <w:t xml:space="preserve"> P</w:t>
      </w:r>
      <w:r w:rsidR="008A7653">
        <w:t>rior to 2012 this charge was 6.0</w:t>
      </w:r>
      <w:r>
        <w:t xml:space="preserve"> per cent,</w:t>
      </w:r>
      <w:r w:rsidRPr="00FB4990">
        <w:t xml:space="preserve"> </w:t>
      </w:r>
      <w:r>
        <w:t xml:space="preserve">which was reduced </w:t>
      </w:r>
      <w:r w:rsidR="008A7653">
        <w:t>to 2.0</w:t>
      </w:r>
      <w:r>
        <w:t xml:space="preserve"> per cent as from January 2012.</w:t>
      </w:r>
    </w:p>
    <w:p w:rsidR="002B72F6" w:rsidRDefault="002B72F6" w:rsidP="002B72F6">
      <w:pPr>
        <w:pStyle w:val="STYLEDUTEXTE"/>
      </w:pPr>
    </w:p>
    <w:p w:rsidR="002B72F6" w:rsidRDefault="002B72F6" w:rsidP="002B72F6">
      <w:pPr>
        <w:pStyle w:val="STYLEDUTEXTE"/>
      </w:pPr>
      <w:r>
        <w:t>T</w:t>
      </w:r>
      <w:r w:rsidRPr="00FB4990">
        <w:t xml:space="preserve">he </w:t>
      </w:r>
      <w:r>
        <w:t xml:space="preserve">revaluation surplus </w:t>
      </w:r>
      <w:r w:rsidRPr="00FB4990">
        <w:t>reserves include the results of a revaluation (from historic cost to fair value) of the land owned by the Organization on which the new building is being constructed.  The fair value has been determined by an independent valuation.</w:t>
      </w:r>
    </w:p>
    <w:p w:rsidR="002B72F6" w:rsidRDefault="002B72F6" w:rsidP="00BB447D">
      <w:pPr>
        <w:pStyle w:val="STYLEDUTEXTE"/>
      </w:pPr>
    </w:p>
    <w:p w:rsidR="007D6391" w:rsidRPr="00FB4990" w:rsidRDefault="007D6391" w:rsidP="00BB447D">
      <w:pPr>
        <w:pStyle w:val="STYLEDUTEXTE"/>
      </w:pPr>
      <w:r>
        <w:t xml:space="preserve">Reserves include the </w:t>
      </w:r>
      <w:r w:rsidR="00A67AE7">
        <w:t>Working Capital Funds</w:t>
      </w:r>
      <w:r>
        <w:t xml:space="preserve"> established by the Assemblies of Members States of each of the Unions to provide advance financing of appropriation should there be a temporary liquidity shortfall. </w:t>
      </w:r>
    </w:p>
    <w:p w:rsidR="00513F6A" w:rsidRDefault="00513F6A" w:rsidP="007C6D77">
      <w:pPr>
        <w:jc w:val="both"/>
      </w:pPr>
    </w:p>
    <w:p w:rsidR="00C315D9" w:rsidRPr="00BE4294" w:rsidRDefault="00BE4294" w:rsidP="00BB447D">
      <w:pPr>
        <w:pStyle w:val="STYLEDUTEXTE"/>
      </w:pPr>
      <w:r w:rsidRPr="00BE4294">
        <w:t>WIPO</w:t>
      </w:r>
      <w:r>
        <w:t>’s capital consists of its accumulated surplus and working capital funds which form part of its net assets.  The capital is managed in accordance with the Policy on Reserve Funds and principles applied in respect of the use of reserves adopted by the Asse</w:t>
      </w:r>
      <w:r w:rsidRPr="00E15CD6">
        <w:t>mblies of the Member States of WIPO at its 48</w:t>
      </w:r>
      <w:r w:rsidRPr="00E15CD6">
        <w:rPr>
          <w:vertAlign w:val="superscript"/>
        </w:rPr>
        <w:t>th</w:t>
      </w:r>
      <w:r w:rsidRPr="00E15CD6">
        <w:t xml:space="preserve"> series of meetings in 2010</w:t>
      </w:r>
      <w:r w:rsidR="004914C3" w:rsidRPr="00E15CD6">
        <w:t xml:space="preserve"> [A/48/9]</w:t>
      </w:r>
      <w:r w:rsidRPr="00E15CD6">
        <w:t>.</w:t>
      </w:r>
      <w:r>
        <w:t xml:space="preserve">  The policy establishes a target level for accumulated surplus equal to </w:t>
      </w:r>
      <w:proofErr w:type="gramStart"/>
      <w:r>
        <w:t xml:space="preserve">a </w:t>
      </w:r>
      <w:r w:rsidR="002D6885">
        <w:t>per</w:t>
      </w:r>
      <w:proofErr w:type="gramEnd"/>
      <w:r w:rsidR="002D6885">
        <w:t xml:space="preserve"> </w:t>
      </w:r>
      <w:proofErr w:type="spellStart"/>
      <w:r w:rsidR="002D6885">
        <w:t>cent</w:t>
      </w:r>
      <w:r>
        <w:t>age</w:t>
      </w:r>
      <w:proofErr w:type="spellEnd"/>
      <w:r>
        <w:t xml:space="preserve"> of estimated biennial expenditures for each of the Unions forming the Organization.  In addition, each of the treaty agreements of the respective Unions establishes a level for the working capital funds.  </w:t>
      </w:r>
      <w:r w:rsidR="008B5E00">
        <w:t>Funds equal to the target level for accumulated surplus and the working capital funds are set aside to maintain sufficient levels of liquidity and to cover operational deficits should they occur.  Accumulated surplus funds in excess of the target may be made available by the Assemblies to finance capital improvements or other priorities</w:t>
      </w:r>
      <w:r w:rsidR="00D00AE5">
        <w:t xml:space="preserve"> in accordance with the policy on the Utilization of reserves established by WIPO’s Assemblies.</w:t>
      </w:r>
    </w:p>
    <w:p w:rsidR="007E11CF" w:rsidRPr="006D0C30" w:rsidRDefault="007E11CF" w:rsidP="006D0C30">
      <w:pPr>
        <w:pStyle w:val="Styletexte"/>
        <w:spacing w:after="0"/>
        <w:rPr>
          <w:rFonts w:cs="Arial"/>
          <w:b/>
          <w:szCs w:val="22"/>
        </w:rPr>
      </w:pPr>
    </w:p>
    <w:p w:rsidR="00E6095E" w:rsidRPr="006D0C30" w:rsidRDefault="00E6095E" w:rsidP="006D0C30">
      <w:pPr>
        <w:pStyle w:val="STYLETITRENOTES"/>
        <w:rPr>
          <w:rFonts w:cs="Arial"/>
          <w:b w:val="0"/>
          <w:szCs w:val="22"/>
        </w:rPr>
      </w:pPr>
    </w:p>
    <w:p w:rsidR="00373121" w:rsidRPr="006D0C30" w:rsidRDefault="00373121" w:rsidP="006D0C30">
      <w:pPr>
        <w:pStyle w:val="StyleHeading211ptNotBoldNotItalicAllcaps"/>
        <w:spacing w:before="0" w:after="0"/>
        <w:ind w:left="1440" w:hanging="1440"/>
        <w:rPr>
          <w:szCs w:val="22"/>
        </w:rPr>
      </w:pPr>
      <w:r w:rsidRPr="006D0C30">
        <w:rPr>
          <w:szCs w:val="22"/>
        </w:rPr>
        <w:t>Note 2</w:t>
      </w:r>
      <w:r w:rsidR="00BA7894" w:rsidRPr="006D0C30">
        <w:rPr>
          <w:szCs w:val="22"/>
        </w:rPr>
        <w:t>2</w:t>
      </w:r>
      <w:r w:rsidR="00376539" w:rsidRPr="006D0C30">
        <w:rPr>
          <w:szCs w:val="22"/>
        </w:rPr>
        <w:t>:</w:t>
      </w:r>
      <w:r w:rsidR="0087204A" w:rsidRPr="006D0C30">
        <w:rPr>
          <w:szCs w:val="22"/>
        </w:rPr>
        <w:tab/>
      </w:r>
      <w:r w:rsidRPr="006D0C30">
        <w:rPr>
          <w:szCs w:val="22"/>
        </w:rPr>
        <w:t xml:space="preserve">Reconciliation of Statement of Budgetary Comparison (Statement V) and Statement of </w:t>
      </w:r>
      <w:r w:rsidR="00BA7894" w:rsidRPr="006D0C30">
        <w:rPr>
          <w:szCs w:val="22"/>
        </w:rPr>
        <w:t>Financial Performance</w:t>
      </w:r>
      <w:r w:rsidRPr="006D0C30">
        <w:rPr>
          <w:szCs w:val="22"/>
        </w:rPr>
        <w:t xml:space="preserve"> (Statement I</w:t>
      </w:r>
      <w:r w:rsidR="00BA7894" w:rsidRPr="006D0C30">
        <w:rPr>
          <w:szCs w:val="22"/>
        </w:rPr>
        <w:t>I</w:t>
      </w:r>
      <w:r w:rsidRPr="006D0C30">
        <w:rPr>
          <w:szCs w:val="22"/>
        </w:rPr>
        <w:t>)</w:t>
      </w:r>
    </w:p>
    <w:p w:rsidR="00373121" w:rsidRPr="006D0C30" w:rsidRDefault="00373121" w:rsidP="006D0C30">
      <w:pPr>
        <w:ind w:left="1191" w:hanging="1191"/>
        <w:jc w:val="both"/>
        <w:rPr>
          <w:rFonts w:ascii="Arial" w:hAnsi="Arial" w:cs="Arial"/>
          <w:sz w:val="22"/>
          <w:szCs w:val="22"/>
        </w:rPr>
      </w:pPr>
    </w:p>
    <w:p w:rsidR="0050772A" w:rsidRDefault="00F9786C" w:rsidP="00373121">
      <w:pPr>
        <w:pStyle w:val="STYLEDUTEXTE"/>
      </w:pPr>
      <w:r>
        <w:t xml:space="preserve">The WIPO Program and Budget is established on a modified accrual basis in accordance with the </w:t>
      </w:r>
      <w:r w:rsidRPr="00FB4990">
        <w:t>Financial Regulations and Rules</w:t>
      </w:r>
      <w:r>
        <w:t xml:space="preserve">, and is approved by the Assemblies of the Member States. </w:t>
      </w:r>
      <w:r w:rsidR="00B22AB8">
        <w:t>The Program and Budget for</w:t>
      </w:r>
      <w:r w:rsidR="007417A7">
        <w:t xml:space="preserve"> the</w:t>
      </w:r>
      <w:r w:rsidR="00B22AB8">
        <w:t xml:space="preserve"> 201</w:t>
      </w:r>
      <w:r w:rsidR="00B63E07">
        <w:t>2</w:t>
      </w:r>
      <w:r w:rsidR="00B258D4">
        <w:t>/1</w:t>
      </w:r>
      <w:r w:rsidR="00B63E07">
        <w:t>3</w:t>
      </w:r>
      <w:r w:rsidR="00C13730">
        <w:t xml:space="preserve"> </w:t>
      </w:r>
      <w:r w:rsidR="001222C1">
        <w:t>Biennium established a budget estimate for the biennium of 6</w:t>
      </w:r>
      <w:r w:rsidR="00B63E07">
        <w:t>47.4</w:t>
      </w:r>
      <w:r w:rsidR="001222C1">
        <w:t xml:space="preserve"> million Swiss francs.</w:t>
      </w:r>
      <w:r>
        <w:t xml:space="preserve"> </w:t>
      </w:r>
    </w:p>
    <w:p w:rsidR="0050772A" w:rsidRDefault="0050772A" w:rsidP="00373121">
      <w:pPr>
        <w:pStyle w:val="STYLEDUTEXTE"/>
      </w:pPr>
    </w:p>
    <w:p w:rsidR="00B22AB8" w:rsidRDefault="001222C1" w:rsidP="00373121">
      <w:pPr>
        <w:pStyle w:val="STYLEDUTEXTE"/>
      </w:pPr>
      <w:r>
        <w:lastRenderedPageBreak/>
        <w:t>For</w:t>
      </w:r>
      <w:r w:rsidR="0050772A">
        <w:t xml:space="preserve"> 201</w:t>
      </w:r>
      <w:r w:rsidR="00B63E07">
        <w:t>2</w:t>
      </w:r>
      <w:r w:rsidR="0050772A">
        <w:t>,</w:t>
      </w:r>
      <w:r>
        <w:t xml:space="preserve"> the </w:t>
      </w:r>
      <w:r w:rsidR="00B63E07">
        <w:t>first</w:t>
      </w:r>
      <w:r>
        <w:t xml:space="preserve"> year of the biennium, the original</w:t>
      </w:r>
      <w:r w:rsidR="006F4395">
        <w:t xml:space="preserve"> and final</w:t>
      </w:r>
      <w:r>
        <w:t xml:space="preserve"> budget estimate for income was </w:t>
      </w:r>
      <w:r w:rsidR="00F9786C">
        <w:t>31</w:t>
      </w:r>
      <w:r w:rsidR="00B63E07">
        <w:t>8</w:t>
      </w:r>
      <w:r w:rsidR="00F9786C">
        <w:t>.</w:t>
      </w:r>
      <w:r w:rsidR="00B63E07">
        <w:t>3</w:t>
      </w:r>
      <w:r w:rsidR="00F9786C">
        <w:t xml:space="preserve"> million Swiss francs</w:t>
      </w:r>
      <w:r w:rsidR="00A9158B">
        <w:t>.</w:t>
      </w:r>
      <w:r w:rsidR="00F9786C">
        <w:t xml:space="preserve"> </w:t>
      </w:r>
      <w:r w:rsidR="00A9158B">
        <w:t>The original budget for</w:t>
      </w:r>
      <w:r w:rsidR="00F9786C">
        <w:t xml:space="preserve"> expense</w:t>
      </w:r>
      <w:r w:rsidR="00A9158B">
        <w:t xml:space="preserve"> for the first year of the biennium was</w:t>
      </w:r>
      <w:r w:rsidR="00F9786C">
        <w:t xml:space="preserve"> 3</w:t>
      </w:r>
      <w:r w:rsidR="00A9158B">
        <w:t>23</w:t>
      </w:r>
      <w:r w:rsidR="00F9786C">
        <w:t>.</w:t>
      </w:r>
      <w:r w:rsidR="00A9158B">
        <w:t>7</w:t>
      </w:r>
      <w:r w:rsidR="00F9786C">
        <w:t xml:space="preserve"> million Swiss francs</w:t>
      </w:r>
      <w:r w:rsidR="00A9158B">
        <w:t xml:space="preserve">, which was based on the biennial budget. The final budget for expense for the first year was </w:t>
      </w:r>
      <w:r w:rsidR="00650C05">
        <w:t>324.1 million Swiss francs</w:t>
      </w:r>
      <w:r w:rsidR="003457B2">
        <w:t>.</w:t>
      </w:r>
      <w:r w:rsidR="00F9786C">
        <w:t xml:space="preserve"> Actual income on </w:t>
      </w:r>
      <w:r w:rsidR="009C6F06">
        <w:t>a modified accrual basis</w:t>
      </w:r>
      <w:r w:rsidR="00F9786C">
        <w:t xml:space="preserve"> for the</w:t>
      </w:r>
      <w:r w:rsidR="009C6F06">
        <w:t xml:space="preserve"> </w:t>
      </w:r>
      <w:r w:rsidR="00B63E07">
        <w:t>first</w:t>
      </w:r>
      <w:r w:rsidR="009C6F06">
        <w:t xml:space="preserve"> year of the biennium was </w:t>
      </w:r>
      <w:r w:rsidR="0050772A">
        <w:t>3</w:t>
      </w:r>
      <w:r w:rsidR="00B63E07">
        <w:t>41</w:t>
      </w:r>
      <w:r w:rsidR="0050772A">
        <w:t>.</w:t>
      </w:r>
      <w:r w:rsidR="00B63E07">
        <w:t>1</w:t>
      </w:r>
      <w:r w:rsidR="009C6F06">
        <w:t xml:space="preserve"> million Swiss francs. Actual expense on a modified accrual basis for the </w:t>
      </w:r>
      <w:r w:rsidR="00E816CF">
        <w:t>first</w:t>
      </w:r>
      <w:r w:rsidR="009C6F06">
        <w:t xml:space="preserve"> year</w:t>
      </w:r>
      <w:r w:rsidR="00F9786C">
        <w:t xml:space="preserve"> </w:t>
      </w:r>
      <w:r w:rsidR="009C6F06">
        <w:t xml:space="preserve">of the biennium was </w:t>
      </w:r>
      <w:r w:rsidR="0050772A">
        <w:t>29</w:t>
      </w:r>
      <w:r w:rsidR="00E816CF">
        <w:t>0</w:t>
      </w:r>
      <w:r w:rsidR="0050772A">
        <w:t>.</w:t>
      </w:r>
      <w:r w:rsidR="00E816CF">
        <w:t>1</w:t>
      </w:r>
      <w:r w:rsidR="009C6F06">
        <w:t xml:space="preserve"> million Swiss francs.</w:t>
      </w:r>
    </w:p>
    <w:p w:rsidR="00B22AB8" w:rsidRDefault="00B22AB8" w:rsidP="00373121">
      <w:pPr>
        <w:pStyle w:val="STYLEDUTEXTE"/>
      </w:pPr>
    </w:p>
    <w:p w:rsidR="00373121" w:rsidRDefault="007642FB" w:rsidP="00373121">
      <w:pPr>
        <w:pStyle w:val="STYLEDUTEXTE"/>
      </w:pPr>
      <w:r>
        <w:t xml:space="preserve">The </w:t>
      </w:r>
      <w:r w:rsidR="0043404D" w:rsidRPr="0043404D">
        <w:t>Program Performance Report for 201</w:t>
      </w:r>
      <w:r w:rsidR="00E816CF">
        <w:t>2</w:t>
      </w:r>
      <w:r>
        <w:t xml:space="preserve"> provides an explanation of</w:t>
      </w:r>
      <w:r w:rsidR="00B22AB8">
        <w:t xml:space="preserve"> both</w:t>
      </w:r>
      <w:r>
        <w:t xml:space="preserve"> the changes between the original and final budget</w:t>
      </w:r>
      <w:r w:rsidR="0050772A">
        <w:t xml:space="preserve"> after transfers</w:t>
      </w:r>
      <w:r w:rsidR="00B22AB8">
        <w:t>, and the material differences between the budget and the actual amounts</w:t>
      </w:r>
      <w:r>
        <w:t>.</w:t>
      </w:r>
      <w:r w:rsidR="00B22AB8">
        <w:t xml:space="preserve"> </w:t>
      </w:r>
      <w:r w:rsidR="00373121" w:rsidRPr="00FB4990">
        <w:t xml:space="preserve">WIPO’s budget and financial accounts are prepared using </w:t>
      </w:r>
      <w:r w:rsidR="00373121">
        <w:t>two different base</w:t>
      </w:r>
      <w:r w:rsidR="00373121" w:rsidRPr="00FB4990">
        <w:t xml:space="preserve">s. The Statement of Financial Position, Statement of Financial Performance, Statement of Changes in Net Assets and Statement of Cash Flow are prepared on a full accrual basis, whereas the Statement of Comparison of Budget and Actual Amounts (Statement V) is prepared on a modified </w:t>
      </w:r>
      <w:r w:rsidR="00373121">
        <w:t>accrual</w:t>
      </w:r>
      <w:r w:rsidR="00373121" w:rsidRPr="00FB4990">
        <w:t xml:space="preserve"> basis. </w:t>
      </w:r>
    </w:p>
    <w:p w:rsidR="007D37BD" w:rsidRPr="00FB4990" w:rsidRDefault="007D37BD" w:rsidP="00373121">
      <w:pPr>
        <w:pStyle w:val="STYLEDUTEXTE"/>
      </w:pPr>
    </w:p>
    <w:p w:rsidR="0061772D" w:rsidRDefault="00373121" w:rsidP="0061772D">
      <w:pPr>
        <w:pStyle w:val="STYLEDUTEXTE"/>
      </w:pPr>
      <w:r w:rsidRPr="00FB4990">
        <w:t xml:space="preserve">As required by IPSAS-24, </w:t>
      </w:r>
      <w:proofErr w:type="gramStart"/>
      <w:r w:rsidR="0061772D">
        <w:t>a reconciliation</w:t>
      </w:r>
      <w:proofErr w:type="gramEnd"/>
      <w:r w:rsidR="0061772D">
        <w:t xml:space="preserve"> is provided between the actual amounts on a comparable basis as presented in Statement V and the actual amounts in the financial accounts</w:t>
      </w:r>
      <w:r w:rsidRPr="00FB4990">
        <w:t xml:space="preserve"> identifying separately</w:t>
      </w:r>
      <w:r w:rsidR="00C55B61">
        <w:t xml:space="preserve"> any</w:t>
      </w:r>
      <w:r w:rsidRPr="00FB4990">
        <w:t xml:space="preserve"> basis, timing and entity differences. WIPO’s budget is adopted by the Assemblies on a biennial </w:t>
      </w:r>
      <w:proofErr w:type="gramStart"/>
      <w:r w:rsidRPr="00FB4990">
        <w:t>basis,</w:t>
      </w:r>
      <w:proofErr w:type="gramEnd"/>
      <w:r w:rsidRPr="00FB4990">
        <w:t xml:space="preserve"> however, separate estimates are prepared for each of the two annual periods. Therefore</w:t>
      </w:r>
      <w:r w:rsidR="008A7653">
        <w:t>,</w:t>
      </w:r>
      <w:r w:rsidRPr="00FB4990">
        <w:t xml:space="preserve"> there are no timing differences to report.</w:t>
      </w:r>
      <w:r w:rsidR="0061772D">
        <w:t xml:space="preserve"> </w:t>
      </w:r>
      <w:r w:rsidR="0061772D" w:rsidRPr="00FB4990">
        <w:t xml:space="preserve">Basis differences occur when the approved budget is prepared on a basis other than the </w:t>
      </w:r>
      <w:r w:rsidR="0061772D">
        <w:t xml:space="preserve">full accrual </w:t>
      </w:r>
      <w:r w:rsidR="0061772D" w:rsidRPr="00FB4990">
        <w:t>accounting basis.  Basis differences include the depreciation of assets, full recognition of provisions and deferral of unearned revenue</w:t>
      </w:r>
      <w:r w:rsidR="0061772D" w:rsidRPr="00FC6B7A">
        <w:t>. Entity differences represent the inclusion in WIPO’s financial accounts of</w:t>
      </w:r>
      <w:r w:rsidR="001F39EC">
        <w:t xml:space="preserve"> Special Accounts and</w:t>
      </w:r>
      <w:r w:rsidR="0061772D" w:rsidRPr="00FC6B7A">
        <w:t xml:space="preserve"> </w:t>
      </w:r>
      <w:r w:rsidR="0050772A" w:rsidRPr="00FC6B7A">
        <w:t>project</w:t>
      </w:r>
      <w:r w:rsidR="007417A7" w:rsidRPr="00FC6B7A">
        <w:t>s</w:t>
      </w:r>
      <w:r w:rsidR="0050772A" w:rsidRPr="00FC6B7A">
        <w:t xml:space="preserve"> financed from reserves</w:t>
      </w:r>
      <w:r w:rsidR="0061772D" w:rsidRPr="00FC6B7A">
        <w:t>, which are not included in WIPO’s published Program and Budget.</w:t>
      </w:r>
      <w:r w:rsidR="0050772A" w:rsidRPr="00FC6B7A">
        <w:t xml:space="preserve"> </w:t>
      </w:r>
      <w:r w:rsidR="007417A7" w:rsidRPr="00FC6B7A">
        <w:t>Presentation</w:t>
      </w:r>
      <w:r w:rsidR="007417A7">
        <w:t xml:space="preserve"> differences represent the treatm</w:t>
      </w:r>
      <w:r w:rsidR="001F39EC">
        <w:t>ent of gains on investment property</w:t>
      </w:r>
      <w:r w:rsidR="007417A7">
        <w:t xml:space="preserve"> as investing activities in Statement IV.</w:t>
      </w:r>
    </w:p>
    <w:p w:rsidR="00FC6B7A" w:rsidRDefault="00FC6B7A" w:rsidP="0061772D">
      <w:pPr>
        <w:pStyle w:val="STYLEDUTEXTE"/>
      </w:pPr>
    </w:p>
    <w:p w:rsidR="00FC6B7A" w:rsidRDefault="00FC6B7A" w:rsidP="0061772D">
      <w:pPr>
        <w:pStyle w:val="STYLEDUTEXTE"/>
      </w:pPr>
      <w:r>
        <w:t>Reconciliation for the year 201</w:t>
      </w:r>
      <w:r w:rsidR="00E816CF">
        <w:t>2</w:t>
      </w:r>
      <w:r>
        <w:t>:</w:t>
      </w:r>
    </w:p>
    <w:p w:rsidR="005D6354" w:rsidRDefault="005D6354" w:rsidP="0061772D">
      <w:pPr>
        <w:pStyle w:val="STYLEDUTEXTE"/>
      </w:pPr>
    </w:p>
    <w:p w:rsidR="00310512" w:rsidRPr="001F39EC" w:rsidRDefault="00BC7CD6" w:rsidP="00373121">
      <w:pPr>
        <w:pStyle w:val="STYLEDUTEXTE"/>
      </w:pPr>
      <w:r>
        <w:rPr>
          <w:noProof/>
        </w:rPr>
        <w:drawing>
          <wp:inline distT="0" distB="0" distL="0" distR="0" wp14:anchorId="63864937" wp14:editId="31B3C19C">
            <wp:extent cx="5972175" cy="3971925"/>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972175" cy="3971925"/>
                    </a:xfrm>
                    <a:prstGeom prst="rect">
                      <a:avLst/>
                    </a:prstGeom>
                    <a:noFill/>
                    <a:ln>
                      <a:noFill/>
                    </a:ln>
                  </pic:spPr>
                </pic:pic>
              </a:graphicData>
            </a:graphic>
          </wp:inline>
        </w:drawing>
      </w:r>
    </w:p>
    <w:p w:rsidR="00373121" w:rsidRDefault="00373121" w:rsidP="00373121">
      <w:pPr>
        <w:jc w:val="both"/>
        <w:rPr>
          <w:rFonts w:ascii="Arial" w:hAnsi="Arial" w:cs="Arial"/>
          <w:sz w:val="22"/>
          <w:szCs w:val="22"/>
        </w:rPr>
      </w:pPr>
    </w:p>
    <w:p w:rsidR="00373121" w:rsidRPr="000B7D9E" w:rsidRDefault="00376539" w:rsidP="000B7D9E">
      <w:pPr>
        <w:pStyle w:val="StyleHeading211ptNotBoldNotItalicAllcaps"/>
        <w:spacing w:before="0" w:after="0"/>
        <w:rPr>
          <w:szCs w:val="22"/>
        </w:rPr>
      </w:pPr>
      <w:r>
        <w:lastRenderedPageBreak/>
        <w:t>Note 2</w:t>
      </w:r>
      <w:r w:rsidR="00BA7894">
        <w:t>3</w:t>
      </w:r>
      <w:r>
        <w:t>:</w:t>
      </w:r>
      <w:r w:rsidR="0087204A">
        <w:tab/>
      </w:r>
      <w:r w:rsidR="00373121" w:rsidRPr="00A64991">
        <w:t>Revenue</w:t>
      </w:r>
    </w:p>
    <w:p w:rsidR="00373121" w:rsidRPr="000B7D9E" w:rsidRDefault="00373121" w:rsidP="000B7D9E">
      <w:pPr>
        <w:keepNext/>
        <w:rPr>
          <w:rFonts w:ascii="Arial" w:hAnsi="Arial" w:cs="Arial"/>
          <w:sz w:val="22"/>
          <w:szCs w:val="22"/>
        </w:rPr>
      </w:pPr>
    </w:p>
    <w:p w:rsidR="00E57D22" w:rsidRPr="001F39EC" w:rsidRDefault="00BC7CD6" w:rsidP="000B7D9E">
      <w:pPr>
        <w:pStyle w:val="Styletexte"/>
        <w:keepNext/>
        <w:spacing w:after="0"/>
        <w:rPr>
          <w:rFonts w:cs="Arial"/>
          <w:szCs w:val="22"/>
        </w:rPr>
      </w:pPr>
      <w:r>
        <w:rPr>
          <w:noProof/>
        </w:rPr>
        <w:drawing>
          <wp:inline distT="0" distB="0" distL="0" distR="0" wp14:anchorId="58175676" wp14:editId="125CD013">
            <wp:extent cx="5972175" cy="3724275"/>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972175" cy="3724275"/>
                    </a:xfrm>
                    <a:prstGeom prst="rect">
                      <a:avLst/>
                    </a:prstGeom>
                    <a:noFill/>
                    <a:ln>
                      <a:noFill/>
                    </a:ln>
                  </pic:spPr>
                </pic:pic>
              </a:graphicData>
            </a:graphic>
          </wp:inline>
        </w:drawing>
      </w:r>
    </w:p>
    <w:p w:rsidR="00E57D22" w:rsidRDefault="00E57D22" w:rsidP="000B7D9E">
      <w:pPr>
        <w:pStyle w:val="Styletexte"/>
        <w:keepNext/>
        <w:spacing w:after="0"/>
        <w:rPr>
          <w:rFonts w:cs="Arial"/>
          <w:szCs w:val="22"/>
        </w:rPr>
      </w:pPr>
    </w:p>
    <w:p w:rsidR="00373121" w:rsidRDefault="00373121" w:rsidP="000B7D9E">
      <w:pPr>
        <w:pStyle w:val="Styletexte"/>
        <w:keepNext/>
        <w:spacing w:after="0"/>
        <w:rPr>
          <w:rFonts w:cs="Arial"/>
          <w:szCs w:val="22"/>
        </w:rPr>
      </w:pPr>
      <w:r w:rsidRPr="000B7D9E">
        <w:rPr>
          <w:rFonts w:cs="Arial"/>
          <w:szCs w:val="22"/>
        </w:rPr>
        <w:t>Amounts shown for the Program and Budget represent actual revenue received related to the Organization’s budget as adopted by the Assemblies. Voluntary contributions represent revenue received in connection with contributions made by donors to individual projects</w:t>
      </w:r>
      <w:r w:rsidR="00BA7EED">
        <w:rPr>
          <w:rFonts w:cs="Arial"/>
          <w:szCs w:val="22"/>
        </w:rPr>
        <w:t xml:space="preserve"> under Special Accounts</w:t>
      </w:r>
      <w:r w:rsidRPr="000B7D9E">
        <w:rPr>
          <w:rFonts w:cs="Arial"/>
          <w:szCs w:val="22"/>
        </w:rPr>
        <w:t xml:space="preserve"> not included in the Program and Budget.</w:t>
      </w:r>
    </w:p>
    <w:p w:rsidR="000B7D9E" w:rsidRPr="000B7D9E" w:rsidRDefault="000B7D9E" w:rsidP="000B7D9E">
      <w:pPr>
        <w:pStyle w:val="Styletexte"/>
        <w:keepNext/>
        <w:spacing w:after="0"/>
        <w:rPr>
          <w:rFonts w:cs="Arial"/>
          <w:szCs w:val="22"/>
        </w:rPr>
      </w:pPr>
    </w:p>
    <w:p w:rsidR="008D7FAD" w:rsidRDefault="00373121" w:rsidP="000B7D9E">
      <w:pPr>
        <w:pStyle w:val="Styletexte"/>
        <w:spacing w:after="0"/>
        <w:rPr>
          <w:rFonts w:cs="Arial"/>
          <w:szCs w:val="22"/>
        </w:rPr>
      </w:pPr>
      <w:r w:rsidRPr="000B7D9E">
        <w:rPr>
          <w:rFonts w:cs="Arial"/>
          <w:szCs w:val="22"/>
        </w:rPr>
        <w:t xml:space="preserve">IPSAS adjustments are related to the deferral of unearned revenue. Revenue from voluntary contributions is deferred until earned through the delivery of the specific services provided in the plan of work agreed with the donor. </w:t>
      </w:r>
      <w:r w:rsidR="008D7FAD" w:rsidRPr="00531597">
        <w:rPr>
          <w:rFonts w:cs="Arial"/>
          <w:szCs w:val="22"/>
        </w:rPr>
        <w:t xml:space="preserve">Voluntary contributions comprise </w:t>
      </w:r>
      <w:r w:rsidR="009974A4">
        <w:rPr>
          <w:rFonts w:cs="Arial"/>
          <w:szCs w:val="22"/>
        </w:rPr>
        <w:t>10.4</w:t>
      </w:r>
      <w:r w:rsidR="008D7FAD" w:rsidRPr="00531597">
        <w:rPr>
          <w:rFonts w:cs="Arial"/>
          <w:szCs w:val="22"/>
        </w:rPr>
        <w:t xml:space="preserve"> million Swiss francs of funds received</w:t>
      </w:r>
      <w:r w:rsidR="003F5670" w:rsidRPr="00531597">
        <w:rPr>
          <w:rFonts w:cs="Arial"/>
          <w:szCs w:val="22"/>
        </w:rPr>
        <w:t xml:space="preserve"> less reimbursements to donors (see Annex III)</w:t>
      </w:r>
      <w:r w:rsidR="008D7FAD" w:rsidRPr="00531597">
        <w:rPr>
          <w:rFonts w:cs="Arial"/>
          <w:szCs w:val="22"/>
        </w:rPr>
        <w:t>,</w:t>
      </w:r>
      <w:r w:rsidR="008D7FAD" w:rsidRPr="00274CB3">
        <w:rPr>
          <w:rFonts w:cs="Arial"/>
          <w:szCs w:val="22"/>
        </w:rPr>
        <w:t xml:space="preserve"> with an</w:t>
      </w:r>
      <w:r w:rsidR="003F5670" w:rsidRPr="00274CB3">
        <w:rPr>
          <w:rFonts w:cs="Arial"/>
          <w:szCs w:val="22"/>
        </w:rPr>
        <w:t xml:space="preserve"> IPSAS</w:t>
      </w:r>
      <w:r w:rsidR="008D7FAD" w:rsidRPr="00274CB3">
        <w:rPr>
          <w:rFonts w:cs="Arial"/>
          <w:szCs w:val="22"/>
        </w:rPr>
        <w:t xml:space="preserve"> adjustment of </w:t>
      </w:r>
      <w:r w:rsidR="00FD5536">
        <w:rPr>
          <w:rFonts w:cs="Arial"/>
          <w:szCs w:val="22"/>
        </w:rPr>
        <w:t>2.4</w:t>
      </w:r>
      <w:r w:rsidR="00836908">
        <w:rPr>
          <w:rFonts w:cs="Arial"/>
          <w:szCs w:val="22"/>
        </w:rPr>
        <w:t> </w:t>
      </w:r>
      <w:r w:rsidR="008D7FAD" w:rsidRPr="00274CB3">
        <w:rPr>
          <w:rFonts w:cs="Arial"/>
          <w:szCs w:val="22"/>
        </w:rPr>
        <w:t xml:space="preserve">million Swiss francs for the movement </w:t>
      </w:r>
      <w:r w:rsidR="00FD5536">
        <w:rPr>
          <w:rFonts w:cs="Arial"/>
          <w:szCs w:val="22"/>
        </w:rPr>
        <w:t>in deferred revenue</w:t>
      </w:r>
      <w:r w:rsidR="008D7FAD" w:rsidRPr="00274CB3">
        <w:rPr>
          <w:rFonts w:cs="Arial"/>
          <w:szCs w:val="22"/>
        </w:rPr>
        <w:t>.</w:t>
      </w:r>
    </w:p>
    <w:p w:rsidR="008D7FAD" w:rsidRDefault="008D7FAD" w:rsidP="000B7D9E">
      <w:pPr>
        <w:pStyle w:val="Styletexte"/>
        <w:spacing w:after="0"/>
        <w:rPr>
          <w:rFonts w:cs="Arial"/>
          <w:szCs w:val="22"/>
        </w:rPr>
      </w:pPr>
    </w:p>
    <w:p w:rsidR="00373121" w:rsidRPr="000B7D9E" w:rsidRDefault="00373121" w:rsidP="000B7D9E">
      <w:pPr>
        <w:pStyle w:val="Styletexte"/>
        <w:spacing w:after="0"/>
        <w:rPr>
          <w:rFonts w:cs="Arial"/>
          <w:szCs w:val="22"/>
        </w:rPr>
      </w:pPr>
      <w:r w:rsidRPr="000B7D9E">
        <w:rPr>
          <w:rFonts w:cs="Arial"/>
          <w:szCs w:val="22"/>
        </w:rPr>
        <w:t>Revenue from PCT and Madrid fees is deferred until earned through the publication of the international application in accordance with the rules of each of the Unions.</w:t>
      </w:r>
    </w:p>
    <w:p w:rsidR="00373121" w:rsidRPr="000B7D9E" w:rsidRDefault="00373121" w:rsidP="000B7D9E">
      <w:pPr>
        <w:jc w:val="both"/>
        <w:rPr>
          <w:rFonts w:ascii="Arial" w:hAnsi="Arial" w:cs="Arial"/>
          <w:sz w:val="22"/>
          <w:szCs w:val="22"/>
        </w:rPr>
      </w:pPr>
    </w:p>
    <w:p w:rsidR="00050041" w:rsidRPr="009C5F84" w:rsidRDefault="00050041" w:rsidP="000B7D9E">
      <w:pPr>
        <w:jc w:val="both"/>
        <w:rPr>
          <w:szCs w:val="22"/>
        </w:rPr>
      </w:pPr>
    </w:p>
    <w:p w:rsidR="0080775C" w:rsidRPr="000B7D9E" w:rsidRDefault="0080775C" w:rsidP="000B7D9E">
      <w:pPr>
        <w:jc w:val="both"/>
        <w:rPr>
          <w:rFonts w:ascii="Arial" w:hAnsi="Arial" w:cs="Arial"/>
          <w:sz w:val="22"/>
          <w:szCs w:val="22"/>
        </w:rPr>
      </w:pPr>
    </w:p>
    <w:p w:rsidR="00373121" w:rsidRPr="000B7D9E" w:rsidRDefault="00D65D40" w:rsidP="000B7D9E">
      <w:pPr>
        <w:pStyle w:val="StyleHeading211ptNotBoldNotItalicAllcaps"/>
        <w:spacing w:before="0" w:after="0"/>
        <w:rPr>
          <w:szCs w:val="22"/>
        </w:rPr>
      </w:pPr>
      <w:r>
        <w:br w:type="page"/>
      </w:r>
      <w:r w:rsidR="00373121" w:rsidRPr="000B7D9E">
        <w:rPr>
          <w:szCs w:val="22"/>
        </w:rPr>
        <w:lastRenderedPageBreak/>
        <w:t>Note 2</w:t>
      </w:r>
      <w:r w:rsidR="00BA7894" w:rsidRPr="000B7D9E">
        <w:rPr>
          <w:szCs w:val="22"/>
        </w:rPr>
        <w:t>4</w:t>
      </w:r>
      <w:r w:rsidR="00373121" w:rsidRPr="000B7D9E">
        <w:rPr>
          <w:szCs w:val="22"/>
        </w:rPr>
        <w:t>:</w:t>
      </w:r>
      <w:r w:rsidR="0087204A" w:rsidRPr="000B7D9E">
        <w:rPr>
          <w:szCs w:val="22"/>
        </w:rPr>
        <w:tab/>
      </w:r>
      <w:r w:rsidR="00373121" w:rsidRPr="000B7D9E">
        <w:rPr>
          <w:szCs w:val="22"/>
        </w:rPr>
        <w:t>Expense</w:t>
      </w:r>
      <w:r w:rsidR="00D61156">
        <w:rPr>
          <w:szCs w:val="22"/>
        </w:rPr>
        <w:t>s</w:t>
      </w:r>
    </w:p>
    <w:p w:rsidR="00373121" w:rsidRPr="000B7D9E" w:rsidRDefault="00373121" w:rsidP="000B7D9E">
      <w:pPr>
        <w:jc w:val="both"/>
        <w:rPr>
          <w:rFonts w:ascii="Arial" w:hAnsi="Arial" w:cs="Arial"/>
          <w:sz w:val="22"/>
          <w:szCs w:val="22"/>
        </w:rPr>
      </w:pPr>
    </w:p>
    <w:p w:rsidR="000B7D9E" w:rsidRPr="00BA7EED" w:rsidRDefault="00BC7CD6" w:rsidP="000B7D9E">
      <w:pPr>
        <w:jc w:val="both"/>
        <w:rPr>
          <w:szCs w:val="22"/>
        </w:rPr>
      </w:pPr>
      <w:r>
        <w:rPr>
          <w:noProof/>
        </w:rPr>
        <w:drawing>
          <wp:inline distT="0" distB="0" distL="0" distR="0" wp14:anchorId="0DA72F43" wp14:editId="61CCE651">
            <wp:extent cx="5972175" cy="2914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972175" cy="2914650"/>
                    </a:xfrm>
                    <a:prstGeom prst="rect">
                      <a:avLst/>
                    </a:prstGeom>
                    <a:noFill/>
                    <a:ln>
                      <a:noFill/>
                    </a:ln>
                  </pic:spPr>
                </pic:pic>
              </a:graphicData>
            </a:graphic>
          </wp:inline>
        </w:drawing>
      </w:r>
    </w:p>
    <w:p w:rsidR="00373121" w:rsidRPr="000B7D9E" w:rsidRDefault="00373121" w:rsidP="000B7D9E">
      <w:pPr>
        <w:jc w:val="both"/>
        <w:rPr>
          <w:rFonts w:ascii="Arial" w:hAnsi="Arial" w:cs="Arial"/>
          <w:sz w:val="22"/>
          <w:szCs w:val="22"/>
        </w:rPr>
      </w:pPr>
      <w:r w:rsidRPr="000B7D9E">
        <w:rPr>
          <w:rFonts w:ascii="Arial" w:hAnsi="Arial" w:cs="Arial"/>
          <w:sz w:val="22"/>
          <w:szCs w:val="22"/>
        </w:rPr>
        <w:t>Expenses in the Program and Budget</w:t>
      </w:r>
      <w:r w:rsidR="00BA7EED">
        <w:rPr>
          <w:rFonts w:ascii="Arial" w:hAnsi="Arial" w:cs="Arial"/>
          <w:sz w:val="22"/>
          <w:szCs w:val="22"/>
        </w:rPr>
        <w:t>, Special Accounts and Projects financed from reserves</w:t>
      </w:r>
      <w:r w:rsidRPr="000B7D9E">
        <w:rPr>
          <w:rFonts w:ascii="Arial" w:hAnsi="Arial" w:cs="Arial"/>
          <w:sz w:val="22"/>
          <w:szCs w:val="22"/>
        </w:rPr>
        <w:t xml:space="preserve"> are reported on a modified accrual basis, recognizing expense when goods are received and services are rendered.  However, </w:t>
      </w:r>
      <w:r w:rsidR="00BA7EED">
        <w:rPr>
          <w:rFonts w:ascii="Arial" w:hAnsi="Arial" w:cs="Arial"/>
          <w:sz w:val="22"/>
          <w:szCs w:val="22"/>
        </w:rPr>
        <w:t xml:space="preserve">before the impact of IPSAS adjustments, </w:t>
      </w:r>
      <w:r w:rsidRPr="000B7D9E">
        <w:rPr>
          <w:rFonts w:ascii="Arial" w:hAnsi="Arial" w:cs="Arial"/>
          <w:sz w:val="22"/>
          <w:szCs w:val="22"/>
        </w:rPr>
        <w:t xml:space="preserve">costs of the acquisition of equipment, expenses related to production of inventory and expenses related to construction are recorded as expensed when paid and provisions for </w:t>
      </w:r>
      <w:proofErr w:type="spellStart"/>
      <w:r w:rsidRPr="000B7D9E">
        <w:rPr>
          <w:rFonts w:ascii="Arial" w:hAnsi="Arial" w:cs="Arial"/>
          <w:sz w:val="22"/>
          <w:szCs w:val="22"/>
        </w:rPr>
        <w:t>post employment</w:t>
      </w:r>
      <w:proofErr w:type="spellEnd"/>
      <w:r w:rsidRPr="000B7D9E">
        <w:rPr>
          <w:rFonts w:ascii="Arial" w:hAnsi="Arial" w:cs="Arial"/>
          <w:sz w:val="22"/>
          <w:szCs w:val="22"/>
        </w:rPr>
        <w:t xml:space="preserve"> benefits are recognized only to the extent funded. In addition, changes to the provision for doubtful debts, depreciation of equipment and buildings and equipment disposal are not recognized as expense.</w:t>
      </w:r>
    </w:p>
    <w:p w:rsidR="00373121" w:rsidRPr="000B7D9E" w:rsidRDefault="00373121" w:rsidP="000B7D9E">
      <w:pPr>
        <w:pStyle w:val="Styletexte"/>
        <w:spacing w:after="0"/>
        <w:rPr>
          <w:rFonts w:cs="Arial"/>
          <w:szCs w:val="22"/>
        </w:rPr>
      </w:pPr>
    </w:p>
    <w:p w:rsidR="00373121" w:rsidRDefault="00373121" w:rsidP="000B7D9E">
      <w:pPr>
        <w:pStyle w:val="Styletexte"/>
        <w:spacing w:after="0"/>
      </w:pPr>
      <w:r w:rsidRPr="000B7D9E">
        <w:rPr>
          <w:rFonts w:cs="Arial"/>
          <w:szCs w:val="22"/>
        </w:rPr>
        <w:t>Personnel expenditure includes short-term employee benefits such as base salary, post adjustment, dependents’</w:t>
      </w:r>
      <w:r>
        <w:t xml:space="preserve"> </w:t>
      </w:r>
      <w:r w:rsidRPr="00FB4990">
        <w:t>allowance, pension contribution, health and other insurance contributions, home leave and other entitlements for permanent and short-term staff and consultants. The amount shown as IPSAS adjustments includes</w:t>
      </w:r>
      <w:r w:rsidR="00717A07">
        <w:t xml:space="preserve"> principally</w:t>
      </w:r>
      <w:r w:rsidRPr="00FB4990">
        <w:t xml:space="preserve"> changes in the provisions for employee benefit liabilities </w:t>
      </w:r>
      <w:r w:rsidRPr="00274CB3">
        <w:t>(</w:t>
      </w:r>
      <w:r w:rsidR="00274CB3" w:rsidRPr="00274CB3">
        <w:t>7.3</w:t>
      </w:r>
      <w:r w:rsidRPr="00274CB3">
        <w:t xml:space="preserve"> million</w:t>
      </w:r>
      <w:r w:rsidR="0056293C" w:rsidRPr="00274CB3">
        <w:t xml:space="preserve"> Swiss francs</w:t>
      </w:r>
      <w:r w:rsidRPr="00274CB3">
        <w:t>),</w:t>
      </w:r>
      <w:r w:rsidRPr="00FB4990">
        <w:t xml:space="preserve"> </w:t>
      </w:r>
      <w:r w:rsidR="00717A07">
        <w:t xml:space="preserve">and also </w:t>
      </w:r>
      <w:r w:rsidRPr="00FB4990">
        <w:t>transfers to work in progress of consultant services related to construction projects and costs related to publications inventory.</w:t>
      </w:r>
    </w:p>
    <w:p w:rsidR="00373121" w:rsidRPr="00FB4990" w:rsidRDefault="00373121" w:rsidP="002A03DE">
      <w:pPr>
        <w:pStyle w:val="Styletexte"/>
        <w:spacing w:after="0"/>
      </w:pPr>
    </w:p>
    <w:p w:rsidR="003D32D2" w:rsidRPr="00437495" w:rsidRDefault="00373121" w:rsidP="00DA5A11">
      <w:pPr>
        <w:pStyle w:val="Styletexte"/>
        <w:spacing w:after="0"/>
      </w:pPr>
      <w:r w:rsidRPr="00FB4990">
        <w:t>Travel includes the costs of airfare, daily su</w:t>
      </w:r>
      <w:r>
        <w:t>bsistence</w:t>
      </w:r>
      <w:r w:rsidRPr="00FB4990">
        <w:t xml:space="preserve"> allowances, terminal allowances and other travel costs for staff on official business and travel for participants, lecturers and fellows in connection with training activities. Contract</w:t>
      </w:r>
      <w:r>
        <w:t>ual</w:t>
      </w:r>
      <w:r w:rsidRPr="00FB4990">
        <w:t xml:space="preserve"> services include translators, interpreters and other non-staff or consultant service agreements.</w:t>
      </w:r>
      <w:r w:rsidR="00DA5A11">
        <w:t xml:space="preserve"> </w:t>
      </w:r>
      <w:r w:rsidRPr="00437495">
        <w:t xml:space="preserve">Operating expenses include items such as premises rent, maintenance and utilities, bank charges and the cost of communications. </w:t>
      </w:r>
    </w:p>
    <w:p w:rsidR="003D32D2" w:rsidRPr="00437495" w:rsidRDefault="003D32D2" w:rsidP="002A03DE">
      <w:pPr>
        <w:pStyle w:val="Styletexte"/>
        <w:spacing w:after="0"/>
      </w:pPr>
    </w:p>
    <w:p w:rsidR="00373121" w:rsidRDefault="00373121" w:rsidP="002A03DE">
      <w:pPr>
        <w:pStyle w:val="Styletexte"/>
        <w:spacing w:after="0"/>
      </w:pPr>
      <w:r w:rsidRPr="00274CB3">
        <w:t>The costs of depreciation of buildings</w:t>
      </w:r>
      <w:r w:rsidR="00274CB3" w:rsidRPr="00274CB3">
        <w:t xml:space="preserve"> (6.3</w:t>
      </w:r>
      <w:r w:rsidR="004751E2" w:rsidRPr="00274CB3">
        <w:t xml:space="preserve"> million Swiss francs),</w:t>
      </w:r>
      <w:r w:rsidRPr="00274CB3">
        <w:t xml:space="preserve"> intangible assets (</w:t>
      </w:r>
      <w:r w:rsidR="004751E2" w:rsidRPr="00274CB3">
        <w:t>0</w:t>
      </w:r>
      <w:r w:rsidR="00717A07" w:rsidRPr="00274CB3">
        <w:t>.</w:t>
      </w:r>
      <w:r w:rsidR="00274CB3" w:rsidRPr="00274CB3">
        <w:t>5</w:t>
      </w:r>
      <w:r w:rsidRPr="00274CB3">
        <w:t xml:space="preserve"> million</w:t>
      </w:r>
      <w:r w:rsidR="0056293C" w:rsidRPr="00274CB3">
        <w:t xml:space="preserve"> Swiss francs</w:t>
      </w:r>
      <w:r w:rsidRPr="00274CB3">
        <w:t>)</w:t>
      </w:r>
      <w:r w:rsidR="004751E2" w:rsidRPr="00274CB3">
        <w:t xml:space="preserve"> and</w:t>
      </w:r>
      <w:r w:rsidRPr="00274CB3">
        <w:t xml:space="preserve"> equipment (1.</w:t>
      </w:r>
      <w:r w:rsidR="00274CB3" w:rsidRPr="00274CB3">
        <w:t>3</w:t>
      </w:r>
      <w:r w:rsidRPr="00274CB3">
        <w:t xml:space="preserve"> million</w:t>
      </w:r>
      <w:r w:rsidR="008F054B" w:rsidRPr="00274CB3">
        <w:t xml:space="preserve"> Swiss francs</w:t>
      </w:r>
      <w:r w:rsidRPr="00274CB3">
        <w:t>)</w:t>
      </w:r>
      <w:r w:rsidR="00717A07" w:rsidRPr="00274CB3">
        <w:t xml:space="preserve"> </w:t>
      </w:r>
      <w:r w:rsidRPr="00274CB3">
        <w:t>are treated as IPSAS adjustments. The</w:t>
      </w:r>
      <w:r w:rsidR="00274CB3" w:rsidRPr="00274CB3">
        <w:t xml:space="preserve"> transfer to fixed assets of</w:t>
      </w:r>
      <w:r w:rsidRPr="00274CB3">
        <w:t xml:space="preserve"> construction</w:t>
      </w:r>
      <w:r w:rsidR="00274CB3" w:rsidRPr="00274CB3">
        <w:t xml:space="preserve"> costs and additions to buildings</w:t>
      </w:r>
      <w:r w:rsidRPr="00274CB3">
        <w:t xml:space="preserve"> (</w:t>
      </w:r>
      <w:r w:rsidR="00274CB3" w:rsidRPr="00274CB3">
        <w:t>5</w:t>
      </w:r>
      <w:r w:rsidRPr="00274CB3">
        <w:t>.</w:t>
      </w:r>
      <w:r w:rsidR="00274CB3" w:rsidRPr="00274CB3">
        <w:t>9</w:t>
      </w:r>
      <w:r w:rsidRPr="00274CB3">
        <w:t xml:space="preserve"> million</w:t>
      </w:r>
      <w:r w:rsidR="0056293C" w:rsidRPr="00274CB3">
        <w:t xml:space="preserve"> Swiss francs</w:t>
      </w:r>
      <w:r w:rsidRPr="00274CB3">
        <w:t>) are also included within IPSAS adjustments</w:t>
      </w:r>
      <w:r w:rsidR="00717A07" w:rsidRPr="00274CB3">
        <w:t>.</w:t>
      </w:r>
    </w:p>
    <w:p w:rsidR="002C63A1" w:rsidRDefault="002C63A1" w:rsidP="002A03DE">
      <w:pPr>
        <w:pStyle w:val="Styletexte"/>
        <w:spacing w:after="0"/>
      </w:pPr>
    </w:p>
    <w:p w:rsidR="00373121" w:rsidRDefault="00373121" w:rsidP="006D0C30">
      <w:pPr>
        <w:pStyle w:val="StyleHeading211ptNotBoldNotItalicAllcaps"/>
        <w:spacing w:before="0" w:after="0"/>
        <w:rPr>
          <w:szCs w:val="22"/>
        </w:rPr>
      </w:pPr>
      <w:r w:rsidRPr="00996D9C">
        <w:rPr>
          <w:szCs w:val="22"/>
        </w:rPr>
        <w:t>N</w:t>
      </w:r>
      <w:r>
        <w:rPr>
          <w:szCs w:val="22"/>
        </w:rPr>
        <w:t>ote</w:t>
      </w:r>
      <w:r w:rsidRPr="00996D9C">
        <w:rPr>
          <w:szCs w:val="22"/>
        </w:rPr>
        <w:t xml:space="preserve"> 2</w:t>
      </w:r>
      <w:r w:rsidR="00BA7894">
        <w:rPr>
          <w:szCs w:val="22"/>
        </w:rPr>
        <w:t>5</w:t>
      </w:r>
      <w:r w:rsidR="00376539">
        <w:rPr>
          <w:szCs w:val="22"/>
        </w:rPr>
        <w:t>:</w:t>
      </w:r>
      <w:r w:rsidR="0087204A">
        <w:rPr>
          <w:szCs w:val="22"/>
        </w:rPr>
        <w:tab/>
      </w:r>
      <w:r>
        <w:rPr>
          <w:szCs w:val="22"/>
        </w:rPr>
        <w:t>Exchange Gain and Loss</w:t>
      </w:r>
    </w:p>
    <w:p w:rsidR="009952D6" w:rsidRDefault="009952D6" w:rsidP="006D0C30">
      <w:pPr>
        <w:pStyle w:val="STYLETITRENOTES"/>
        <w:keepNext/>
        <w:rPr>
          <w:szCs w:val="22"/>
        </w:rPr>
      </w:pPr>
    </w:p>
    <w:p w:rsidR="009952D6" w:rsidRDefault="009952D6" w:rsidP="006D0C30">
      <w:pPr>
        <w:pStyle w:val="Styletexte"/>
        <w:keepNext/>
        <w:spacing w:after="0"/>
      </w:pPr>
      <w:r w:rsidRPr="005F6D45">
        <w:t>The</w:t>
      </w:r>
      <w:r>
        <w:t xml:space="preserve"> Organization realizes exchange gains and losses on accounts payable and accounts receivable transactions incurred in currencies other than Swiss francs based on the exchange rate in effect on the date of the transaction.</w:t>
      </w:r>
      <w:r w:rsidR="00652B08">
        <w:t xml:space="preserve"> Exchange gains and los</w:t>
      </w:r>
      <w:r w:rsidR="004E6D4E">
        <w:t xml:space="preserve">ses are </w:t>
      </w:r>
      <w:r w:rsidR="00652B08">
        <w:t xml:space="preserve">realized </w:t>
      </w:r>
      <w:r w:rsidR="004E6D4E">
        <w:t>on</w:t>
      </w:r>
      <w:r w:rsidR="00DD72A3">
        <w:t xml:space="preserve"> international and handling fees under the Patent Cooperation</w:t>
      </w:r>
      <w:r w:rsidR="003457B2">
        <w:t xml:space="preserve"> Treaty</w:t>
      </w:r>
      <w:r w:rsidR="00DD72A3">
        <w:t xml:space="preserve"> where these are received by the Organization</w:t>
      </w:r>
      <w:r w:rsidR="004E6D4E">
        <w:t xml:space="preserve"> in currencies other than Swiss francs, and on</w:t>
      </w:r>
      <w:r w:rsidR="00857F03">
        <w:t xml:space="preserve"> payments made to ISA </w:t>
      </w:r>
      <w:r>
        <w:t xml:space="preserve">under </w:t>
      </w:r>
      <w:r>
        <w:lastRenderedPageBreak/>
        <w:t xml:space="preserve">the </w:t>
      </w:r>
      <w:r w:rsidR="004E6D4E">
        <w:t>PCT</w:t>
      </w:r>
      <w:r>
        <w:t xml:space="preserve"> which are valued in the currency of the ISA but collected by WIPO in Swiss francs or by the national receiving office in its local currency. In addition, unrealized exchange gains and losses relating to the revaluation of bank accounts and other monetary assets and liabilities into Swiss francs at the exchange rate in effect on the reporting date are recognized on the financial statements. The net effect of all exchange gains and losses</w:t>
      </w:r>
      <w:r w:rsidR="002510AD">
        <w:t xml:space="preserve"> of </w:t>
      </w:r>
      <w:r w:rsidR="003457B2">
        <w:t>6.6 million</w:t>
      </w:r>
      <w:r w:rsidR="0052273A">
        <w:t xml:space="preserve"> Swiss francs</w:t>
      </w:r>
      <w:r>
        <w:t xml:space="preserve"> is recognized as a component of revenue on the Statement of Financial Performance</w:t>
      </w:r>
      <w:r w:rsidR="0052273A">
        <w:t xml:space="preserve">, </w:t>
      </w:r>
      <w:r w:rsidR="003457B2">
        <w:t xml:space="preserve">principally </w:t>
      </w:r>
      <w:r w:rsidR="0052273A">
        <w:t>within the lines PCT System</w:t>
      </w:r>
      <w:r w:rsidR="003457B2">
        <w:t xml:space="preserve"> fees (7.5 million Swiss francs)</w:t>
      </w:r>
      <w:r w:rsidR="0052273A">
        <w:t xml:space="preserve"> and O</w:t>
      </w:r>
      <w:r w:rsidR="002510AD">
        <w:t>ther/misc</w:t>
      </w:r>
      <w:r w:rsidR="003457B2">
        <w:t>ellaneous revenue (-0.9 million</w:t>
      </w:r>
      <w:r w:rsidR="0052273A">
        <w:t xml:space="preserve"> Swiss francs)</w:t>
      </w:r>
    </w:p>
    <w:p w:rsidR="00373121" w:rsidRPr="00E14608" w:rsidRDefault="00373121" w:rsidP="00373121">
      <w:pPr>
        <w:pStyle w:val="STYLETITRENOTES"/>
        <w:rPr>
          <w:b w:val="0"/>
          <w:szCs w:val="22"/>
        </w:rPr>
      </w:pPr>
    </w:p>
    <w:p w:rsidR="00373121" w:rsidRPr="00BA7EED" w:rsidRDefault="00BC7CD6" w:rsidP="00373121">
      <w:pPr>
        <w:pStyle w:val="STYLETITRENOTES"/>
        <w:rPr>
          <w:szCs w:val="22"/>
        </w:rPr>
      </w:pPr>
      <w:r>
        <w:rPr>
          <w:noProof/>
        </w:rPr>
        <w:drawing>
          <wp:inline distT="0" distB="0" distL="0" distR="0" wp14:anchorId="0CACAE7C" wp14:editId="57AE8497">
            <wp:extent cx="5972175" cy="319087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972175" cy="3190875"/>
                    </a:xfrm>
                    <a:prstGeom prst="rect">
                      <a:avLst/>
                    </a:prstGeom>
                    <a:noFill/>
                    <a:ln>
                      <a:noFill/>
                    </a:ln>
                  </pic:spPr>
                </pic:pic>
              </a:graphicData>
            </a:graphic>
          </wp:inline>
        </w:drawing>
      </w:r>
    </w:p>
    <w:p w:rsidR="00373121" w:rsidRPr="00E14608" w:rsidRDefault="00373121" w:rsidP="002C14F3">
      <w:pPr>
        <w:pStyle w:val="STYLETITRENOTES"/>
        <w:rPr>
          <w:b w:val="0"/>
          <w:szCs w:val="22"/>
        </w:rPr>
      </w:pPr>
    </w:p>
    <w:p w:rsidR="002C14F3" w:rsidRPr="00E14608" w:rsidRDefault="002C14F3" w:rsidP="002C14F3">
      <w:pPr>
        <w:pStyle w:val="STYLETITRENOTES"/>
        <w:rPr>
          <w:b w:val="0"/>
          <w:szCs w:val="22"/>
        </w:rPr>
      </w:pPr>
    </w:p>
    <w:p w:rsidR="00373121" w:rsidRDefault="00373121" w:rsidP="002C14F3">
      <w:pPr>
        <w:pStyle w:val="StyleHeading211ptNotBoldNotItalicAllcaps"/>
        <w:spacing w:before="0" w:after="0"/>
      </w:pPr>
      <w:r w:rsidRPr="00295680">
        <w:t>Note 2</w:t>
      </w:r>
      <w:r w:rsidR="00BA7894">
        <w:t>6</w:t>
      </w:r>
      <w:r w:rsidR="00376539">
        <w:t>:</w:t>
      </w:r>
      <w:r w:rsidR="0087204A">
        <w:tab/>
      </w:r>
      <w:r w:rsidRPr="00295680">
        <w:t>Events after the reporting date</w:t>
      </w:r>
    </w:p>
    <w:p w:rsidR="00373121" w:rsidRPr="00295680" w:rsidRDefault="00373121" w:rsidP="002C14F3">
      <w:pPr>
        <w:pStyle w:val="STYLETITRENOTES"/>
      </w:pPr>
    </w:p>
    <w:p w:rsidR="00373121" w:rsidRDefault="00373121" w:rsidP="002C14F3">
      <w:pPr>
        <w:pStyle w:val="Styletexte"/>
        <w:spacing w:after="0"/>
      </w:pPr>
      <w:r w:rsidRPr="00295680">
        <w:t xml:space="preserve">WIPO’s reporting date is </w:t>
      </w:r>
      <w:r w:rsidRPr="00D94D51">
        <w:t>December 31, 201</w:t>
      </w:r>
      <w:r w:rsidR="00302EA9" w:rsidRPr="00D94D51">
        <w:t>2</w:t>
      </w:r>
      <w:r w:rsidR="00857F03">
        <w:t>,</w:t>
      </w:r>
      <w:r w:rsidRPr="00D94D51">
        <w:t xml:space="preserve"> and its financial statements were authori</w:t>
      </w:r>
      <w:r w:rsidR="003457B2">
        <w:t xml:space="preserve">zed for issuance on </w:t>
      </w:r>
      <w:r w:rsidR="000A13E9">
        <w:t>May 3, 2013</w:t>
      </w:r>
      <w:r w:rsidRPr="00D94D51">
        <w:t>.</w:t>
      </w:r>
      <w:r>
        <w:t xml:space="preserve">  No material events, favorable or unfavorable, which would have impacted upon the </w:t>
      </w:r>
      <w:proofErr w:type="gramStart"/>
      <w:r>
        <w:t>statements</w:t>
      </w:r>
      <w:proofErr w:type="gramEnd"/>
      <w:r>
        <w:t xml:space="preserve"> have been incurred between the reporting date and the date on which the financial statements were authorized for issue.</w:t>
      </w:r>
    </w:p>
    <w:p w:rsidR="009874D3" w:rsidRDefault="009874D3" w:rsidP="002C14F3">
      <w:pPr>
        <w:pStyle w:val="Styletexte"/>
        <w:spacing w:after="0"/>
      </w:pPr>
    </w:p>
    <w:p w:rsidR="002C14F3" w:rsidRPr="00295680" w:rsidRDefault="002C14F3" w:rsidP="002C14F3">
      <w:pPr>
        <w:pStyle w:val="Styletexte"/>
        <w:spacing w:after="0"/>
      </w:pPr>
    </w:p>
    <w:p w:rsidR="00373121" w:rsidRDefault="00373121" w:rsidP="002C14F3">
      <w:pPr>
        <w:pStyle w:val="StyleHeading211ptNotBoldNotItalicAllcaps"/>
        <w:spacing w:before="0" w:after="0"/>
      </w:pPr>
      <w:r w:rsidRPr="00FB4990">
        <w:t>Note 2</w:t>
      </w:r>
      <w:r w:rsidR="00BA7894">
        <w:t>7</w:t>
      </w:r>
      <w:r w:rsidR="00376539">
        <w:t>:</w:t>
      </w:r>
      <w:r w:rsidR="0087204A">
        <w:tab/>
      </w:r>
      <w:r w:rsidRPr="00FB4990">
        <w:t>Segment</w:t>
      </w:r>
      <w:r>
        <w:t xml:space="preserve"> Reporting</w:t>
      </w:r>
    </w:p>
    <w:p w:rsidR="00373121" w:rsidRPr="00FB4990" w:rsidRDefault="00373121" w:rsidP="002C14F3">
      <w:pPr>
        <w:pStyle w:val="STYLETITRENOTES"/>
      </w:pPr>
    </w:p>
    <w:p w:rsidR="00D16ECF" w:rsidRDefault="00373121" w:rsidP="002C14F3">
      <w:pPr>
        <w:pStyle w:val="Styletexte"/>
        <w:spacing w:after="0"/>
      </w:pPr>
      <w:r w:rsidRPr="00FB4990">
        <w:t>Segment reporting is presented in a format which represents the various Unions as the segments that make up the World Intellectual Property Organization. The Unions were created by the various treaties administered by WIPO.</w:t>
      </w:r>
    </w:p>
    <w:p w:rsidR="00373121" w:rsidRPr="00FB4990" w:rsidRDefault="00373121" w:rsidP="002C14F3">
      <w:pPr>
        <w:pStyle w:val="Styletexte"/>
        <w:spacing w:after="0"/>
      </w:pPr>
    </w:p>
    <w:p w:rsidR="00373121" w:rsidRDefault="00373121" w:rsidP="002C14F3">
      <w:pPr>
        <w:pStyle w:val="Styletexte"/>
        <w:spacing w:after="0"/>
      </w:pPr>
      <w:r w:rsidRPr="00FB4990">
        <w:t>The WIPO contribution financed Unions have been consolidated for presentation purposes.  These include the Paris, Berne, Locarno, Nice and IPC unions along with the functions covered by the WIPO Convention. The Patent Co</w:t>
      </w:r>
      <w:r>
        <w:t xml:space="preserve">operation </w:t>
      </w:r>
      <w:r w:rsidRPr="00FB4990">
        <w:t>Treaty (PCT) Union, Madrid Union (Trademarks), Hague Union (Industrial Design</w:t>
      </w:r>
      <w:r w:rsidR="008A7653">
        <w:t>s</w:t>
      </w:r>
      <w:r w:rsidRPr="00FB4990">
        <w:t xml:space="preserve">) and Lisbon Union (Appellations of Origin) are each governed by an Assembly which meets annually to adopt a budget and take such other actions as may be appropriate under the relevant treaties.  </w:t>
      </w:r>
    </w:p>
    <w:p w:rsidR="002C14F3" w:rsidRPr="00FB4990" w:rsidRDefault="002C14F3" w:rsidP="002C14F3">
      <w:pPr>
        <w:pStyle w:val="Styletexte"/>
        <w:spacing w:after="0"/>
      </w:pPr>
    </w:p>
    <w:p w:rsidR="00373121" w:rsidRDefault="00373121" w:rsidP="002C14F3">
      <w:pPr>
        <w:pStyle w:val="Styletexte"/>
        <w:spacing w:after="0"/>
      </w:pPr>
      <w:r w:rsidRPr="009B649B">
        <w:t>WIPO’s assets and liabilities</w:t>
      </w:r>
      <w:r>
        <w:t>,</w:t>
      </w:r>
      <w:r w:rsidRPr="009B649B">
        <w:t xml:space="preserve"> other than the reserve</w:t>
      </w:r>
      <w:r>
        <w:t>s representing net assets,</w:t>
      </w:r>
      <w:r w:rsidRPr="009B649B">
        <w:t xml:space="preserve"> are owned by or are the responsibility of the entire organization and not assets or liabi</w:t>
      </w:r>
      <w:r>
        <w:t>l</w:t>
      </w:r>
      <w:r w:rsidRPr="009B649B">
        <w:t xml:space="preserve">ities of individual unions or segments.  The assets and liabilities generally support a wide range of service delivery activities </w:t>
      </w:r>
      <w:r w:rsidRPr="009B649B">
        <w:lastRenderedPageBreak/>
        <w:t xml:space="preserve">across multiple Unions (segments). The only exception is the investment property in </w:t>
      </w:r>
      <w:proofErr w:type="spellStart"/>
      <w:r w:rsidRPr="009B649B">
        <w:t>Meyrin</w:t>
      </w:r>
      <w:proofErr w:type="spellEnd"/>
      <w:r w:rsidRPr="009B649B">
        <w:t xml:space="preserve"> which is owned by the Madrid Union. Therefore, individual assets and liabilities will not be reflected in the disclosure of information for individual segments or unions</w:t>
      </w:r>
      <w:r>
        <w:t>. O</w:t>
      </w:r>
      <w:r w:rsidRPr="009B649B">
        <w:t>nly the net assets/equity including the working capital funds and reserves</w:t>
      </w:r>
      <w:r>
        <w:t xml:space="preserve"> are shown by individual segment.</w:t>
      </w:r>
    </w:p>
    <w:p w:rsidR="002C14F3" w:rsidRDefault="002C14F3" w:rsidP="002C14F3">
      <w:pPr>
        <w:pStyle w:val="Styletexte"/>
        <w:spacing w:after="0"/>
      </w:pPr>
    </w:p>
    <w:p w:rsidR="00373121" w:rsidRDefault="00373121" w:rsidP="002C14F3">
      <w:pPr>
        <w:pStyle w:val="Styletexte"/>
        <w:spacing w:after="0"/>
      </w:pPr>
      <w:r w:rsidRPr="00FB4990">
        <w:t>Most revenue is accounted for by Union in WIPO’s accounts. Revenue from interest earnings has been allocated among the Unions based upon total cash reserves and current revenue in 20</w:t>
      </w:r>
      <w:r>
        <w:t>1</w:t>
      </w:r>
      <w:r w:rsidR="007B04FD">
        <w:t>2</w:t>
      </w:r>
      <w:r w:rsidRPr="00FB4990">
        <w:t xml:space="preserve">. Expenses are accounted for by program and then re-allocated to the various Unions based upon a methodology accepted by the WIPO General </w:t>
      </w:r>
      <w:r w:rsidRPr="00D34A60">
        <w:t xml:space="preserve">Assembly as part of the adoption of </w:t>
      </w:r>
      <w:r w:rsidR="006511A3" w:rsidRPr="006511A3">
        <w:t>WIPO’s 2012/13</w:t>
      </w:r>
      <w:r w:rsidRPr="006511A3">
        <w:t xml:space="preserve"> Program and Budget</w:t>
      </w:r>
      <w:r w:rsidRPr="00D34A60">
        <w:t>.</w:t>
      </w:r>
      <w:r w:rsidRPr="00FB4990">
        <w:t xml:space="preserve">  </w:t>
      </w:r>
    </w:p>
    <w:p w:rsidR="002C14F3" w:rsidRPr="00FB4990" w:rsidRDefault="002C14F3" w:rsidP="002C14F3">
      <w:pPr>
        <w:pStyle w:val="Styletexte"/>
        <w:spacing w:after="0"/>
      </w:pPr>
    </w:p>
    <w:p w:rsidR="00373121" w:rsidRDefault="00373121" w:rsidP="002C14F3">
      <w:pPr>
        <w:pStyle w:val="Styletexte"/>
        <w:spacing w:after="0"/>
      </w:pPr>
      <w:r w:rsidRPr="00FB4990">
        <w:t>A separate segment has been established for voluntary contributions representing amounts administered by WIPO on behalf of individual donors to carry out pro</w:t>
      </w:r>
      <w:r>
        <w:t>grams related to WIPO’s mandate</w:t>
      </w:r>
      <w:r w:rsidRPr="00FB4990">
        <w:t xml:space="preserve">. Revenue and expense related to Voluntary Contributions </w:t>
      </w:r>
      <w:r>
        <w:t xml:space="preserve">(Special Accounts) </w:t>
      </w:r>
      <w:r w:rsidRPr="00FB4990">
        <w:t>are accounted for separately in the financial accounting system</w:t>
      </w:r>
      <w:r>
        <w:t>.</w:t>
      </w:r>
    </w:p>
    <w:p w:rsidR="002C14F3" w:rsidRDefault="002C14F3" w:rsidP="002C14F3">
      <w:pPr>
        <w:pStyle w:val="Styletexte"/>
        <w:spacing w:after="0"/>
      </w:pPr>
    </w:p>
    <w:p w:rsidR="00373121" w:rsidRDefault="00373121" w:rsidP="002C14F3">
      <w:pPr>
        <w:pStyle w:val="Styletexte"/>
        <w:spacing w:after="0"/>
      </w:pPr>
      <w:r>
        <w:t xml:space="preserve">All </w:t>
      </w:r>
      <w:r w:rsidRPr="008178C9">
        <w:t>expenses</w:t>
      </w:r>
      <w:r>
        <w:t xml:space="preserve"> are allocated among the Unions making up the segments based upon the approved allocation methodology. Expenses for the Special Accounts segment relating to voluntary contributions to the Organization are recorded as actual cost. The only inter-segment charge represents the costs of program support incurred by the Unions in support of Special Accounts. Program support costs are charged to the Special Accounts based on </w:t>
      </w:r>
      <w:proofErr w:type="gramStart"/>
      <w:r>
        <w:t xml:space="preserve">a </w:t>
      </w:r>
      <w:r w:rsidR="002D6885">
        <w:t>per</w:t>
      </w:r>
      <w:proofErr w:type="gramEnd"/>
      <w:r w:rsidR="002D6885">
        <w:t xml:space="preserve"> </w:t>
      </w:r>
      <w:proofErr w:type="spellStart"/>
      <w:r w:rsidR="002D6885">
        <w:t>cent</w:t>
      </w:r>
      <w:r>
        <w:t>age</w:t>
      </w:r>
      <w:proofErr w:type="spellEnd"/>
      <w:r>
        <w:t xml:space="preserve"> of total direct expenditure specified in the agreement with the donor making the voluntary contribution.</w:t>
      </w:r>
    </w:p>
    <w:p w:rsidR="009B4638" w:rsidRDefault="009B4638" w:rsidP="00373121">
      <w:pPr>
        <w:pStyle w:val="STYLEDUTEXTE"/>
      </w:pPr>
    </w:p>
    <w:p w:rsidR="0004056D" w:rsidRDefault="0004056D" w:rsidP="00373121">
      <w:pPr>
        <w:pStyle w:val="STYLEDUTEXTE"/>
        <w:sectPr w:rsidR="0004056D" w:rsidSect="0080775C">
          <w:footerReference w:type="default" r:id="rId74"/>
          <w:pgSz w:w="11907" w:h="16840" w:code="9"/>
          <w:pgMar w:top="851" w:right="1247" w:bottom="1531" w:left="1247" w:header="709" w:footer="709" w:gutter="0"/>
          <w:cols w:space="708"/>
          <w:docGrid w:linePitch="360"/>
        </w:sectPr>
      </w:pPr>
    </w:p>
    <w:p w:rsidR="00C420CA" w:rsidRPr="008F054B" w:rsidRDefault="008F054B" w:rsidP="008F054B">
      <w:pPr>
        <w:pStyle w:val="STYLEDUTEXTE"/>
        <w:jc w:val="left"/>
        <w:rPr>
          <w:rFonts w:cs="Arial"/>
          <w:szCs w:val="22"/>
        </w:rPr>
      </w:pPr>
      <w:r>
        <w:rPr>
          <w:b/>
        </w:rPr>
        <w:lastRenderedPageBreak/>
        <w:t>Revenue, Expense and Reserves by Segment</w:t>
      </w:r>
    </w:p>
    <w:p w:rsidR="00BE26C7" w:rsidRDefault="00BE26C7" w:rsidP="008F054B">
      <w:pPr>
        <w:pStyle w:val="StyleArial10pt"/>
        <w:ind w:firstLineChars="0" w:firstLine="0"/>
        <w:rPr>
          <w:rFonts w:cs="Arial"/>
          <w:sz w:val="22"/>
          <w:szCs w:val="22"/>
        </w:rPr>
      </w:pPr>
    </w:p>
    <w:p w:rsidR="00BE226A" w:rsidRPr="00DB2198" w:rsidRDefault="00BC7CD6" w:rsidP="008F054B">
      <w:pPr>
        <w:pStyle w:val="StyleArial10pt"/>
        <w:ind w:firstLineChars="0" w:firstLine="0"/>
        <w:rPr>
          <w:szCs w:val="22"/>
        </w:rPr>
      </w:pPr>
      <w:r>
        <w:rPr>
          <w:noProof/>
        </w:rPr>
        <w:drawing>
          <wp:inline distT="0" distB="0" distL="0" distR="0" wp14:anchorId="5D2181E0" wp14:editId="6980533A">
            <wp:extent cx="6334125" cy="7877175"/>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6334125" cy="7877175"/>
                    </a:xfrm>
                    <a:prstGeom prst="rect">
                      <a:avLst/>
                    </a:prstGeom>
                    <a:noFill/>
                    <a:ln>
                      <a:noFill/>
                    </a:ln>
                  </pic:spPr>
                </pic:pic>
              </a:graphicData>
            </a:graphic>
          </wp:inline>
        </w:drawing>
      </w:r>
    </w:p>
    <w:p w:rsidR="000224E1" w:rsidRDefault="00BB43DE" w:rsidP="000224E1">
      <w:pPr>
        <w:pStyle w:val="STYLE2LASTONE"/>
        <w:ind w:left="0" w:firstLine="0"/>
        <w:jc w:val="center"/>
        <w:rPr>
          <w:rFonts w:cs="Arial"/>
          <w:sz w:val="22"/>
          <w:szCs w:val="22"/>
          <w:lang w:val="en-US"/>
        </w:rPr>
      </w:pPr>
      <w:bookmarkStart w:id="20" w:name="_Toc301187118"/>
      <w:proofErr w:type="gramStart"/>
      <w:r w:rsidRPr="008F054B">
        <w:rPr>
          <w:rFonts w:cs="Arial"/>
          <w:sz w:val="22"/>
          <w:szCs w:val="22"/>
          <w:lang w:val="en-US"/>
        </w:rPr>
        <w:t>of</w:t>
      </w:r>
      <w:proofErr w:type="gramEnd"/>
      <w:r w:rsidRPr="008F054B">
        <w:rPr>
          <w:rFonts w:cs="Arial"/>
          <w:sz w:val="22"/>
          <w:szCs w:val="22"/>
          <w:lang w:val="en-US"/>
        </w:rPr>
        <w:t xml:space="preserve"> Financial Performance by Business Unit</w:t>
      </w:r>
      <w:bookmarkStart w:id="21" w:name="_Toc301187119"/>
      <w:bookmarkEnd w:id="20"/>
    </w:p>
    <w:p w:rsidR="00E826B4" w:rsidRPr="008F054B" w:rsidRDefault="000224E1" w:rsidP="00DE0A1B">
      <w:pPr>
        <w:pStyle w:val="STYLE2LASTONE"/>
        <w:ind w:left="0" w:firstLine="0"/>
        <w:jc w:val="both"/>
        <w:rPr>
          <w:rFonts w:cs="Arial"/>
          <w:sz w:val="22"/>
          <w:szCs w:val="22"/>
          <w:lang w:val="en-US"/>
        </w:rPr>
      </w:pPr>
      <w:r w:rsidRPr="00DE0A1B">
        <w:rPr>
          <w:rFonts w:cs="Arial"/>
          <w:b w:val="0"/>
          <w:color w:val="auto"/>
          <w:sz w:val="18"/>
          <w:szCs w:val="18"/>
          <w:lang w:val="en-US"/>
        </w:rPr>
        <w:t xml:space="preserve">Note; </w:t>
      </w:r>
      <w:r w:rsidR="00DE0A1B" w:rsidRPr="00DE0A1B">
        <w:rPr>
          <w:rFonts w:cs="Arial"/>
          <w:b w:val="0"/>
          <w:color w:val="auto"/>
          <w:sz w:val="18"/>
          <w:szCs w:val="18"/>
          <w:lang w:val="en-US"/>
        </w:rPr>
        <w:t>The</w:t>
      </w:r>
      <w:r w:rsidR="00DE0A1B">
        <w:rPr>
          <w:rFonts w:cs="Arial"/>
          <w:b w:val="0"/>
          <w:color w:val="auto"/>
          <w:sz w:val="18"/>
          <w:szCs w:val="18"/>
          <w:lang w:val="en-US"/>
        </w:rPr>
        <w:t xml:space="preserve"> Madrid Union has assumed the</w:t>
      </w:r>
      <w:r w:rsidR="00DE0A1B" w:rsidRPr="00DE0A1B">
        <w:rPr>
          <w:rFonts w:cs="Arial"/>
          <w:b w:val="0"/>
          <w:color w:val="auto"/>
          <w:sz w:val="18"/>
          <w:szCs w:val="18"/>
          <w:lang w:val="en-US"/>
        </w:rPr>
        <w:t xml:space="preserve"> financing of the Hague Union</w:t>
      </w:r>
      <w:r w:rsidR="00DE0A1B">
        <w:rPr>
          <w:rFonts w:cs="Arial"/>
          <w:b w:val="0"/>
          <w:color w:val="auto"/>
          <w:sz w:val="18"/>
          <w:szCs w:val="18"/>
          <w:lang w:val="en-US"/>
        </w:rPr>
        <w:t xml:space="preserve">’s contribution of 3 million Swiss francs to the IT Modernization Program of the Madrid and Hague international registration systems. </w:t>
      </w:r>
      <w:r w:rsidR="00DE0A1B" w:rsidRPr="00DE0A1B">
        <w:rPr>
          <w:rFonts w:cs="Arial"/>
          <w:b w:val="0"/>
          <w:color w:val="auto"/>
          <w:sz w:val="18"/>
          <w:szCs w:val="18"/>
          <w:lang w:val="en-US"/>
        </w:rPr>
        <w:t xml:space="preserve"> The amount will be reimbursed by the Hague Union to the Madrid Union as soon as the level of reserves of the Hague Union Reserve Fund so allows.</w:t>
      </w:r>
      <w:r w:rsidR="00866B94" w:rsidRPr="008F054B">
        <w:rPr>
          <w:rFonts w:cs="Arial"/>
          <w:sz w:val="22"/>
          <w:szCs w:val="22"/>
          <w:lang w:val="en-US"/>
        </w:rPr>
        <w:t xml:space="preserve"> – Special Accounts by Donor Contributions</w:t>
      </w:r>
      <w:bookmarkEnd w:id="21"/>
    </w:p>
    <w:p w:rsidR="00BE226A" w:rsidRDefault="00BE226A" w:rsidP="002C14F3">
      <w:pPr>
        <w:pStyle w:val="Heading1"/>
        <w:keepNext/>
        <w:spacing w:after="0"/>
        <w:ind w:left="0" w:firstLine="0"/>
        <w:jc w:val="center"/>
        <w:rPr>
          <w:rFonts w:cs="Arial"/>
          <w:szCs w:val="22"/>
          <w:lang w:val="en-US"/>
        </w:rPr>
        <w:sectPr w:rsidR="00BE226A" w:rsidSect="00BE226A">
          <w:footerReference w:type="even" r:id="rId76"/>
          <w:pgSz w:w="11907" w:h="16840" w:code="9"/>
          <w:pgMar w:top="1247" w:right="1077" w:bottom="1247" w:left="851" w:header="709" w:footer="187" w:gutter="0"/>
          <w:cols w:space="708"/>
          <w:docGrid w:linePitch="360"/>
        </w:sectPr>
      </w:pPr>
    </w:p>
    <w:p w:rsidR="008F054B" w:rsidRPr="003928E9" w:rsidRDefault="008F054B" w:rsidP="002C14F3">
      <w:pPr>
        <w:pStyle w:val="Heading1"/>
        <w:keepNext/>
        <w:spacing w:after="0"/>
        <w:ind w:left="0" w:firstLine="0"/>
        <w:jc w:val="center"/>
        <w:rPr>
          <w:rFonts w:ascii="Arial" w:eastAsia="SimSun" w:hAnsi="Arial" w:cs="Arial"/>
          <w:bCs/>
          <w:caps/>
          <w:color w:val="auto"/>
          <w:kern w:val="32"/>
          <w:sz w:val="22"/>
          <w:szCs w:val="32"/>
          <w:lang w:val="en-US"/>
        </w:rPr>
      </w:pPr>
      <w:r w:rsidRPr="003928E9">
        <w:rPr>
          <w:rFonts w:ascii="Arial" w:eastAsia="SimSun" w:hAnsi="Arial" w:cs="Arial"/>
          <w:bCs/>
          <w:caps/>
          <w:color w:val="auto"/>
          <w:kern w:val="32"/>
          <w:sz w:val="22"/>
          <w:szCs w:val="32"/>
          <w:lang w:val="en-US"/>
        </w:rPr>
        <w:lastRenderedPageBreak/>
        <w:t xml:space="preserve"> </w:t>
      </w:r>
      <w:r>
        <w:rPr>
          <w:rFonts w:ascii="Arial" w:eastAsia="SimSun" w:hAnsi="Arial" w:cs="Arial"/>
          <w:bCs/>
          <w:caps/>
          <w:color w:val="auto"/>
          <w:kern w:val="32"/>
          <w:sz w:val="22"/>
          <w:szCs w:val="32"/>
          <w:lang w:val="en-US"/>
        </w:rPr>
        <w:t xml:space="preserve">ANNEX </w:t>
      </w:r>
      <w:r w:rsidRPr="003928E9">
        <w:rPr>
          <w:rFonts w:ascii="Arial" w:eastAsia="SimSun" w:hAnsi="Arial" w:cs="Arial"/>
          <w:bCs/>
          <w:caps/>
          <w:color w:val="auto"/>
          <w:kern w:val="32"/>
          <w:sz w:val="22"/>
          <w:szCs w:val="32"/>
          <w:lang w:val="en-US"/>
        </w:rPr>
        <w:t>I</w:t>
      </w:r>
      <w:r>
        <w:rPr>
          <w:rFonts w:ascii="Arial" w:eastAsia="SimSun" w:hAnsi="Arial" w:cs="Arial"/>
          <w:bCs/>
          <w:caps/>
          <w:color w:val="auto"/>
          <w:kern w:val="32"/>
          <w:sz w:val="22"/>
          <w:szCs w:val="32"/>
          <w:lang w:val="en-US"/>
        </w:rPr>
        <w:br/>
      </w:r>
      <w:r>
        <w:rPr>
          <w:rFonts w:ascii="Arial" w:eastAsia="SimSun" w:hAnsi="Arial" w:cs="Arial"/>
          <w:bCs/>
          <w:caps/>
          <w:color w:val="auto"/>
          <w:kern w:val="32"/>
          <w:sz w:val="22"/>
          <w:szCs w:val="32"/>
          <w:lang w:val="en-US"/>
        </w:rPr>
        <w:br/>
        <w:t>STATEMENT OF FINANCIAL POSITION BY BUSINESS UNIT [UNAUDITED]</w:t>
      </w:r>
    </w:p>
    <w:p w:rsidR="008F054B" w:rsidRPr="002C14F3" w:rsidRDefault="008F054B" w:rsidP="002C14F3">
      <w:pPr>
        <w:jc w:val="center"/>
        <w:rPr>
          <w:rFonts w:ascii="Arial" w:eastAsia="SimSun" w:hAnsi="Arial" w:cs="Arial"/>
          <w:b/>
          <w:sz w:val="20"/>
          <w:szCs w:val="20"/>
        </w:rPr>
      </w:pPr>
      <w:proofErr w:type="gramStart"/>
      <w:r w:rsidRPr="002C14F3">
        <w:rPr>
          <w:rFonts w:ascii="Arial" w:eastAsia="SimSun" w:hAnsi="Arial" w:cs="Arial"/>
          <w:b/>
          <w:sz w:val="20"/>
          <w:szCs w:val="20"/>
        </w:rPr>
        <w:t>as</w:t>
      </w:r>
      <w:proofErr w:type="gramEnd"/>
      <w:r w:rsidRPr="002C14F3">
        <w:rPr>
          <w:rFonts w:ascii="Arial" w:eastAsia="SimSun" w:hAnsi="Arial" w:cs="Arial"/>
          <w:b/>
          <w:sz w:val="20"/>
          <w:szCs w:val="20"/>
        </w:rPr>
        <w:t xml:space="preserve"> at December 31, 201</w:t>
      </w:r>
      <w:r w:rsidR="004E6D4E">
        <w:rPr>
          <w:rFonts w:ascii="Arial" w:eastAsia="SimSun" w:hAnsi="Arial" w:cs="Arial"/>
          <w:b/>
          <w:sz w:val="20"/>
          <w:szCs w:val="20"/>
        </w:rPr>
        <w:t>2</w:t>
      </w:r>
    </w:p>
    <w:p w:rsidR="008F054B" w:rsidRPr="00A320B0" w:rsidRDefault="008F054B" w:rsidP="002C14F3">
      <w:pPr>
        <w:jc w:val="center"/>
        <w:rPr>
          <w:rFonts w:ascii="Arial" w:eastAsia="SimSun" w:hAnsi="Arial" w:cs="Arial"/>
          <w:b/>
          <w:sz w:val="22"/>
          <w:szCs w:val="22"/>
        </w:rPr>
      </w:pPr>
      <w:r w:rsidRPr="002C14F3">
        <w:rPr>
          <w:rFonts w:ascii="Arial" w:eastAsia="SimSun" w:hAnsi="Arial" w:cs="Arial"/>
          <w:b/>
          <w:sz w:val="20"/>
          <w:szCs w:val="20"/>
        </w:rPr>
        <w:t>(</w:t>
      </w:r>
      <w:proofErr w:type="gramStart"/>
      <w:r w:rsidRPr="002C14F3">
        <w:rPr>
          <w:rFonts w:ascii="Arial" w:eastAsia="SimSun" w:hAnsi="Arial" w:cs="Arial"/>
          <w:b/>
          <w:sz w:val="20"/>
          <w:szCs w:val="20"/>
        </w:rPr>
        <w:t>in</w:t>
      </w:r>
      <w:proofErr w:type="gramEnd"/>
      <w:r w:rsidR="004E6D4E">
        <w:rPr>
          <w:rFonts w:ascii="Arial" w:eastAsia="SimSun" w:hAnsi="Arial" w:cs="Arial"/>
          <w:b/>
          <w:sz w:val="20"/>
          <w:szCs w:val="20"/>
        </w:rPr>
        <w:t xml:space="preserve"> thousands of</w:t>
      </w:r>
      <w:r w:rsidRPr="002C14F3">
        <w:rPr>
          <w:rFonts w:ascii="Arial" w:eastAsia="SimSun" w:hAnsi="Arial" w:cs="Arial"/>
          <w:b/>
          <w:sz w:val="20"/>
          <w:szCs w:val="20"/>
        </w:rPr>
        <w:t xml:space="preserve"> Swiss francs)</w:t>
      </w:r>
    </w:p>
    <w:p w:rsidR="008F054B" w:rsidRPr="007343D2" w:rsidRDefault="00450766" w:rsidP="002C14F3">
      <w:pPr>
        <w:pStyle w:val="Styletexte"/>
        <w:spacing w:after="0"/>
        <w:jc w:val="center"/>
      </w:pPr>
      <w:r w:rsidRPr="00450766">
        <w:t xml:space="preserve"> </w:t>
      </w:r>
    </w:p>
    <w:p w:rsidR="002C14F3" w:rsidRPr="003928E9" w:rsidRDefault="00BC7CD6" w:rsidP="002C14F3">
      <w:pPr>
        <w:pStyle w:val="Heading1"/>
        <w:keepNext/>
        <w:spacing w:after="0"/>
        <w:ind w:left="0" w:firstLine="0"/>
        <w:jc w:val="center"/>
        <w:rPr>
          <w:rFonts w:ascii="Arial" w:eastAsia="SimSun" w:hAnsi="Arial" w:cs="Arial"/>
          <w:bCs/>
          <w:caps/>
          <w:color w:val="auto"/>
          <w:kern w:val="32"/>
          <w:sz w:val="22"/>
          <w:szCs w:val="32"/>
          <w:lang w:val="en-US"/>
        </w:rPr>
      </w:pPr>
      <w:r>
        <w:rPr>
          <w:noProof/>
          <w:lang w:val="en-US"/>
        </w:rPr>
        <w:drawing>
          <wp:inline distT="0" distB="0" distL="0" distR="0" wp14:anchorId="7B05C4A3" wp14:editId="2755A8FD">
            <wp:extent cx="7829550" cy="5029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829550" cy="5029200"/>
                    </a:xfrm>
                    <a:prstGeom prst="rect">
                      <a:avLst/>
                    </a:prstGeom>
                    <a:noFill/>
                    <a:ln>
                      <a:noFill/>
                    </a:ln>
                  </pic:spPr>
                </pic:pic>
              </a:graphicData>
            </a:graphic>
          </wp:inline>
        </w:drawing>
      </w:r>
      <w:r w:rsidR="008F054B" w:rsidRPr="002C14F3">
        <w:rPr>
          <w:lang w:val="en-US"/>
        </w:rPr>
        <w:br w:type="page"/>
      </w:r>
      <w:r w:rsidR="002C14F3">
        <w:rPr>
          <w:rFonts w:ascii="Arial" w:eastAsia="SimSun" w:hAnsi="Arial" w:cs="Arial"/>
          <w:bCs/>
          <w:caps/>
          <w:color w:val="auto"/>
          <w:kern w:val="32"/>
          <w:sz w:val="22"/>
          <w:szCs w:val="32"/>
          <w:lang w:val="en-US"/>
        </w:rPr>
        <w:lastRenderedPageBreak/>
        <w:t xml:space="preserve">ANNEX </w:t>
      </w:r>
      <w:r w:rsidR="002C14F3" w:rsidRPr="003928E9">
        <w:rPr>
          <w:rFonts w:ascii="Arial" w:eastAsia="SimSun" w:hAnsi="Arial" w:cs="Arial"/>
          <w:bCs/>
          <w:caps/>
          <w:color w:val="auto"/>
          <w:kern w:val="32"/>
          <w:sz w:val="22"/>
          <w:szCs w:val="32"/>
          <w:lang w:val="en-US"/>
        </w:rPr>
        <w:t>I</w:t>
      </w:r>
      <w:r w:rsidR="002C14F3">
        <w:rPr>
          <w:rFonts w:ascii="Arial" w:eastAsia="SimSun" w:hAnsi="Arial" w:cs="Arial"/>
          <w:bCs/>
          <w:caps/>
          <w:color w:val="auto"/>
          <w:kern w:val="32"/>
          <w:sz w:val="22"/>
          <w:szCs w:val="32"/>
          <w:lang w:val="en-US"/>
        </w:rPr>
        <w:t>I</w:t>
      </w:r>
      <w:r w:rsidR="002C14F3">
        <w:rPr>
          <w:rFonts w:ascii="Arial" w:eastAsia="SimSun" w:hAnsi="Arial" w:cs="Arial"/>
          <w:bCs/>
          <w:caps/>
          <w:color w:val="auto"/>
          <w:kern w:val="32"/>
          <w:sz w:val="22"/>
          <w:szCs w:val="32"/>
          <w:lang w:val="en-US"/>
        </w:rPr>
        <w:br/>
      </w:r>
      <w:r w:rsidR="002C14F3">
        <w:rPr>
          <w:rFonts w:ascii="Arial" w:eastAsia="SimSun" w:hAnsi="Arial" w:cs="Arial"/>
          <w:bCs/>
          <w:caps/>
          <w:color w:val="auto"/>
          <w:kern w:val="32"/>
          <w:sz w:val="22"/>
          <w:szCs w:val="32"/>
          <w:lang w:val="en-US"/>
        </w:rPr>
        <w:br/>
        <w:t>STATEMENT OF FINANCIAL PERFORMANCE BY BUSINESS UNIT [UNAUDITED]</w:t>
      </w:r>
    </w:p>
    <w:p w:rsidR="002C14F3" w:rsidRPr="002C14F3" w:rsidRDefault="002C14F3" w:rsidP="002C14F3">
      <w:pPr>
        <w:jc w:val="center"/>
        <w:rPr>
          <w:rFonts w:ascii="Arial" w:eastAsia="SimSun" w:hAnsi="Arial" w:cs="Arial"/>
          <w:b/>
          <w:sz w:val="20"/>
          <w:szCs w:val="20"/>
        </w:rPr>
      </w:pPr>
      <w:proofErr w:type="gramStart"/>
      <w:r>
        <w:rPr>
          <w:rFonts w:ascii="Arial" w:eastAsia="SimSun" w:hAnsi="Arial" w:cs="Arial"/>
          <w:b/>
          <w:sz w:val="20"/>
          <w:szCs w:val="20"/>
        </w:rPr>
        <w:t>for</w:t>
      </w:r>
      <w:proofErr w:type="gramEnd"/>
      <w:r>
        <w:rPr>
          <w:rFonts w:ascii="Arial" w:eastAsia="SimSun" w:hAnsi="Arial" w:cs="Arial"/>
          <w:b/>
          <w:sz w:val="20"/>
          <w:szCs w:val="20"/>
        </w:rPr>
        <w:t xml:space="preserve"> the year ended</w:t>
      </w:r>
      <w:r w:rsidRPr="002C14F3">
        <w:rPr>
          <w:rFonts w:ascii="Arial" w:eastAsia="SimSun" w:hAnsi="Arial" w:cs="Arial"/>
          <w:b/>
          <w:sz w:val="20"/>
          <w:szCs w:val="20"/>
        </w:rPr>
        <w:t xml:space="preserve"> December 31, 201</w:t>
      </w:r>
      <w:r w:rsidR="00306F6C">
        <w:rPr>
          <w:rFonts w:ascii="Arial" w:eastAsia="SimSun" w:hAnsi="Arial" w:cs="Arial"/>
          <w:b/>
          <w:sz w:val="20"/>
          <w:szCs w:val="20"/>
        </w:rPr>
        <w:t>2</w:t>
      </w:r>
    </w:p>
    <w:p w:rsidR="002C14F3" w:rsidRDefault="002C14F3" w:rsidP="002C14F3">
      <w:pPr>
        <w:pStyle w:val="Styletexte"/>
        <w:spacing w:after="0"/>
        <w:jc w:val="center"/>
        <w:rPr>
          <w:rFonts w:eastAsia="SimSun" w:cs="Arial"/>
          <w:b/>
          <w:sz w:val="20"/>
        </w:rPr>
      </w:pPr>
      <w:r w:rsidRPr="002C14F3">
        <w:rPr>
          <w:rFonts w:eastAsia="SimSun" w:cs="Arial"/>
          <w:b/>
          <w:sz w:val="20"/>
        </w:rPr>
        <w:t>(</w:t>
      </w:r>
      <w:proofErr w:type="gramStart"/>
      <w:r w:rsidRPr="002C14F3">
        <w:rPr>
          <w:rFonts w:eastAsia="SimSun" w:cs="Arial"/>
          <w:b/>
          <w:sz w:val="20"/>
        </w:rPr>
        <w:t>in</w:t>
      </w:r>
      <w:proofErr w:type="gramEnd"/>
      <w:r w:rsidR="00306F6C">
        <w:rPr>
          <w:rFonts w:eastAsia="SimSun" w:cs="Arial"/>
          <w:b/>
          <w:sz w:val="20"/>
        </w:rPr>
        <w:t xml:space="preserve"> thousands of</w:t>
      </w:r>
      <w:r w:rsidRPr="002C14F3">
        <w:rPr>
          <w:rFonts w:eastAsia="SimSun" w:cs="Arial"/>
          <w:b/>
          <w:sz w:val="20"/>
        </w:rPr>
        <w:t xml:space="preserve"> Swiss francs</w:t>
      </w:r>
      <w:r>
        <w:rPr>
          <w:rFonts w:eastAsia="SimSun" w:cs="Arial"/>
          <w:b/>
          <w:sz w:val="20"/>
        </w:rPr>
        <w:t>)</w:t>
      </w:r>
    </w:p>
    <w:p w:rsidR="002C14F3" w:rsidRDefault="002C14F3" w:rsidP="002C14F3">
      <w:pPr>
        <w:pStyle w:val="Styletexte"/>
        <w:spacing w:after="0"/>
        <w:jc w:val="center"/>
        <w:rPr>
          <w:rFonts w:eastAsia="SimSun" w:cs="Arial"/>
          <w:b/>
          <w:sz w:val="20"/>
        </w:rPr>
      </w:pPr>
    </w:p>
    <w:p w:rsidR="00306F6C" w:rsidRDefault="00306F6C" w:rsidP="002C14F3">
      <w:pPr>
        <w:pStyle w:val="Styletexte"/>
        <w:spacing w:after="0"/>
        <w:jc w:val="center"/>
        <w:rPr>
          <w:rFonts w:eastAsia="SimSun" w:cs="Arial"/>
          <w:b/>
          <w:sz w:val="20"/>
        </w:rPr>
      </w:pPr>
    </w:p>
    <w:p w:rsidR="00306F6C" w:rsidRPr="00B173AD" w:rsidRDefault="00BC7CD6" w:rsidP="00306F6C">
      <w:pPr>
        <w:sectPr w:rsidR="00306F6C" w:rsidRPr="00B173AD" w:rsidSect="006262D3">
          <w:pgSz w:w="16840" w:h="11907" w:orient="landscape" w:code="9"/>
          <w:pgMar w:top="851" w:right="1247" w:bottom="1079" w:left="1247" w:header="709" w:footer="188" w:gutter="0"/>
          <w:cols w:space="708"/>
          <w:docGrid w:linePitch="360"/>
        </w:sectPr>
      </w:pPr>
      <w:r>
        <w:rPr>
          <w:noProof/>
        </w:rPr>
        <w:drawing>
          <wp:inline distT="0" distB="0" distL="0" distR="0">
            <wp:extent cx="9105900" cy="48958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9105900" cy="4895850"/>
                    </a:xfrm>
                    <a:prstGeom prst="rect">
                      <a:avLst/>
                    </a:prstGeom>
                    <a:noFill/>
                    <a:ln>
                      <a:noFill/>
                    </a:ln>
                  </pic:spPr>
                </pic:pic>
              </a:graphicData>
            </a:graphic>
          </wp:inline>
        </w:drawing>
      </w:r>
    </w:p>
    <w:p w:rsidR="00306F6C" w:rsidRPr="003928E9" w:rsidRDefault="00306F6C" w:rsidP="00306F6C">
      <w:pPr>
        <w:pStyle w:val="Heading1"/>
        <w:keepNext/>
        <w:spacing w:after="0"/>
        <w:ind w:left="0" w:firstLine="0"/>
        <w:jc w:val="center"/>
        <w:rPr>
          <w:rFonts w:ascii="Arial" w:eastAsia="SimSun" w:hAnsi="Arial" w:cs="Arial"/>
          <w:bCs/>
          <w:caps/>
          <w:color w:val="auto"/>
          <w:kern w:val="32"/>
          <w:sz w:val="22"/>
          <w:szCs w:val="32"/>
          <w:lang w:val="en-US"/>
        </w:rPr>
      </w:pPr>
      <w:r>
        <w:rPr>
          <w:rFonts w:ascii="Arial" w:eastAsia="SimSun" w:hAnsi="Arial" w:cs="Arial"/>
          <w:bCs/>
          <w:caps/>
          <w:color w:val="auto"/>
          <w:kern w:val="32"/>
          <w:sz w:val="22"/>
          <w:szCs w:val="32"/>
          <w:lang w:val="en-US"/>
        </w:rPr>
        <w:lastRenderedPageBreak/>
        <w:t xml:space="preserve">ANNEX </w:t>
      </w:r>
      <w:r w:rsidRPr="003928E9">
        <w:rPr>
          <w:rFonts w:ascii="Arial" w:eastAsia="SimSun" w:hAnsi="Arial" w:cs="Arial"/>
          <w:bCs/>
          <w:caps/>
          <w:color w:val="auto"/>
          <w:kern w:val="32"/>
          <w:sz w:val="22"/>
          <w:szCs w:val="32"/>
          <w:lang w:val="en-US"/>
        </w:rPr>
        <w:t>I</w:t>
      </w:r>
      <w:r>
        <w:rPr>
          <w:rFonts w:ascii="Arial" w:eastAsia="SimSun" w:hAnsi="Arial" w:cs="Arial"/>
          <w:bCs/>
          <w:caps/>
          <w:color w:val="auto"/>
          <w:kern w:val="32"/>
          <w:sz w:val="22"/>
          <w:szCs w:val="32"/>
          <w:lang w:val="en-US"/>
        </w:rPr>
        <w:t>II</w:t>
      </w:r>
      <w:r>
        <w:rPr>
          <w:rFonts w:ascii="Arial" w:eastAsia="SimSun" w:hAnsi="Arial" w:cs="Arial"/>
          <w:bCs/>
          <w:caps/>
          <w:color w:val="auto"/>
          <w:kern w:val="32"/>
          <w:sz w:val="22"/>
          <w:szCs w:val="32"/>
          <w:lang w:val="en-US"/>
        </w:rPr>
        <w:br/>
      </w:r>
      <w:r>
        <w:rPr>
          <w:rFonts w:ascii="Arial" w:eastAsia="SimSun" w:hAnsi="Arial" w:cs="Arial"/>
          <w:bCs/>
          <w:caps/>
          <w:color w:val="auto"/>
          <w:kern w:val="32"/>
          <w:sz w:val="22"/>
          <w:szCs w:val="32"/>
          <w:lang w:val="en-US"/>
        </w:rPr>
        <w:br/>
        <w:t>SPECIAL ACCOUNTS BY DONOR CONTRIBUTIONS</w:t>
      </w:r>
    </w:p>
    <w:p w:rsidR="00306F6C" w:rsidRPr="002C14F3" w:rsidRDefault="00306F6C" w:rsidP="00306F6C">
      <w:pPr>
        <w:jc w:val="center"/>
        <w:rPr>
          <w:rFonts w:ascii="Arial" w:eastAsia="SimSun" w:hAnsi="Arial" w:cs="Arial"/>
          <w:b/>
          <w:sz w:val="20"/>
          <w:szCs w:val="20"/>
        </w:rPr>
      </w:pPr>
      <w:proofErr w:type="gramStart"/>
      <w:r>
        <w:rPr>
          <w:rFonts w:ascii="Arial" w:eastAsia="SimSun" w:hAnsi="Arial" w:cs="Arial"/>
          <w:b/>
          <w:sz w:val="20"/>
          <w:szCs w:val="20"/>
        </w:rPr>
        <w:t>for</w:t>
      </w:r>
      <w:proofErr w:type="gramEnd"/>
      <w:r>
        <w:rPr>
          <w:rFonts w:ascii="Arial" w:eastAsia="SimSun" w:hAnsi="Arial" w:cs="Arial"/>
          <w:b/>
          <w:sz w:val="20"/>
          <w:szCs w:val="20"/>
        </w:rPr>
        <w:t xml:space="preserve"> the year ended</w:t>
      </w:r>
      <w:r w:rsidRPr="002C14F3">
        <w:rPr>
          <w:rFonts w:ascii="Arial" w:eastAsia="SimSun" w:hAnsi="Arial" w:cs="Arial"/>
          <w:b/>
          <w:sz w:val="20"/>
          <w:szCs w:val="20"/>
        </w:rPr>
        <w:t xml:space="preserve"> December 31, 201</w:t>
      </w:r>
      <w:r>
        <w:rPr>
          <w:rFonts w:ascii="Arial" w:eastAsia="SimSun" w:hAnsi="Arial" w:cs="Arial"/>
          <w:b/>
          <w:sz w:val="20"/>
          <w:szCs w:val="20"/>
        </w:rPr>
        <w:t>2</w:t>
      </w:r>
    </w:p>
    <w:p w:rsidR="00306F6C" w:rsidRDefault="00306F6C" w:rsidP="00306F6C">
      <w:pPr>
        <w:pStyle w:val="Styletexte"/>
        <w:spacing w:after="0"/>
        <w:jc w:val="center"/>
        <w:rPr>
          <w:rFonts w:eastAsia="SimSun" w:cs="Arial"/>
          <w:b/>
          <w:sz w:val="20"/>
        </w:rPr>
      </w:pPr>
      <w:r w:rsidRPr="002C14F3">
        <w:rPr>
          <w:rFonts w:eastAsia="SimSun" w:cs="Arial"/>
          <w:b/>
          <w:sz w:val="20"/>
        </w:rPr>
        <w:t>(</w:t>
      </w:r>
      <w:proofErr w:type="gramStart"/>
      <w:r w:rsidRPr="002C14F3">
        <w:rPr>
          <w:rFonts w:eastAsia="SimSun" w:cs="Arial"/>
          <w:b/>
          <w:sz w:val="20"/>
        </w:rPr>
        <w:t>in</w:t>
      </w:r>
      <w:proofErr w:type="gramEnd"/>
      <w:r>
        <w:rPr>
          <w:rFonts w:eastAsia="SimSun" w:cs="Arial"/>
          <w:b/>
          <w:sz w:val="20"/>
        </w:rPr>
        <w:t xml:space="preserve"> </w:t>
      </w:r>
      <w:r w:rsidRPr="002C14F3">
        <w:rPr>
          <w:rFonts w:eastAsia="SimSun" w:cs="Arial"/>
          <w:b/>
          <w:sz w:val="20"/>
        </w:rPr>
        <w:t>Swiss francs</w:t>
      </w:r>
      <w:r>
        <w:rPr>
          <w:rFonts w:eastAsia="SimSun" w:cs="Arial"/>
          <w:b/>
          <w:sz w:val="20"/>
        </w:rPr>
        <w:t>)</w:t>
      </w:r>
    </w:p>
    <w:p w:rsidR="002C14F3" w:rsidRPr="00306F6C" w:rsidRDefault="002C14F3" w:rsidP="00302EA9">
      <w:pPr>
        <w:pStyle w:val="Heading1"/>
        <w:keepNext/>
        <w:spacing w:after="0"/>
        <w:ind w:left="0" w:firstLine="0"/>
        <w:jc w:val="left"/>
        <w:rPr>
          <w:rFonts w:eastAsia="SimSun" w:hint="eastAsia"/>
          <w:sz w:val="20"/>
          <w:szCs w:val="20"/>
          <w:lang w:val="en-US"/>
        </w:rPr>
      </w:pPr>
    </w:p>
    <w:p w:rsidR="00FD5536" w:rsidRPr="00FD5536" w:rsidRDefault="00BC7CD6" w:rsidP="00FD5536">
      <w:pPr>
        <w:pStyle w:val="Styletexte"/>
        <w:spacing w:after="0"/>
        <w:jc w:val="center"/>
      </w:pPr>
      <w:r>
        <w:rPr>
          <w:noProof/>
        </w:rPr>
        <w:drawing>
          <wp:inline distT="0" distB="0" distL="0" distR="0">
            <wp:extent cx="8686800" cy="4552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8686800" cy="4552950"/>
                    </a:xfrm>
                    <a:prstGeom prst="rect">
                      <a:avLst/>
                    </a:prstGeom>
                    <a:noFill/>
                    <a:ln>
                      <a:noFill/>
                    </a:ln>
                  </pic:spPr>
                </pic:pic>
              </a:graphicData>
            </a:graphic>
          </wp:inline>
        </w:drawing>
      </w:r>
    </w:p>
    <w:p w:rsidR="00674B79" w:rsidRPr="00A13212" w:rsidRDefault="00674B79" w:rsidP="00E57D22">
      <w:pPr>
        <w:pStyle w:val="Styletexte"/>
        <w:spacing w:after="0"/>
        <w:rPr>
          <w:sz w:val="20"/>
        </w:rPr>
      </w:pPr>
      <w:r w:rsidRPr="00A13212">
        <w:rPr>
          <w:sz w:val="20"/>
        </w:rPr>
        <w:t>This schedule is prepared in accordance with the requirements of donor reporting under UNSAS which does not include expenditure accruals. IPSAS adjustments to the closing balances (December 31, 201</w:t>
      </w:r>
      <w:r w:rsidR="00E57D22" w:rsidRPr="00A13212">
        <w:rPr>
          <w:sz w:val="20"/>
        </w:rPr>
        <w:t>2</w:t>
      </w:r>
      <w:r w:rsidRPr="00A13212">
        <w:rPr>
          <w:sz w:val="20"/>
        </w:rPr>
        <w:t xml:space="preserve">) are not included in this schedule but are included in the figures shown in Note 14 Advance Receipts (see line </w:t>
      </w:r>
      <w:r w:rsidR="00E5423A" w:rsidRPr="00A13212">
        <w:rPr>
          <w:sz w:val="20"/>
        </w:rPr>
        <w:t>‘</w:t>
      </w:r>
      <w:r w:rsidRPr="00A13212">
        <w:rPr>
          <w:sz w:val="20"/>
        </w:rPr>
        <w:t xml:space="preserve">Non </w:t>
      </w:r>
      <w:r w:rsidR="003F5670" w:rsidRPr="00A13212">
        <w:rPr>
          <w:sz w:val="20"/>
        </w:rPr>
        <w:t>exchange revenue deferred</w:t>
      </w:r>
      <w:r w:rsidR="00E5423A" w:rsidRPr="00A13212">
        <w:rPr>
          <w:sz w:val="20"/>
        </w:rPr>
        <w:t>’</w:t>
      </w:r>
      <w:r w:rsidR="003F5670" w:rsidRPr="00A13212">
        <w:rPr>
          <w:sz w:val="20"/>
        </w:rPr>
        <w:t>).</w:t>
      </w:r>
    </w:p>
    <w:sectPr w:rsidR="00674B79" w:rsidRPr="00A13212" w:rsidSect="006262D3">
      <w:pgSz w:w="16840" w:h="11907" w:orient="landscape" w:code="9"/>
      <w:pgMar w:top="851" w:right="1247" w:bottom="1079" w:left="1247" w:header="709" w:footer="1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916" w:rsidRDefault="00B96916">
      <w:r>
        <w:separator/>
      </w:r>
    </w:p>
  </w:endnote>
  <w:endnote w:type="continuationSeparator" w:id="0">
    <w:p w:rsidR="00B96916" w:rsidRDefault="00B9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 Frutiger Black">
    <w:altName w:val="Courier New"/>
    <w:charset w:val="00"/>
    <w:family w:val="auto"/>
    <w:pitch w:val="variable"/>
    <w:sig w:usb0="03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宋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Pr="006F63E7" w:rsidRDefault="00B96916">
    <w:pPr>
      <w:pStyle w:val="Footer"/>
      <w:rPr>
        <w:rFonts w:ascii="Arial Narrow" w:hAnsi="Arial Narrow"/>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Pr="006F63E7" w:rsidRDefault="00B96916">
    <w:pPr>
      <w:pStyle w:val="Footer"/>
      <w:rPr>
        <w:rFonts w:ascii="Arial Narrow" w:hAnsi="Arial Narrow"/>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Pr="006F63E7" w:rsidRDefault="00B96916">
    <w:pPr>
      <w:pStyle w:val="Footer"/>
      <w:rPr>
        <w:rFonts w:ascii="Arial Narrow" w:hAnsi="Arial Narrow"/>
        <w:sz w:val="16"/>
        <w:szCs w:val="16"/>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Pr="00175E52" w:rsidRDefault="00B96916" w:rsidP="00FB0EF3">
    <w:pPr>
      <w:pStyle w:val="Footer"/>
      <w:jc w:val="center"/>
      <w:rPr>
        <w:szCs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Pr="00E826B4" w:rsidRDefault="00B96916" w:rsidP="006E3D34">
    <w:pPr>
      <w:pStyle w:val="Footer"/>
      <w:jc w:val="right"/>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916" w:rsidRDefault="00B96916">
      <w:r>
        <w:separator/>
      </w:r>
    </w:p>
  </w:footnote>
  <w:footnote w:type="continuationSeparator" w:id="0">
    <w:p w:rsidR="00B96916" w:rsidRDefault="00B969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rsidP="001954C3">
    <w:pPr>
      <w:pStyle w:val="Header"/>
      <w:jc w:val="right"/>
      <w:rPr>
        <w:rFonts w:ascii="Arial" w:hAnsi="Arial" w:cs="Arial"/>
        <w:b/>
        <w:sz w:val="18"/>
        <w:szCs w:val="18"/>
      </w:rPr>
    </w:pPr>
    <w:r>
      <w:rPr>
        <w:rFonts w:ascii="Arial" w:hAnsi="Arial" w:cs="Arial"/>
        <w:b/>
        <w:sz w:val="18"/>
        <w:szCs w:val="18"/>
      </w:rPr>
      <w:t xml:space="preserve">Annual Financial Report and </w:t>
    </w:r>
    <w:r w:rsidRPr="00CF6E83">
      <w:rPr>
        <w:rFonts w:ascii="Arial" w:hAnsi="Arial" w:cs="Arial"/>
        <w:b/>
        <w:sz w:val="18"/>
        <w:szCs w:val="18"/>
      </w:rPr>
      <w:t>Financial Statements 201</w:t>
    </w:r>
    <w:r>
      <w:rPr>
        <w:rFonts w:ascii="Arial" w:hAnsi="Arial" w:cs="Arial"/>
        <w:b/>
        <w:sz w:val="18"/>
        <w:szCs w:val="18"/>
      </w:rPr>
      <w:t>2</w:t>
    </w:r>
  </w:p>
  <w:p w:rsidR="00B96916" w:rsidRPr="00CF6E83" w:rsidRDefault="00B96916" w:rsidP="001954C3">
    <w:pPr>
      <w:pStyle w:val="Header"/>
      <w:jc w:val="right"/>
      <w:rPr>
        <w:rFonts w:ascii="Arial" w:hAnsi="Arial" w:cs="Arial"/>
        <w:b/>
        <w:sz w:val="18"/>
        <w:szCs w:val="18"/>
      </w:rPr>
    </w:pPr>
    <w:proofErr w:type="gramStart"/>
    <w:r w:rsidRPr="00CF6E83">
      <w:rPr>
        <w:rStyle w:val="PageNumber"/>
        <w:rFonts w:ascii="Arial" w:hAnsi="Arial" w:cs="Arial"/>
        <w:b/>
        <w:sz w:val="18"/>
        <w:szCs w:val="18"/>
      </w:rPr>
      <w:t>page</w:t>
    </w:r>
    <w:proofErr w:type="gramEnd"/>
    <w:r w:rsidRPr="00CF6E83">
      <w:rPr>
        <w:rStyle w:val="PageNumber"/>
        <w:rFonts w:ascii="Arial" w:hAnsi="Arial" w:cs="Arial"/>
        <w:b/>
        <w:sz w:val="18"/>
        <w:szCs w:val="18"/>
      </w:rPr>
      <w:t xml:space="preserve"> </w:t>
    </w:r>
    <w:r w:rsidRPr="00CF6E83">
      <w:rPr>
        <w:rStyle w:val="PageNumber"/>
        <w:rFonts w:ascii="Arial" w:hAnsi="Arial" w:cs="Arial"/>
        <w:b/>
        <w:sz w:val="18"/>
        <w:szCs w:val="18"/>
      </w:rPr>
      <w:fldChar w:fldCharType="begin"/>
    </w:r>
    <w:r w:rsidRPr="00CF6E83">
      <w:rPr>
        <w:rStyle w:val="PageNumber"/>
        <w:rFonts w:ascii="Arial" w:hAnsi="Arial" w:cs="Arial"/>
        <w:b/>
        <w:sz w:val="18"/>
        <w:szCs w:val="18"/>
      </w:rPr>
      <w:instrText xml:space="preserve"> PAGE </w:instrText>
    </w:r>
    <w:r w:rsidRPr="00CF6E83">
      <w:rPr>
        <w:rStyle w:val="PageNumber"/>
        <w:rFonts w:ascii="Arial" w:hAnsi="Arial" w:cs="Arial"/>
        <w:b/>
        <w:sz w:val="18"/>
        <w:szCs w:val="18"/>
      </w:rPr>
      <w:fldChar w:fldCharType="separate"/>
    </w:r>
    <w:r w:rsidR="00512ABE">
      <w:rPr>
        <w:rStyle w:val="PageNumber"/>
        <w:rFonts w:ascii="Arial" w:hAnsi="Arial" w:cs="Arial"/>
        <w:b/>
        <w:noProof/>
        <w:sz w:val="18"/>
        <w:szCs w:val="18"/>
      </w:rPr>
      <w:t>17</w:t>
    </w:r>
    <w:r w:rsidRPr="00CF6E83">
      <w:rPr>
        <w:rStyle w:val="PageNumber"/>
        <w:rFonts w:ascii="Arial" w:hAnsi="Arial" w:cs="Arial"/>
        <w:b/>
        <w:sz w:val="18"/>
        <w:szCs w:val="18"/>
      </w:rPr>
      <w:fldChar w:fldCharType="end"/>
    </w:r>
  </w:p>
  <w:p w:rsidR="00B96916" w:rsidRDefault="00B96916" w:rsidP="00A40B11">
    <w:pPr>
      <w:pStyle w:val="Header"/>
      <w:tabs>
        <w:tab w:val="left" w:pos="4425"/>
        <w:tab w:val="center" w:pos="4706"/>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rsidP="001954C3">
    <w:pPr>
      <w:pStyle w:val="Header"/>
      <w:jc w:val="right"/>
      <w:rPr>
        <w:rFonts w:ascii="Arial" w:hAnsi="Arial" w:cs="Arial"/>
        <w:b/>
        <w:sz w:val="18"/>
        <w:szCs w:val="18"/>
      </w:rPr>
    </w:pPr>
    <w:r>
      <w:rPr>
        <w:rFonts w:ascii="Arial" w:hAnsi="Arial" w:cs="Arial"/>
        <w:b/>
        <w:sz w:val="18"/>
        <w:szCs w:val="18"/>
      </w:rPr>
      <w:t xml:space="preserve">Annual Financial Report and </w:t>
    </w:r>
    <w:r w:rsidRPr="00CF6E83">
      <w:rPr>
        <w:rFonts w:ascii="Arial" w:hAnsi="Arial" w:cs="Arial"/>
        <w:b/>
        <w:sz w:val="18"/>
        <w:szCs w:val="18"/>
      </w:rPr>
      <w:t>Financial Statements</w:t>
    </w:r>
    <w:r>
      <w:rPr>
        <w:rFonts w:ascii="Arial" w:hAnsi="Arial" w:cs="Arial"/>
        <w:b/>
        <w:sz w:val="18"/>
        <w:szCs w:val="18"/>
      </w:rPr>
      <w:t xml:space="preserve"> </w:t>
    </w:r>
    <w:r w:rsidRPr="00CF6E83">
      <w:rPr>
        <w:rFonts w:ascii="Arial" w:hAnsi="Arial" w:cs="Arial"/>
        <w:b/>
        <w:sz w:val="18"/>
        <w:szCs w:val="18"/>
      </w:rPr>
      <w:t>201</w:t>
    </w:r>
    <w:r>
      <w:rPr>
        <w:rFonts w:ascii="Arial" w:hAnsi="Arial" w:cs="Arial"/>
        <w:b/>
        <w:sz w:val="18"/>
        <w:szCs w:val="18"/>
      </w:rPr>
      <w:t>2</w:t>
    </w:r>
  </w:p>
  <w:p w:rsidR="00B96916" w:rsidRPr="00CF6E83" w:rsidRDefault="00B96916" w:rsidP="001954C3">
    <w:pPr>
      <w:pStyle w:val="Header"/>
      <w:jc w:val="right"/>
      <w:rPr>
        <w:rFonts w:ascii="Arial" w:hAnsi="Arial" w:cs="Arial"/>
        <w:b/>
        <w:sz w:val="18"/>
        <w:szCs w:val="18"/>
      </w:rPr>
    </w:pPr>
    <w:proofErr w:type="gramStart"/>
    <w:r w:rsidRPr="00CF6E83">
      <w:rPr>
        <w:rStyle w:val="PageNumber"/>
        <w:rFonts w:ascii="Arial" w:hAnsi="Arial" w:cs="Arial"/>
        <w:b/>
        <w:sz w:val="18"/>
        <w:szCs w:val="18"/>
      </w:rPr>
      <w:t>page</w:t>
    </w:r>
    <w:proofErr w:type="gramEnd"/>
    <w:r w:rsidRPr="00CF6E83">
      <w:rPr>
        <w:rStyle w:val="PageNumber"/>
        <w:rFonts w:ascii="Arial" w:hAnsi="Arial" w:cs="Arial"/>
        <w:b/>
        <w:sz w:val="18"/>
        <w:szCs w:val="18"/>
      </w:rPr>
      <w:t xml:space="preserve"> </w:t>
    </w:r>
    <w:r w:rsidRPr="00CF6E83">
      <w:rPr>
        <w:rStyle w:val="PageNumber"/>
        <w:rFonts w:ascii="Arial" w:hAnsi="Arial" w:cs="Arial"/>
        <w:b/>
        <w:sz w:val="18"/>
        <w:szCs w:val="18"/>
      </w:rPr>
      <w:fldChar w:fldCharType="begin"/>
    </w:r>
    <w:r w:rsidRPr="00CF6E83">
      <w:rPr>
        <w:rStyle w:val="PageNumber"/>
        <w:rFonts w:ascii="Arial" w:hAnsi="Arial" w:cs="Arial"/>
        <w:b/>
        <w:sz w:val="18"/>
        <w:szCs w:val="18"/>
      </w:rPr>
      <w:instrText xml:space="preserve"> PAGE </w:instrText>
    </w:r>
    <w:r w:rsidRPr="00CF6E83">
      <w:rPr>
        <w:rStyle w:val="PageNumber"/>
        <w:rFonts w:ascii="Arial" w:hAnsi="Arial" w:cs="Arial"/>
        <w:b/>
        <w:sz w:val="18"/>
        <w:szCs w:val="18"/>
      </w:rPr>
      <w:fldChar w:fldCharType="separate"/>
    </w:r>
    <w:r w:rsidR="00512ABE">
      <w:rPr>
        <w:rStyle w:val="PageNumber"/>
        <w:rFonts w:ascii="Arial" w:hAnsi="Arial" w:cs="Arial"/>
        <w:b/>
        <w:noProof/>
        <w:sz w:val="18"/>
        <w:szCs w:val="18"/>
      </w:rPr>
      <w:t>55</w:t>
    </w:r>
    <w:r w:rsidRPr="00CF6E83">
      <w:rPr>
        <w:rStyle w:val="PageNumber"/>
        <w:rFonts w:ascii="Arial" w:hAnsi="Arial" w:cs="Arial"/>
        <w:b/>
        <w:sz w:val="18"/>
        <w:szCs w:val="18"/>
      </w:rPr>
      <w:fldChar w:fldCharType="end"/>
    </w:r>
  </w:p>
  <w:p w:rsidR="00B96916" w:rsidRDefault="00B96916" w:rsidP="00A40B11">
    <w:pPr>
      <w:pStyle w:val="Header"/>
      <w:tabs>
        <w:tab w:val="left" w:pos="4425"/>
        <w:tab w:val="center" w:pos="47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rsidP="007666B5">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rsidP="00D256FA">
    <w:pPr>
      <w:pStyle w:val="Header"/>
      <w:rPr>
        <w:rStyle w:val="PageNumber"/>
        <w:rFonts w:ascii="Arial" w:hAnsi="Arial" w:cs="Arial"/>
        <w:b/>
        <w:sz w:val="18"/>
        <w:szCs w:val="18"/>
      </w:rPr>
    </w:pPr>
  </w:p>
  <w:p w:rsidR="00B96916" w:rsidRDefault="00B96916" w:rsidP="00D256F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rsidP="00CF6E83">
    <w:pPr>
      <w:pStyle w:val="Header"/>
      <w:rPr>
        <w:rFonts w:ascii="Arial" w:hAnsi="Arial" w:cs="Arial"/>
        <w:b/>
        <w:sz w:val="18"/>
        <w:szCs w:val="18"/>
      </w:rPr>
    </w:pPr>
    <w:r w:rsidRPr="00CF6E83">
      <w:rPr>
        <w:rFonts w:ascii="Arial" w:hAnsi="Arial" w:cs="Arial"/>
        <w:b/>
        <w:sz w:val="18"/>
        <w:szCs w:val="18"/>
      </w:rPr>
      <w:t>Financial Statements 2010</w:t>
    </w:r>
  </w:p>
  <w:p w:rsidR="00B96916" w:rsidRPr="00CF6E83" w:rsidRDefault="00B96916" w:rsidP="00CF6E83">
    <w:pPr>
      <w:pStyle w:val="Header"/>
      <w:rPr>
        <w:rFonts w:ascii="Arial" w:hAnsi="Arial" w:cs="Arial"/>
        <w:b/>
        <w:sz w:val="18"/>
        <w:szCs w:val="18"/>
      </w:rPr>
    </w:pPr>
  </w:p>
  <w:p w:rsidR="00B96916" w:rsidRPr="00CF6E83" w:rsidRDefault="00B96916" w:rsidP="00CF6E8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rsidP="00A40B11">
    <w:pPr>
      <w:pStyle w:val="Header"/>
      <w:tabs>
        <w:tab w:val="left" w:pos="4425"/>
        <w:tab w:val="center" w:pos="4706"/>
      </w:tabs>
    </w:pPr>
    <w:bookmarkStart w:id="7" w:name="_Toc228702504"/>
    <w:bookmarkStart w:id="8" w:name="_Toc228702587"/>
    <w:bookmarkStart w:id="9" w:name="_Toc292715061"/>
    <w:bookmarkEnd w:id="7"/>
    <w:bookmarkEnd w:id="8"/>
    <w:bookmarkEnd w:id="9"/>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rsidP="00CF6E83">
    <w:pPr>
      <w:pStyle w:val="Header"/>
      <w:rPr>
        <w:rFonts w:ascii="Arial" w:hAnsi="Arial" w:cs="Arial"/>
        <w:b/>
        <w:sz w:val="18"/>
        <w:szCs w:val="18"/>
      </w:rPr>
    </w:pPr>
    <w:r>
      <w:rPr>
        <w:rFonts w:ascii="Arial" w:hAnsi="Arial" w:cs="Arial"/>
        <w:b/>
        <w:sz w:val="18"/>
        <w:szCs w:val="18"/>
      </w:rPr>
      <w:t xml:space="preserve">Annual Financial Report and </w:t>
    </w:r>
    <w:r w:rsidRPr="00CF6E83">
      <w:rPr>
        <w:rFonts w:ascii="Arial" w:hAnsi="Arial" w:cs="Arial"/>
        <w:b/>
        <w:sz w:val="18"/>
        <w:szCs w:val="18"/>
      </w:rPr>
      <w:t>Financial Statements 201</w:t>
    </w:r>
    <w:r>
      <w:rPr>
        <w:rFonts w:ascii="Arial" w:hAnsi="Arial" w:cs="Arial"/>
        <w:b/>
        <w:sz w:val="18"/>
        <w:szCs w:val="18"/>
      </w:rPr>
      <w:t>2</w:t>
    </w:r>
  </w:p>
  <w:p w:rsidR="00B96916" w:rsidRPr="00CF6E83" w:rsidRDefault="00B96916" w:rsidP="00CF6E83">
    <w:pPr>
      <w:pStyle w:val="Header"/>
      <w:rPr>
        <w:rFonts w:ascii="Arial" w:hAnsi="Arial" w:cs="Arial"/>
        <w:b/>
        <w:sz w:val="18"/>
        <w:szCs w:val="18"/>
      </w:rPr>
    </w:pPr>
    <w:proofErr w:type="gramStart"/>
    <w:r>
      <w:rPr>
        <w:rFonts w:ascii="Arial" w:hAnsi="Arial" w:cs="Arial"/>
        <w:b/>
        <w:sz w:val="18"/>
        <w:szCs w:val="18"/>
      </w:rPr>
      <w:t>page</w:t>
    </w:r>
    <w:proofErr w:type="gramEnd"/>
    <w:r>
      <w:rPr>
        <w:rFonts w:ascii="Arial" w:hAnsi="Arial" w:cs="Arial"/>
        <w:b/>
        <w:sz w:val="18"/>
        <w:szCs w:val="18"/>
      </w:rPr>
      <w:t xml:space="preserve"> 2</w:t>
    </w:r>
  </w:p>
  <w:p w:rsidR="00B96916" w:rsidRPr="00CF6E83" w:rsidRDefault="00B96916" w:rsidP="00CF6E8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rsidP="00D256FA">
    <w:pPr>
      <w:pStyle w:val="Header"/>
      <w:rPr>
        <w:rFonts w:ascii="Arial" w:hAnsi="Arial" w:cs="Arial"/>
        <w:b/>
        <w:sz w:val="18"/>
        <w:szCs w:val="18"/>
      </w:rPr>
    </w:pPr>
    <w:r>
      <w:rPr>
        <w:rFonts w:ascii="Arial" w:hAnsi="Arial" w:cs="Arial"/>
        <w:b/>
        <w:sz w:val="18"/>
        <w:szCs w:val="18"/>
      </w:rPr>
      <w:t xml:space="preserve">Annual Financial Report and </w:t>
    </w:r>
    <w:r w:rsidRPr="00CF6E83">
      <w:rPr>
        <w:rFonts w:ascii="Arial" w:hAnsi="Arial" w:cs="Arial"/>
        <w:b/>
        <w:sz w:val="18"/>
        <w:szCs w:val="18"/>
      </w:rPr>
      <w:t>Financial Statements 201</w:t>
    </w:r>
    <w:r>
      <w:rPr>
        <w:rFonts w:ascii="Arial" w:hAnsi="Arial" w:cs="Arial"/>
        <w:b/>
        <w:sz w:val="18"/>
        <w:szCs w:val="18"/>
      </w:rPr>
      <w:t>2</w:t>
    </w:r>
  </w:p>
  <w:p w:rsidR="00B96916" w:rsidRDefault="00B96916" w:rsidP="00D256FA">
    <w:pPr>
      <w:pStyle w:val="Header"/>
      <w:rPr>
        <w:rStyle w:val="PageNumber"/>
        <w:rFonts w:ascii="Arial" w:hAnsi="Arial" w:cs="Arial"/>
        <w:b/>
        <w:sz w:val="18"/>
        <w:szCs w:val="18"/>
      </w:rPr>
    </w:pPr>
    <w:proofErr w:type="gramStart"/>
    <w:r w:rsidRPr="00CF6E83">
      <w:rPr>
        <w:rStyle w:val="PageNumber"/>
        <w:rFonts w:ascii="Arial" w:hAnsi="Arial" w:cs="Arial"/>
        <w:b/>
        <w:sz w:val="18"/>
        <w:szCs w:val="18"/>
      </w:rPr>
      <w:t>page</w:t>
    </w:r>
    <w:proofErr w:type="gramEnd"/>
    <w:r w:rsidRPr="00CF6E83">
      <w:rPr>
        <w:rStyle w:val="PageNumber"/>
        <w:rFonts w:ascii="Arial" w:hAnsi="Arial" w:cs="Arial"/>
        <w:b/>
        <w:sz w:val="18"/>
        <w:szCs w:val="18"/>
      </w:rPr>
      <w:t xml:space="preserve"> </w:t>
    </w:r>
    <w:r w:rsidRPr="00CF6E83">
      <w:rPr>
        <w:rStyle w:val="PageNumber"/>
        <w:rFonts w:ascii="Arial" w:hAnsi="Arial" w:cs="Arial"/>
        <w:b/>
        <w:sz w:val="18"/>
        <w:szCs w:val="18"/>
      </w:rPr>
      <w:fldChar w:fldCharType="begin"/>
    </w:r>
    <w:r w:rsidRPr="00CF6E83">
      <w:rPr>
        <w:rStyle w:val="PageNumber"/>
        <w:rFonts w:ascii="Arial" w:hAnsi="Arial" w:cs="Arial"/>
        <w:b/>
        <w:sz w:val="18"/>
        <w:szCs w:val="18"/>
      </w:rPr>
      <w:instrText xml:space="preserve"> PAGE </w:instrText>
    </w:r>
    <w:r w:rsidRPr="00CF6E83">
      <w:rPr>
        <w:rStyle w:val="PageNumber"/>
        <w:rFonts w:ascii="Arial" w:hAnsi="Arial" w:cs="Arial"/>
        <w:b/>
        <w:sz w:val="18"/>
        <w:szCs w:val="18"/>
      </w:rPr>
      <w:fldChar w:fldCharType="separate"/>
    </w:r>
    <w:r w:rsidR="00512ABE">
      <w:rPr>
        <w:rStyle w:val="PageNumber"/>
        <w:rFonts w:ascii="Arial" w:hAnsi="Arial" w:cs="Arial"/>
        <w:b/>
        <w:noProof/>
        <w:sz w:val="18"/>
        <w:szCs w:val="18"/>
      </w:rPr>
      <w:t>56</w:t>
    </w:r>
    <w:r w:rsidRPr="00CF6E83">
      <w:rPr>
        <w:rStyle w:val="PageNumber"/>
        <w:rFonts w:ascii="Arial" w:hAnsi="Arial" w:cs="Arial"/>
        <w:b/>
        <w:sz w:val="18"/>
        <w:szCs w:val="18"/>
      </w:rPr>
      <w:fldChar w:fldCharType="end"/>
    </w:r>
  </w:p>
  <w:p w:rsidR="00B96916" w:rsidRPr="00866B94" w:rsidRDefault="00B96916" w:rsidP="00866B94">
    <w:pPr>
      <w:jc w:val="both"/>
      <w:rPr>
        <w:rFonts w:ascii="Arial" w:hAnsi="Arial" w:cs="Arial"/>
        <w:sz w:val="22"/>
        <w:szCs w:val="2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916" w:rsidRDefault="00B96916" w:rsidP="00CF6E83">
    <w:pPr>
      <w:pStyle w:val="Header"/>
      <w:jc w:val="right"/>
      <w:rPr>
        <w:rFonts w:ascii="Arial" w:hAnsi="Arial" w:cs="Arial"/>
        <w:b/>
        <w:sz w:val="18"/>
        <w:szCs w:val="18"/>
      </w:rPr>
    </w:pPr>
    <w:r>
      <w:rPr>
        <w:rFonts w:ascii="Arial" w:hAnsi="Arial" w:cs="Arial"/>
        <w:b/>
        <w:sz w:val="18"/>
        <w:szCs w:val="18"/>
      </w:rPr>
      <w:t xml:space="preserve">Annual Financial Report and </w:t>
    </w:r>
    <w:r w:rsidRPr="00CF6E83">
      <w:rPr>
        <w:rFonts w:ascii="Arial" w:hAnsi="Arial" w:cs="Arial"/>
        <w:b/>
        <w:sz w:val="18"/>
        <w:szCs w:val="18"/>
      </w:rPr>
      <w:t>Financial Statements 201</w:t>
    </w:r>
    <w:r>
      <w:rPr>
        <w:rFonts w:ascii="Arial" w:hAnsi="Arial" w:cs="Arial"/>
        <w:b/>
        <w:sz w:val="18"/>
        <w:szCs w:val="18"/>
      </w:rPr>
      <w:t>2</w:t>
    </w:r>
  </w:p>
  <w:p w:rsidR="00B96916" w:rsidRPr="00CF6E83" w:rsidRDefault="00B96916" w:rsidP="00CF6E83">
    <w:pPr>
      <w:pStyle w:val="Header"/>
      <w:jc w:val="right"/>
      <w:rPr>
        <w:rFonts w:ascii="Arial" w:hAnsi="Arial" w:cs="Arial"/>
        <w:b/>
        <w:sz w:val="18"/>
        <w:szCs w:val="18"/>
      </w:rPr>
    </w:pPr>
    <w:r>
      <w:rPr>
        <w:rStyle w:val="PageNumber"/>
      </w:rPr>
      <w:tab/>
    </w:r>
    <w:proofErr w:type="gramStart"/>
    <w:r w:rsidRPr="00CF6E83">
      <w:rPr>
        <w:rStyle w:val="PageNumber"/>
        <w:rFonts w:ascii="Arial" w:hAnsi="Arial" w:cs="Arial"/>
        <w:b/>
        <w:sz w:val="18"/>
        <w:szCs w:val="18"/>
      </w:rPr>
      <w:t>page</w:t>
    </w:r>
    <w:proofErr w:type="gramEnd"/>
    <w:r w:rsidRPr="00CF6E83">
      <w:rPr>
        <w:rStyle w:val="PageNumber"/>
        <w:rFonts w:ascii="Arial" w:hAnsi="Arial" w:cs="Arial"/>
        <w:b/>
        <w:sz w:val="18"/>
        <w:szCs w:val="18"/>
      </w:rPr>
      <w:t xml:space="preserve"> </w:t>
    </w:r>
    <w:r w:rsidRPr="00CF6E83">
      <w:rPr>
        <w:rStyle w:val="PageNumber"/>
        <w:rFonts w:ascii="Arial" w:hAnsi="Arial" w:cs="Arial"/>
        <w:b/>
        <w:sz w:val="18"/>
        <w:szCs w:val="18"/>
      </w:rPr>
      <w:fldChar w:fldCharType="begin"/>
    </w:r>
    <w:r w:rsidRPr="00CF6E83">
      <w:rPr>
        <w:rStyle w:val="PageNumber"/>
        <w:rFonts w:ascii="Arial" w:hAnsi="Arial" w:cs="Arial"/>
        <w:b/>
        <w:sz w:val="18"/>
        <w:szCs w:val="18"/>
      </w:rPr>
      <w:instrText xml:space="preserve"> PAGE </w:instrText>
    </w:r>
    <w:r w:rsidRPr="00CF6E83">
      <w:rPr>
        <w:rStyle w:val="PageNumber"/>
        <w:rFonts w:ascii="Arial" w:hAnsi="Arial" w:cs="Arial"/>
        <w:b/>
        <w:sz w:val="18"/>
        <w:szCs w:val="18"/>
      </w:rPr>
      <w:fldChar w:fldCharType="separate"/>
    </w:r>
    <w:r w:rsidR="00512ABE">
      <w:rPr>
        <w:rStyle w:val="PageNumber"/>
        <w:rFonts w:ascii="Arial" w:hAnsi="Arial" w:cs="Arial"/>
        <w:b/>
        <w:noProof/>
        <w:sz w:val="18"/>
        <w:szCs w:val="18"/>
      </w:rPr>
      <w:t>11</w:t>
    </w:r>
    <w:r w:rsidRPr="00CF6E83">
      <w:rPr>
        <w:rStyle w:val="PageNumber"/>
        <w:rFonts w:ascii="Arial" w:hAnsi="Arial" w:cs="Arial"/>
        <w:b/>
        <w:sz w:val="18"/>
        <w:szCs w:val="18"/>
      </w:rPr>
      <w:fldChar w:fldCharType="end"/>
    </w:r>
  </w:p>
  <w:p w:rsidR="00B96916" w:rsidRDefault="00B96916" w:rsidP="00A40B11">
    <w:pPr>
      <w:pStyle w:val="Header"/>
      <w:tabs>
        <w:tab w:val="left" w:pos="4425"/>
        <w:tab w:val="center" w:pos="47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5A2"/>
    <w:multiLevelType w:val="hybridMultilevel"/>
    <w:tmpl w:val="9DB84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BC7D3F"/>
    <w:multiLevelType w:val="hybridMultilevel"/>
    <w:tmpl w:val="D922A614"/>
    <w:lvl w:ilvl="0" w:tplc="B276CAF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CD29E3"/>
    <w:multiLevelType w:val="multilevel"/>
    <w:tmpl w:val="D5ACA414"/>
    <w:lvl w:ilvl="0">
      <w:start w:val="1"/>
      <w:numFmt w:val="decimal"/>
      <w:lvlRestart w:val="0"/>
      <w:pStyle w:val="ONUME"/>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3">
    <w:nsid w:val="0F2D703E"/>
    <w:multiLevelType w:val="multilevel"/>
    <w:tmpl w:val="D5ACA414"/>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4">
    <w:nsid w:val="13497991"/>
    <w:multiLevelType w:val="hybridMultilevel"/>
    <w:tmpl w:val="77EC272E"/>
    <w:lvl w:ilvl="0" w:tplc="A2B230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21361D"/>
    <w:multiLevelType w:val="hybridMultilevel"/>
    <w:tmpl w:val="90C43F12"/>
    <w:lvl w:ilvl="0" w:tplc="074AF07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921784"/>
    <w:multiLevelType w:val="hybridMultilevel"/>
    <w:tmpl w:val="AF68CA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402C69"/>
    <w:multiLevelType w:val="hybridMultilevel"/>
    <w:tmpl w:val="D99E0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EF4EA7"/>
    <w:multiLevelType w:val="hybridMultilevel"/>
    <w:tmpl w:val="4636F804"/>
    <w:lvl w:ilvl="0" w:tplc="A5B480FC">
      <w:start w:val="1"/>
      <w:numFmt w:val="bullet"/>
      <w:lvlText w:val=""/>
      <w:lvlJc w:val="left"/>
      <w:pPr>
        <w:tabs>
          <w:tab w:val="num" w:pos="1021"/>
        </w:tabs>
        <w:ind w:left="1021"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C66E2B"/>
    <w:multiLevelType w:val="hybridMultilevel"/>
    <w:tmpl w:val="2AE4E0EC"/>
    <w:lvl w:ilvl="0" w:tplc="C414C500">
      <w:start w:val="1"/>
      <w:numFmt w:val="bullet"/>
      <w:lvlText w:val=""/>
      <w:lvlJc w:val="left"/>
      <w:pPr>
        <w:tabs>
          <w:tab w:val="num" w:pos="360"/>
        </w:tabs>
        <w:ind w:left="360" w:hanging="360"/>
      </w:pPr>
      <w:rPr>
        <w:rFonts w:ascii="Wingdings" w:hAnsi="Wingdings" w:hint="default"/>
      </w:rPr>
    </w:lvl>
    <w:lvl w:ilvl="1" w:tplc="DE9EECF8">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E3503B6"/>
    <w:multiLevelType w:val="multilevel"/>
    <w:tmpl w:val="3D36B7CC"/>
    <w:lvl w:ilvl="0">
      <w:start w:val="1"/>
      <w:numFmt w:val="bullet"/>
      <w:lvlText w:val=""/>
      <w:lvlJc w:val="left"/>
      <w:pPr>
        <w:tabs>
          <w:tab w:val="num" w:pos="1174"/>
        </w:tabs>
        <w:ind w:left="1174" w:hanging="454"/>
      </w:pPr>
      <w:rPr>
        <w:rFonts w:ascii="Symbol" w:hAnsi="Symbol" w:hint="default"/>
      </w:rPr>
    </w:lvl>
    <w:lvl w:ilvl="1">
      <w:start w:val="1"/>
      <w:numFmt w:val="lowerLetter"/>
      <w:lvlText w:val="(%2)"/>
      <w:lvlJc w:val="left"/>
      <w:pPr>
        <w:tabs>
          <w:tab w:val="num" w:pos="1854"/>
        </w:tabs>
        <w:ind w:left="1287" w:firstLine="0"/>
      </w:pPr>
      <w:rPr>
        <w:rFonts w:hint="default"/>
      </w:rPr>
    </w:lvl>
    <w:lvl w:ilvl="2">
      <w:start w:val="1"/>
      <w:numFmt w:val="lowerRoman"/>
      <w:lvlText w:val="(%3)"/>
      <w:lvlJc w:val="left"/>
      <w:pPr>
        <w:tabs>
          <w:tab w:val="num" w:pos="2421"/>
        </w:tabs>
        <w:ind w:left="1854" w:firstLine="0"/>
      </w:pPr>
      <w:rPr>
        <w:rFonts w:hint="default"/>
      </w:rPr>
    </w:lvl>
    <w:lvl w:ilvl="3">
      <w:start w:val="1"/>
      <w:numFmt w:val="bullet"/>
      <w:lvlText w:val=""/>
      <w:lvlJc w:val="left"/>
      <w:pPr>
        <w:tabs>
          <w:tab w:val="num" w:pos="2988"/>
        </w:tabs>
        <w:ind w:left="2421" w:firstLine="0"/>
      </w:pPr>
      <w:rPr>
        <w:rFonts w:hint="default"/>
      </w:rPr>
    </w:lvl>
    <w:lvl w:ilvl="4">
      <w:start w:val="1"/>
      <w:numFmt w:val="bullet"/>
      <w:lvlText w:val=""/>
      <w:lvlJc w:val="left"/>
      <w:pPr>
        <w:tabs>
          <w:tab w:val="num" w:pos="3555"/>
        </w:tabs>
        <w:ind w:left="2988" w:firstLine="0"/>
      </w:pPr>
      <w:rPr>
        <w:rFonts w:hint="default"/>
      </w:rPr>
    </w:lvl>
    <w:lvl w:ilvl="5">
      <w:start w:val="1"/>
      <w:numFmt w:val="bullet"/>
      <w:lvlText w:val=""/>
      <w:lvlJc w:val="left"/>
      <w:pPr>
        <w:tabs>
          <w:tab w:val="num" w:pos="4122"/>
        </w:tabs>
        <w:ind w:left="3555" w:firstLine="0"/>
      </w:pPr>
      <w:rPr>
        <w:rFonts w:hint="default"/>
      </w:rPr>
    </w:lvl>
    <w:lvl w:ilvl="6">
      <w:start w:val="1"/>
      <w:numFmt w:val="bullet"/>
      <w:lvlText w:val=""/>
      <w:lvlJc w:val="left"/>
      <w:pPr>
        <w:tabs>
          <w:tab w:val="num" w:pos="4689"/>
        </w:tabs>
        <w:ind w:left="4122" w:firstLine="0"/>
      </w:pPr>
      <w:rPr>
        <w:rFonts w:hint="default"/>
      </w:rPr>
    </w:lvl>
    <w:lvl w:ilvl="7">
      <w:start w:val="1"/>
      <w:numFmt w:val="bullet"/>
      <w:lvlText w:val=""/>
      <w:lvlJc w:val="left"/>
      <w:pPr>
        <w:tabs>
          <w:tab w:val="num" w:pos="5255"/>
        </w:tabs>
        <w:ind w:left="4689" w:firstLine="0"/>
      </w:pPr>
      <w:rPr>
        <w:rFonts w:hint="default"/>
      </w:rPr>
    </w:lvl>
    <w:lvl w:ilvl="8">
      <w:start w:val="1"/>
      <w:numFmt w:val="bullet"/>
      <w:lvlText w:val=""/>
      <w:lvlJc w:val="left"/>
      <w:pPr>
        <w:tabs>
          <w:tab w:val="num" w:pos="5822"/>
        </w:tabs>
        <w:ind w:left="5255" w:firstLine="0"/>
      </w:pPr>
      <w:rPr>
        <w:rFonts w:hint="default"/>
      </w:rPr>
    </w:lvl>
  </w:abstractNum>
  <w:abstractNum w:abstractNumId="11">
    <w:nsid w:val="23C45D7C"/>
    <w:multiLevelType w:val="hybridMultilevel"/>
    <w:tmpl w:val="0B8EC2C8"/>
    <w:lvl w:ilvl="0" w:tplc="2C2E3F3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CE6AB1"/>
    <w:multiLevelType w:val="hybridMultilevel"/>
    <w:tmpl w:val="D910DB12"/>
    <w:lvl w:ilvl="0" w:tplc="DE9EECF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7BF0BB1"/>
    <w:multiLevelType w:val="hybridMultilevel"/>
    <w:tmpl w:val="2F0A18D4"/>
    <w:lvl w:ilvl="0" w:tplc="3376BD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DCC3705"/>
    <w:multiLevelType w:val="hybridMultilevel"/>
    <w:tmpl w:val="DC5A2690"/>
    <w:lvl w:ilvl="0" w:tplc="6F28E69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1F67356"/>
    <w:multiLevelType w:val="hybridMultilevel"/>
    <w:tmpl w:val="D4A2C3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1126FE"/>
    <w:multiLevelType w:val="hybridMultilevel"/>
    <w:tmpl w:val="EB804370"/>
    <w:lvl w:ilvl="0" w:tplc="DE9EECF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7851653"/>
    <w:multiLevelType w:val="multilevel"/>
    <w:tmpl w:val="A61644B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B25398D"/>
    <w:multiLevelType w:val="hybridMultilevel"/>
    <w:tmpl w:val="3AA2E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1B1E1A"/>
    <w:multiLevelType w:val="hybridMultilevel"/>
    <w:tmpl w:val="27AA0F06"/>
    <w:lvl w:ilvl="0" w:tplc="DE9EECF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E07920"/>
    <w:multiLevelType w:val="multilevel"/>
    <w:tmpl w:val="119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87228A"/>
    <w:multiLevelType w:val="hybridMultilevel"/>
    <w:tmpl w:val="D3201FF0"/>
    <w:lvl w:ilvl="0" w:tplc="A65C81FE">
      <w:start w:val="1"/>
      <w:numFmt w:val="bullet"/>
      <w:pStyle w:val="TOC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C07576"/>
    <w:multiLevelType w:val="multilevel"/>
    <w:tmpl w:val="4B3A59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5104AEC"/>
    <w:multiLevelType w:val="hybridMultilevel"/>
    <w:tmpl w:val="19A421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66B37E5"/>
    <w:multiLevelType w:val="hybridMultilevel"/>
    <w:tmpl w:val="D400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16939"/>
    <w:multiLevelType w:val="multilevel"/>
    <w:tmpl w:val="095200DC"/>
    <w:lvl w:ilvl="0">
      <w:start w:val="1"/>
      <w:numFmt w:val="bullet"/>
      <w:lvlText w:val=""/>
      <w:lvlJc w:val="left"/>
      <w:pPr>
        <w:tabs>
          <w:tab w:val="num" w:pos="1174"/>
        </w:tabs>
        <w:ind w:left="1174" w:hanging="454"/>
      </w:pPr>
      <w:rPr>
        <w:rFonts w:ascii="Symbol" w:hAnsi="Symbol" w:hint="default"/>
      </w:rPr>
    </w:lvl>
    <w:lvl w:ilvl="1">
      <w:start w:val="1"/>
      <w:numFmt w:val="lowerLetter"/>
      <w:lvlText w:val="(%2)"/>
      <w:lvlJc w:val="left"/>
      <w:pPr>
        <w:tabs>
          <w:tab w:val="num" w:pos="1854"/>
        </w:tabs>
        <w:ind w:left="1287" w:firstLine="0"/>
      </w:pPr>
      <w:rPr>
        <w:rFonts w:hint="default"/>
      </w:rPr>
    </w:lvl>
    <w:lvl w:ilvl="2">
      <w:start w:val="1"/>
      <w:numFmt w:val="lowerRoman"/>
      <w:lvlText w:val="(%3)"/>
      <w:lvlJc w:val="left"/>
      <w:pPr>
        <w:tabs>
          <w:tab w:val="num" w:pos="2421"/>
        </w:tabs>
        <w:ind w:left="1854" w:firstLine="0"/>
      </w:pPr>
      <w:rPr>
        <w:rFonts w:hint="default"/>
      </w:rPr>
    </w:lvl>
    <w:lvl w:ilvl="3">
      <w:start w:val="1"/>
      <w:numFmt w:val="bullet"/>
      <w:lvlText w:val=""/>
      <w:lvlJc w:val="left"/>
      <w:pPr>
        <w:tabs>
          <w:tab w:val="num" w:pos="2988"/>
        </w:tabs>
        <w:ind w:left="2421" w:firstLine="0"/>
      </w:pPr>
      <w:rPr>
        <w:rFonts w:hint="default"/>
      </w:rPr>
    </w:lvl>
    <w:lvl w:ilvl="4">
      <w:start w:val="1"/>
      <w:numFmt w:val="bullet"/>
      <w:lvlText w:val=""/>
      <w:lvlJc w:val="left"/>
      <w:pPr>
        <w:tabs>
          <w:tab w:val="num" w:pos="3555"/>
        </w:tabs>
        <w:ind w:left="2988" w:firstLine="0"/>
      </w:pPr>
      <w:rPr>
        <w:rFonts w:hint="default"/>
      </w:rPr>
    </w:lvl>
    <w:lvl w:ilvl="5">
      <w:start w:val="1"/>
      <w:numFmt w:val="bullet"/>
      <w:lvlText w:val=""/>
      <w:lvlJc w:val="left"/>
      <w:pPr>
        <w:tabs>
          <w:tab w:val="num" w:pos="4122"/>
        </w:tabs>
        <w:ind w:left="3555" w:firstLine="0"/>
      </w:pPr>
      <w:rPr>
        <w:rFonts w:hint="default"/>
      </w:rPr>
    </w:lvl>
    <w:lvl w:ilvl="6">
      <w:start w:val="1"/>
      <w:numFmt w:val="bullet"/>
      <w:lvlText w:val=""/>
      <w:lvlJc w:val="left"/>
      <w:pPr>
        <w:tabs>
          <w:tab w:val="num" w:pos="4689"/>
        </w:tabs>
        <w:ind w:left="4122" w:firstLine="0"/>
      </w:pPr>
      <w:rPr>
        <w:rFonts w:hint="default"/>
      </w:rPr>
    </w:lvl>
    <w:lvl w:ilvl="7">
      <w:start w:val="1"/>
      <w:numFmt w:val="bullet"/>
      <w:lvlText w:val=""/>
      <w:lvlJc w:val="left"/>
      <w:pPr>
        <w:tabs>
          <w:tab w:val="num" w:pos="5255"/>
        </w:tabs>
        <w:ind w:left="4689" w:firstLine="0"/>
      </w:pPr>
      <w:rPr>
        <w:rFonts w:hint="default"/>
      </w:rPr>
    </w:lvl>
    <w:lvl w:ilvl="8">
      <w:start w:val="1"/>
      <w:numFmt w:val="bullet"/>
      <w:lvlText w:val=""/>
      <w:lvlJc w:val="left"/>
      <w:pPr>
        <w:tabs>
          <w:tab w:val="num" w:pos="5822"/>
        </w:tabs>
        <w:ind w:left="5255" w:firstLine="0"/>
      </w:pPr>
      <w:rPr>
        <w:rFonts w:hint="default"/>
      </w:rPr>
    </w:lvl>
  </w:abstractNum>
  <w:abstractNum w:abstractNumId="26">
    <w:nsid w:val="4B681E54"/>
    <w:multiLevelType w:val="hybridMultilevel"/>
    <w:tmpl w:val="7AD834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C2974AE"/>
    <w:multiLevelType w:val="multilevel"/>
    <w:tmpl w:val="1A8A6602"/>
    <w:lvl w:ilvl="0">
      <w:start w:val="1"/>
      <w:numFmt w:val="bullet"/>
      <w:lvlText w:val=""/>
      <w:lvlJc w:val="left"/>
      <w:pPr>
        <w:tabs>
          <w:tab w:val="num" w:pos="1174"/>
        </w:tabs>
        <w:ind w:left="1174" w:hanging="454"/>
      </w:pPr>
      <w:rPr>
        <w:rFonts w:ascii="Symbol" w:hAnsi="Symbol" w:hint="default"/>
      </w:rPr>
    </w:lvl>
    <w:lvl w:ilvl="1">
      <w:start w:val="1"/>
      <w:numFmt w:val="lowerLetter"/>
      <w:lvlText w:val="(%2)"/>
      <w:lvlJc w:val="left"/>
      <w:pPr>
        <w:tabs>
          <w:tab w:val="num" w:pos="1854"/>
        </w:tabs>
        <w:ind w:left="1287" w:firstLine="0"/>
      </w:pPr>
      <w:rPr>
        <w:rFonts w:hint="default"/>
      </w:rPr>
    </w:lvl>
    <w:lvl w:ilvl="2">
      <w:start w:val="1"/>
      <w:numFmt w:val="lowerRoman"/>
      <w:lvlText w:val="(%3)"/>
      <w:lvlJc w:val="left"/>
      <w:pPr>
        <w:tabs>
          <w:tab w:val="num" w:pos="2421"/>
        </w:tabs>
        <w:ind w:left="1854" w:firstLine="0"/>
      </w:pPr>
      <w:rPr>
        <w:rFonts w:hint="default"/>
      </w:rPr>
    </w:lvl>
    <w:lvl w:ilvl="3">
      <w:start w:val="1"/>
      <w:numFmt w:val="bullet"/>
      <w:lvlText w:val=""/>
      <w:lvlJc w:val="left"/>
      <w:pPr>
        <w:tabs>
          <w:tab w:val="num" w:pos="2988"/>
        </w:tabs>
        <w:ind w:left="2421" w:firstLine="0"/>
      </w:pPr>
      <w:rPr>
        <w:rFonts w:hint="default"/>
      </w:rPr>
    </w:lvl>
    <w:lvl w:ilvl="4">
      <w:start w:val="1"/>
      <w:numFmt w:val="bullet"/>
      <w:lvlText w:val=""/>
      <w:lvlJc w:val="left"/>
      <w:pPr>
        <w:tabs>
          <w:tab w:val="num" w:pos="3555"/>
        </w:tabs>
        <w:ind w:left="2988" w:firstLine="0"/>
      </w:pPr>
      <w:rPr>
        <w:rFonts w:hint="default"/>
      </w:rPr>
    </w:lvl>
    <w:lvl w:ilvl="5">
      <w:start w:val="1"/>
      <w:numFmt w:val="bullet"/>
      <w:lvlText w:val=""/>
      <w:lvlJc w:val="left"/>
      <w:pPr>
        <w:tabs>
          <w:tab w:val="num" w:pos="4122"/>
        </w:tabs>
        <w:ind w:left="3555" w:firstLine="0"/>
      </w:pPr>
      <w:rPr>
        <w:rFonts w:hint="default"/>
      </w:rPr>
    </w:lvl>
    <w:lvl w:ilvl="6">
      <w:start w:val="1"/>
      <w:numFmt w:val="bullet"/>
      <w:lvlText w:val=""/>
      <w:lvlJc w:val="left"/>
      <w:pPr>
        <w:tabs>
          <w:tab w:val="num" w:pos="4689"/>
        </w:tabs>
        <w:ind w:left="4122" w:firstLine="0"/>
      </w:pPr>
      <w:rPr>
        <w:rFonts w:hint="default"/>
      </w:rPr>
    </w:lvl>
    <w:lvl w:ilvl="7">
      <w:start w:val="1"/>
      <w:numFmt w:val="bullet"/>
      <w:lvlText w:val=""/>
      <w:lvlJc w:val="left"/>
      <w:pPr>
        <w:tabs>
          <w:tab w:val="num" w:pos="5255"/>
        </w:tabs>
        <w:ind w:left="4689" w:firstLine="0"/>
      </w:pPr>
      <w:rPr>
        <w:rFonts w:hint="default"/>
      </w:rPr>
    </w:lvl>
    <w:lvl w:ilvl="8">
      <w:start w:val="1"/>
      <w:numFmt w:val="bullet"/>
      <w:lvlText w:val=""/>
      <w:lvlJc w:val="left"/>
      <w:pPr>
        <w:tabs>
          <w:tab w:val="num" w:pos="5822"/>
        </w:tabs>
        <w:ind w:left="5255" w:firstLine="0"/>
      </w:pPr>
      <w:rPr>
        <w:rFonts w:hint="default"/>
      </w:rPr>
    </w:lvl>
  </w:abstractNum>
  <w:abstractNum w:abstractNumId="28">
    <w:nsid w:val="4FDC605D"/>
    <w:multiLevelType w:val="hybridMultilevel"/>
    <w:tmpl w:val="E2DEED48"/>
    <w:lvl w:ilvl="0" w:tplc="94EE0C4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4AB5F0F"/>
    <w:multiLevelType w:val="hybridMultilevel"/>
    <w:tmpl w:val="645A5B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6332E39"/>
    <w:multiLevelType w:val="hybridMultilevel"/>
    <w:tmpl w:val="15745ADC"/>
    <w:lvl w:ilvl="0" w:tplc="33580C3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7286EE8"/>
    <w:multiLevelType w:val="multilevel"/>
    <w:tmpl w:val="D4A2C3D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A676EAC"/>
    <w:multiLevelType w:val="multilevel"/>
    <w:tmpl w:val="FA90ECCA"/>
    <w:lvl w:ilvl="0">
      <w:start w:val="1"/>
      <w:numFmt w:val="bullet"/>
      <w:lvlText w:val=""/>
      <w:lvlJc w:val="left"/>
      <w:pPr>
        <w:tabs>
          <w:tab w:val="num" w:pos="1174"/>
        </w:tabs>
        <w:ind w:left="1174" w:hanging="454"/>
      </w:pPr>
      <w:rPr>
        <w:rFonts w:ascii="Symbol" w:hAnsi="Symbol" w:hint="default"/>
      </w:rPr>
    </w:lvl>
    <w:lvl w:ilvl="1">
      <w:start w:val="1"/>
      <w:numFmt w:val="lowerLetter"/>
      <w:lvlText w:val="(%2)"/>
      <w:lvlJc w:val="left"/>
      <w:pPr>
        <w:tabs>
          <w:tab w:val="num" w:pos="1854"/>
        </w:tabs>
        <w:ind w:left="1287" w:firstLine="0"/>
      </w:pPr>
      <w:rPr>
        <w:rFonts w:hint="default"/>
      </w:rPr>
    </w:lvl>
    <w:lvl w:ilvl="2">
      <w:start w:val="1"/>
      <w:numFmt w:val="lowerRoman"/>
      <w:lvlText w:val="(%3)"/>
      <w:lvlJc w:val="left"/>
      <w:pPr>
        <w:tabs>
          <w:tab w:val="num" w:pos="2421"/>
        </w:tabs>
        <w:ind w:left="1854" w:firstLine="0"/>
      </w:pPr>
      <w:rPr>
        <w:rFonts w:hint="default"/>
      </w:rPr>
    </w:lvl>
    <w:lvl w:ilvl="3">
      <w:start w:val="1"/>
      <w:numFmt w:val="bullet"/>
      <w:lvlText w:val=""/>
      <w:lvlJc w:val="left"/>
      <w:pPr>
        <w:tabs>
          <w:tab w:val="num" w:pos="2988"/>
        </w:tabs>
        <w:ind w:left="2421" w:firstLine="0"/>
      </w:pPr>
      <w:rPr>
        <w:rFonts w:hint="default"/>
      </w:rPr>
    </w:lvl>
    <w:lvl w:ilvl="4">
      <w:start w:val="1"/>
      <w:numFmt w:val="bullet"/>
      <w:lvlText w:val=""/>
      <w:lvlJc w:val="left"/>
      <w:pPr>
        <w:tabs>
          <w:tab w:val="num" w:pos="3555"/>
        </w:tabs>
        <w:ind w:left="2988" w:firstLine="0"/>
      </w:pPr>
      <w:rPr>
        <w:rFonts w:hint="default"/>
      </w:rPr>
    </w:lvl>
    <w:lvl w:ilvl="5">
      <w:start w:val="1"/>
      <w:numFmt w:val="bullet"/>
      <w:lvlText w:val=""/>
      <w:lvlJc w:val="left"/>
      <w:pPr>
        <w:tabs>
          <w:tab w:val="num" w:pos="4122"/>
        </w:tabs>
        <w:ind w:left="3555" w:firstLine="0"/>
      </w:pPr>
      <w:rPr>
        <w:rFonts w:hint="default"/>
      </w:rPr>
    </w:lvl>
    <w:lvl w:ilvl="6">
      <w:start w:val="1"/>
      <w:numFmt w:val="bullet"/>
      <w:lvlText w:val=""/>
      <w:lvlJc w:val="left"/>
      <w:pPr>
        <w:tabs>
          <w:tab w:val="num" w:pos="4689"/>
        </w:tabs>
        <w:ind w:left="4122" w:firstLine="0"/>
      </w:pPr>
      <w:rPr>
        <w:rFonts w:hint="default"/>
      </w:rPr>
    </w:lvl>
    <w:lvl w:ilvl="7">
      <w:start w:val="1"/>
      <w:numFmt w:val="bullet"/>
      <w:lvlText w:val=""/>
      <w:lvlJc w:val="left"/>
      <w:pPr>
        <w:tabs>
          <w:tab w:val="num" w:pos="5255"/>
        </w:tabs>
        <w:ind w:left="4689" w:firstLine="0"/>
      </w:pPr>
      <w:rPr>
        <w:rFonts w:hint="default"/>
      </w:rPr>
    </w:lvl>
    <w:lvl w:ilvl="8">
      <w:start w:val="1"/>
      <w:numFmt w:val="bullet"/>
      <w:lvlText w:val=""/>
      <w:lvlJc w:val="left"/>
      <w:pPr>
        <w:tabs>
          <w:tab w:val="num" w:pos="5822"/>
        </w:tabs>
        <w:ind w:left="5255" w:firstLine="0"/>
      </w:pPr>
      <w:rPr>
        <w:rFonts w:hint="default"/>
      </w:rPr>
    </w:lvl>
  </w:abstractNum>
  <w:abstractNum w:abstractNumId="33">
    <w:nsid w:val="60D35879"/>
    <w:multiLevelType w:val="hybridMultilevel"/>
    <w:tmpl w:val="DEA4CD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576666"/>
    <w:multiLevelType w:val="hybridMultilevel"/>
    <w:tmpl w:val="3426E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1E24188"/>
    <w:multiLevelType w:val="hybridMultilevel"/>
    <w:tmpl w:val="6B30B098"/>
    <w:lvl w:ilvl="0" w:tplc="5B36AF1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777D06"/>
    <w:multiLevelType w:val="hybridMultilevel"/>
    <w:tmpl w:val="4A1C7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5DF436C"/>
    <w:multiLevelType w:val="multilevel"/>
    <w:tmpl w:val="0F22D30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8454A5F"/>
    <w:multiLevelType w:val="multilevel"/>
    <w:tmpl w:val="CD84E4F6"/>
    <w:lvl w:ilvl="0">
      <w:start w:val="1"/>
      <w:numFmt w:val="bullet"/>
      <w:lvlText w:val=""/>
      <w:lvlJc w:val="left"/>
      <w:pPr>
        <w:tabs>
          <w:tab w:val="num" w:pos="1174"/>
        </w:tabs>
        <w:ind w:left="1174" w:hanging="454"/>
      </w:pPr>
      <w:rPr>
        <w:rFonts w:ascii="Symbol" w:hAnsi="Symbol" w:hint="default"/>
      </w:rPr>
    </w:lvl>
    <w:lvl w:ilvl="1">
      <w:start w:val="1"/>
      <w:numFmt w:val="lowerLetter"/>
      <w:lvlText w:val="(%2)"/>
      <w:lvlJc w:val="left"/>
      <w:pPr>
        <w:tabs>
          <w:tab w:val="num" w:pos="1854"/>
        </w:tabs>
        <w:ind w:left="1287" w:firstLine="0"/>
      </w:pPr>
      <w:rPr>
        <w:rFonts w:hint="default"/>
      </w:rPr>
    </w:lvl>
    <w:lvl w:ilvl="2">
      <w:start w:val="1"/>
      <w:numFmt w:val="lowerRoman"/>
      <w:lvlText w:val="(%3)"/>
      <w:lvlJc w:val="left"/>
      <w:pPr>
        <w:tabs>
          <w:tab w:val="num" w:pos="2421"/>
        </w:tabs>
        <w:ind w:left="1854" w:firstLine="0"/>
      </w:pPr>
      <w:rPr>
        <w:rFonts w:hint="default"/>
      </w:rPr>
    </w:lvl>
    <w:lvl w:ilvl="3">
      <w:start w:val="1"/>
      <w:numFmt w:val="bullet"/>
      <w:lvlText w:val=""/>
      <w:lvlJc w:val="left"/>
      <w:pPr>
        <w:tabs>
          <w:tab w:val="num" w:pos="2988"/>
        </w:tabs>
        <w:ind w:left="2421" w:firstLine="0"/>
      </w:pPr>
      <w:rPr>
        <w:rFonts w:hint="default"/>
      </w:rPr>
    </w:lvl>
    <w:lvl w:ilvl="4">
      <w:start w:val="1"/>
      <w:numFmt w:val="bullet"/>
      <w:lvlText w:val=""/>
      <w:lvlJc w:val="left"/>
      <w:pPr>
        <w:tabs>
          <w:tab w:val="num" w:pos="3555"/>
        </w:tabs>
        <w:ind w:left="2988" w:firstLine="0"/>
      </w:pPr>
      <w:rPr>
        <w:rFonts w:hint="default"/>
      </w:rPr>
    </w:lvl>
    <w:lvl w:ilvl="5">
      <w:start w:val="1"/>
      <w:numFmt w:val="bullet"/>
      <w:lvlText w:val=""/>
      <w:lvlJc w:val="left"/>
      <w:pPr>
        <w:tabs>
          <w:tab w:val="num" w:pos="4122"/>
        </w:tabs>
        <w:ind w:left="3555" w:firstLine="0"/>
      </w:pPr>
      <w:rPr>
        <w:rFonts w:hint="default"/>
      </w:rPr>
    </w:lvl>
    <w:lvl w:ilvl="6">
      <w:start w:val="1"/>
      <w:numFmt w:val="bullet"/>
      <w:lvlText w:val=""/>
      <w:lvlJc w:val="left"/>
      <w:pPr>
        <w:tabs>
          <w:tab w:val="num" w:pos="4689"/>
        </w:tabs>
        <w:ind w:left="4122" w:firstLine="0"/>
      </w:pPr>
      <w:rPr>
        <w:rFonts w:hint="default"/>
      </w:rPr>
    </w:lvl>
    <w:lvl w:ilvl="7">
      <w:start w:val="1"/>
      <w:numFmt w:val="bullet"/>
      <w:lvlText w:val=""/>
      <w:lvlJc w:val="left"/>
      <w:pPr>
        <w:tabs>
          <w:tab w:val="num" w:pos="5255"/>
        </w:tabs>
        <w:ind w:left="4689" w:firstLine="0"/>
      </w:pPr>
      <w:rPr>
        <w:rFonts w:hint="default"/>
      </w:rPr>
    </w:lvl>
    <w:lvl w:ilvl="8">
      <w:start w:val="1"/>
      <w:numFmt w:val="bullet"/>
      <w:lvlText w:val=""/>
      <w:lvlJc w:val="left"/>
      <w:pPr>
        <w:tabs>
          <w:tab w:val="num" w:pos="5822"/>
        </w:tabs>
        <w:ind w:left="5255" w:firstLine="0"/>
      </w:pPr>
      <w:rPr>
        <w:rFonts w:hint="default"/>
      </w:rPr>
    </w:lvl>
  </w:abstractNum>
  <w:abstractNum w:abstractNumId="39">
    <w:nsid w:val="790B6E54"/>
    <w:multiLevelType w:val="multilevel"/>
    <w:tmpl w:val="B5B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8F2710"/>
    <w:multiLevelType w:val="hybridMultilevel"/>
    <w:tmpl w:val="4B3A5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A5F63D3"/>
    <w:multiLevelType w:val="hybridMultilevel"/>
    <w:tmpl w:val="DC6804A8"/>
    <w:lvl w:ilvl="0" w:tplc="EE2CB006">
      <w:start w:val="1"/>
      <w:numFmt w:val="bullet"/>
      <w:lvlText w:val=""/>
      <w:lvlJc w:val="left"/>
      <w:pPr>
        <w:tabs>
          <w:tab w:val="num" w:pos="720"/>
        </w:tabs>
        <w:ind w:left="720" w:hanging="360"/>
      </w:pPr>
      <w:rPr>
        <w:rFonts w:ascii="Symbol" w:hAnsi="Symbol" w:hint="default"/>
      </w:rPr>
    </w:lvl>
    <w:lvl w:ilvl="1" w:tplc="576662C8" w:tentative="1">
      <w:start w:val="1"/>
      <w:numFmt w:val="bullet"/>
      <w:lvlText w:val="o"/>
      <w:lvlJc w:val="left"/>
      <w:pPr>
        <w:tabs>
          <w:tab w:val="num" w:pos="1440"/>
        </w:tabs>
        <w:ind w:left="1440" w:hanging="360"/>
      </w:pPr>
      <w:rPr>
        <w:rFonts w:ascii="Courier New" w:hAnsi="Courier New" w:cs="Courier New" w:hint="default"/>
      </w:rPr>
    </w:lvl>
    <w:lvl w:ilvl="2" w:tplc="18188E8A" w:tentative="1">
      <w:start w:val="1"/>
      <w:numFmt w:val="bullet"/>
      <w:lvlText w:val=""/>
      <w:lvlJc w:val="left"/>
      <w:pPr>
        <w:tabs>
          <w:tab w:val="num" w:pos="2160"/>
        </w:tabs>
        <w:ind w:left="2160" w:hanging="360"/>
      </w:pPr>
      <w:rPr>
        <w:rFonts w:ascii="Wingdings" w:hAnsi="Wingdings" w:hint="default"/>
      </w:rPr>
    </w:lvl>
    <w:lvl w:ilvl="3" w:tplc="D6CE2904" w:tentative="1">
      <w:start w:val="1"/>
      <w:numFmt w:val="bullet"/>
      <w:lvlText w:val=""/>
      <w:lvlJc w:val="left"/>
      <w:pPr>
        <w:tabs>
          <w:tab w:val="num" w:pos="2880"/>
        </w:tabs>
        <w:ind w:left="2880" w:hanging="360"/>
      </w:pPr>
      <w:rPr>
        <w:rFonts w:ascii="Symbol" w:hAnsi="Symbol" w:hint="default"/>
      </w:rPr>
    </w:lvl>
    <w:lvl w:ilvl="4" w:tplc="D0028DE8" w:tentative="1">
      <w:start w:val="1"/>
      <w:numFmt w:val="bullet"/>
      <w:lvlText w:val="o"/>
      <w:lvlJc w:val="left"/>
      <w:pPr>
        <w:tabs>
          <w:tab w:val="num" w:pos="3600"/>
        </w:tabs>
        <w:ind w:left="3600" w:hanging="360"/>
      </w:pPr>
      <w:rPr>
        <w:rFonts w:ascii="Courier New" w:hAnsi="Courier New" w:cs="Courier New" w:hint="default"/>
      </w:rPr>
    </w:lvl>
    <w:lvl w:ilvl="5" w:tplc="8F2C2818" w:tentative="1">
      <w:start w:val="1"/>
      <w:numFmt w:val="bullet"/>
      <w:lvlText w:val=""/>
      <w:lvlJc w:val="left"/>
      <w:pPr>
        <w:tabs>
          <w:tab w:val="num" w:pos="4320"/>
        </w:tabs>
        <w:ind w:left="4320" w:hanging="360"/>
      </w:pPr>
      <w:rPr>
        <w:rFonts w:ascii="Wingdings" w:hAnsi="Wingdings" w:hint="default"/>
      </w:rPr>
    </w:lvl>
    <w:lvl w:ilvl="6" w:tplc="963CF044" w:tentative="1">
      <w:start w:val="1"/>
      <w:numFmt w:val="bullet"/>
      <w:lvlText w:val=""/>
      <w:lvlJc w:val="left"/>
      <w:pPr>
        <w:tabs>
          <w:tab w:val="num" w:pos="5040"/>
        </w:tabs>
        <w:ind w:left="5040" w:hanging="360"/>
      </w:pPr>
      <w:rPr>
        <w:rFonts w:ascii="Symbol" w:hAnsi="Symbol" w:hint="default"/>
      </w:rPr>
    </w:lvl>
    <w:lvl w:ilvl="7" w:tplc="FAFAE78A" w:tentative="1">
      <w:start w:val="1"/>
      <w:numFmt w:val="bullet"/>
      <w:lvlText w:val="o"/>
      <w:lvlJc w:val="left"/>
      <w:pPr>
        <w:tabs>
          <w:tab w:val="num" w:pos="5760"/>
        </w:tabs>
        <w:ind w:left="5760" w:hanging="360"/>
      </w:pPr>
      <w:rPr>
        <w:rFonts w:ascii="Courier New" w:hAnsi="Courier New" w:cs="Courier New" w:hint="default"/>
      </w:rPr>
    </w:lvl>
    <w:lvl w:ilvl="8" w:tplc="32CAE468" w:tentative="1">
      <w:start w:val="1"/>
      <w:numFmt w:val="bullet"/>
      <w:lvlText w:val=""/>
      <w:lvlJc w:val="left"/>
      <w:pPr>
        <w:tabs>
          <w:tab w:val="num" w:pos="6480"/>
        </w:tabs>
        <w:ind w:left="6480" w:hanging="360"/>
      </w:pPr>
      <w:rPr>
        <w:rFonts w:ascii="Wingdings" w:hAnsi="Wingdings" w:hint="default"/>
      </w:rPr>
    </w:lvl>
  </w:abstractNum>
  <w:abstractNum w:abstractNumId="42">
    <w:nsid w:val="7AA30879"/>
    <w:multiLevelType w:val="multilevel"/>
    <w:tmpl w:val="7CBA635A"/>
    <w:lvl w:ilvl="0">
      <w:start w:val="1"/>
      <w:numFmt w:val="bullet"/>
      <w:lvlText w:val="o"/>
      <w:lvlJc w:val="left"/>
      <w:pPr>
        <w:tabs>
          <w:tab w:val="num" w:pos="1080"/>
        </w:tabs>
        <w:ind w:left="1080" w:hanging="360"/>
      </w:pPr>
      <w:rPr>
        <w:rFonts w:ascii="Courier New" w:hAnsi="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3">
    <w:nsid w:val="7AB2610A"/>
    <w:multiLevelType w:val="hybridMultilevel"/>
    <w:tmpl w:val="7CBA635A"/>
    <w:lvl w:ilvl="0" w:tplc="B75014C4">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F6923BD"/>
    <w:multiLevelType w:val="hybridMultilevel"/>
    <w:tmpl w:val="A4FE2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20"/>
  </w:num>
  <w:num w:numId="3">
    <w:abstractNumId w:val="18"/>
  </w:num>
  <w:num w:numId="4">
    <w:abstractNumId w:val="13"/>
  </w:num>
  <w:num w:numId="5">
    <w:abstractNumId w:val="0"/>
  </w:num>
  <w:num w:numId="6">
    <w:abstractNumId w:val="14"/>
  </w:num>
  <w:num w:numId="7">
    <w:abstractNumId w:val="35"/>
  </w:num>
  <w:num w:numId="8">
    <w:abstractNumId w:val="4"/>
  </w:num>
  <w:num w:numId="9">
    <w:abstractNumId w:val="23"/>
  </w:num>
  <w:num w:numId="10">
    <w:abstractNumId w:val="1"/>
  </w:num>
  <w:num w:numId="11">
    <w:abstractNumId w:val="12"/>
  </w:num>
  <w:num w:numId="12">
    <w:abstractNumId w:val="9"/>
  </w:num>
  <w:num w:numId="13">
    <w:abstractNumId w:val="16"/>
  </w:num>
  <w:num w:numId="14">
    <w:abstractNumId w:val="19"/>
  </w:num>
  <w:num w:numId="15">
    <w:abstractNumId w:val="41"/>
  </w:num>
  <w:num w:numId="16">
    <w:abstractNumId w:val="15"/>
  </w:num>
  <w:num w:numId="17">
    <w:abstractNumId w:val="31"/>
  </w:num>
  <w:num w:numId="18">
    <w:abstractNumId w:val="7"/>
  </w:num>
  <w:num w:numId="19">
    <w:abstractNumId w:val="30"/>
  </w:num>
  <w:num w:numId="20">
    <w:abstractNumId w:val="5"/>
  </w:num>
  <w:num w:numId="21">
    <w:abstractNumId w:val="37"/>
  </w:num>
  <w:num w:numId="22">
    <w:abstractNumId w:val="28"/>
  </w:num>
  <w:num w:numId="23">
    <w:abstractNumId w:val="11"/>
  </w:num>
  <w:num w:numId="24">
    <w:abstractNumId w:val="21"/>
  </w:num>
  <w:num w:numId="25">
    <w:abstractNumId w:val="17"/>
  </w:num>
  <w:num w:numId="26">
    <w:abstractNumId w:val="2"/>
  </w:num>
  <w:num w:numId="27">
    <w:abstractNumId w:val="29"/>
  </w:num>
  <w:num w:numId="28">
    <w:abstractNumId w:val="36"/>
  </w:num>
  <w:num w:numId="29">
    <w:abstractNumId w:val="40"/>
  </w:num>
  <w:num w:numId="30">
    <w:abstractNumId w:val="6"/>
  </w:num>
  <w:num w:numId="31">
    <w:abstractNumId w:val="43"/>
  </w:num>
  <w:num w:numId="32">
    <w:abstractNumId w:val="2"/>
  </w:num>
  <w:num w:numId="33">
    <w:abstractNumId w:val="3"/>
  </w:num>
  <w:num w:numId="34">
    <w:abstractNumId w:val="22"/>
  </w:num>
  <w:num w:numId="35">
    <w:abstractNumId w:val="44"/>
  </w:num>
  <w:num w:numId="36">
    <w:abstractNumId w:val="42"/>
  </w:num>
  <w:num w:numId="37">
    <w:abstractNumId w:val="26"/>
  </w:num>
  <w:num w:numId="38">
    <w:abstractNumId w:val="34"/>
  </w:num>
  <w:num w:numId="39">
    <w:abstractNumId w:val="33"/>
  </w:num>
  <w:num w:numId="40">
    <w:abstractNumId w:val="8"/>
  </w:num>
  <w:num w:numId="41">
    <w:abstractNumId w:val="32"/>
  </w:num>
  <w:num w:numId="42">
    <w:abstractNumId w:val="27"/>
  </w:num>
  <w:num w:numId="43">
    <w:abstractNumId w:val="38"/>
  </w:num>
  <w:num w:numId="44">
    <w:abstractNumId w:val="10"/>
  </w:num>
  <w:num w:numId="45">
    <w:abstractNumId w:val="25"/>
  </w:num>
  <w:num w:numId="46">
    <w:abstractNumId w:val="24"/>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characterSpacingControl w:val="doNotCompress"/>
  <w:hdrShapeDefaults>
    <o:shapedefaults v:ext="edit" spidmax="378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460"/>
    <w:rsid w:val="00000282"/>
    <w:rsid w:val="00000E4B"/>
    <w:rsid w:val="00000F92"/>
    <w:rsid w:val="000011D1"/>
    <w:rsid w:val="0000173A"/>
    <w:rsid w:val="00004D25"/>
    <w:rsid w:val="00004EBC"/>
    <w:rsid w:val="00005185"/>
    <w:rsid w:val="00006BDD"/>
    <w:rsid w:val="00006E74"/>
    <w:rsid w:val="00010FD5"/>
    <w:rsid w:val="000113E0"/>
    <w:rsid w:val="0001164E"/>
    <w:rsid w:val="000122AD"/>
    <w:rsid w:val="00012E64"/>
    <w:rsid w:val="00013479"/>
    <w:rsid w:val="00014C8F"/>
    <w:rsid w:val="0001519E"/>
    <w:rsid w:val="000151E2"/>
    <w:rsid w:val="00017304"/>
    <w:rsid w:val="0001765B"/>
    <w:rsid w:val="00020C84"/>
    <w:rsid w:val="00021995"/>
    <w:rsid w:val="000224E1"/>
    <w:rsid w:val="0002279A"/>
    <w:rsid w:val="00023962"/>
    <w:rsid w:val="00031F96"/>
    <w:rsid w:val="000332BD"/>
    <w:rsid w:val="00033C2F"/>
    <w:rsid w:val="00033E53"/>
    <w:rsid w:val="0003428C"/>
    <w:rsid w:val="000346B7"/>
    <w:rsid w:val="00034C4E"/>
    <w:rsid w:val="00035BC0"/>
    <w:rsid w:val="00036478"/>
    <w:rsid w:val="00037128"/>
    <w:rsid w:val="00037699"/>
    <w:rsid w:val="0004017C"/>
    <w:rsid w:val="0004056D"/>
    <w:rsid w:val="000406F4"/>
    <w:rsid w:val="0004073E"/>
    <w:rsid w:val="000430C8"/>
    <w:rsid w:val="000436A6"/>
    <w:rsid w:val="000450E2"/>
    <w:rsid w:val="00045142"/>
    <w:rsid w:val="00046F78"/>
    <w:rsid w:val="0004756D"/>
    <w:rsid w:val="00050041"/>
    <w:rsid w:val="00050A62"/>
    <w:rsid w:val="0005205C"/>
    <w:rsid w:val="000520E5"/>
    <w:rsid w:val="0005287E"/>
    <w:rsid w:val="00052BC4"/>
    <w:rsid w:val="00054231"/>
    <w:rsid w:val="00054EBB"/>
    <w:rsid w:val="00056592"/>
    <w:rsid w:val="00056A60"/>
    <w:rsid w:val="00056CC0"/>
    <w:rsid w:val="000576C0"/>
    <w:rsid w:val="00060024"/>
    <w:rsid w:val="000606EE"/>
    <w:rsid w:val="00062771"/>
    <w:rsid w:val="000645F4"/>
    <w:rsid w:val="00066CBE"/>
    <w:rsid w:val="00070852"/>
    <w:rsid w:val="00070F5F"/>
    <w:rsid w:val="00071007"/>
    <w:rsid w:val="000727B5"/>
    <w:rsid w:val="00072B9A"/>
    <w:rsid w:val="00073095"/>
    <w:rsid w:val="0007311F"/>
    <w:rsid w:val="00073BD4"/>
    <w:rsid w:val="00075878"/>
    <w:rsid w:val="00075B37"/>
    <w:rsid w:val="000760CC"/>
    <w:rsid w:val="000761E6"/>
    <w:rsid w:val="00077A5D"/>
    <w:rsid w:val="000821CA"/>
    <w:rsid w:val="00084BA7"/>
    <w:rsid w:val="00084CEB"/>
    <w:rsid w:val="00085379"/>
    <w:rsid w:val="00086054"/>
    <w:rsid w:val="00086A78"/>
    <w:rsid w:val="00086B5A"/>
    <w:rsid w:val="0008789A"/>
    <w:rsid w:val="00087974"/>
    <w:rsid w:val="000907F3"/>
    <w:rsid w:val="000908AD"/>
    <w:rsid w:val="000910F5"/>
    <w:rsid w:val="0009143F"/>
    <w:rsid w:val="00091C12"/>
    <w:rsid w:val="000922E1"/>
    <w:rsid w:val="00094ED7"/>
    <w:rsid w:val="00096B73"/>
    <w:rsid w:val="00096E6B"/>
    <w:rsid w:val="000A0735"/>
    <w:rsid w:val="000A13E9"/>
    <w:rsid w:val="000A17B1"/>
    <w:rsid w:val="000A1B3F"/>
    <w:rsid w:val="000A1BF9"/>
    <w:rsid w:val="000A1D1F"/>
    <w:rsid w:val="000A2080"/>
    <w:rsid w:val="000A369B"/>
    <w:rsid w:val="000A570C"/>
    <w:rsid w:val="000A5BB7"/>
    <w:rsid w:val="000B1EF7"/>
    <w:rsid w:val="000B30F5"/>
    <w:rsid w:val="000B3147"/>
    <w:rsid w:val="000B5352"/>
    <w:rsid w:val="000B5875"/>
    <w:rsid w:val="000B6F46"/>
    <w:rsid w:val="000B746E"/>
    <w:rsid w:val="000B76DB"/>
    <w:rsid w:val="000B7A57"/>
    <w:rsid w:val="000B7D9E"/>
    <w:rsid w:val="000C076D"/>
    <w:rsid w:val="000C0BF2"/>
    <w:rsid w:val="000C0FCC"/>
    <w:rsid w:val="000C1D42"/>
    <w:rsid w:val="000C276D"/>
    <w:rsid w:val="000C2A56"/>
    <w:rsid w:val="000C6F21"/>
    <w:rsid w:val="000C7714"/>
    <w:rsid w:val="000C7B47"/>
    <w:rsid w:val="000D167C"/>
    <w:rsid w:val="000D237D"/>
    <w:rsid w:val="000D2F86"/>
    <w:rsid w:val="000D385A"/>
    <w:rsid w:val="000D49A1"/>
    <w:rsid w:val="000D49BE"/>
    <w:rsid w:val="000D4B9D"/>
    <w:rsid w:val="000D4C30"/>
    <w:rsid w:val="000D568A"/>
    <w:rsid w:val="000D688D"/>
    <w:rsid w:val="000D6EAF"/>
    <w:rsid w:val="000D7102"/>
    <w:rsid w:val="000D710B"/>
    <w:rsid w:val="000D7409"/>
    <w:rsid w:val="000D76A0"/>
    <w:rsid w:val="000D7905"/>
    <w:rsid w:val="000E374C"/>
    <w:rsid w:val="000E3920"/>
    <w:rsid w:val="000E4343"/>
    <w:rsid w:val="000E6A2A"/>
    <w:rsid w:val="000E6A33"/>
    <w:rsid w:val="000E7770"/>
    <w:rsid w:val="000E7793"/>
    <w:rsid w:val="000F0625"/>
    <w:rsid w:val="000F14D0"/>
    <w:rsid w:val="000F1AC8"/>
    <w:rsid w:val="000F1C1E"/>
    <w:rsid w:val="000F2F3E"/>
    <w:rsid w:val="000F3C30"/>
    <w:rsid w:val="000F5762"/>
    <w:rsid w:val="000F64FF"/>
    <w:rsid w:val="00101989"/>
    <w:rsid w:val="00101E79"/>
    <w:rsid w:val="00102521"/>
    <w:rsid w:val="0010280D"/>
    <w:rsid w:val="00104C42"/>
    <w:rsid w:val="00104CA4"/>
    <w:rsid w:val="00105EBF"/>
    <w:rsid w:val="00105F7A"/>
    <w:rsid w:val="001068A6"/>
    <w:rsid w:val="00106A7A"/>
    <w:rsid w:val="001073ED"/>
    <w:rsid w:val="001112FC"/>
    <w:rsid w:val="0011167F"/>
    <w:rsid w:val="00113D75"/>
    <w:rsid w:val="00113D8C"/>
    <w:rsid w:val="0011457E"/>
    <w:rsid w:val="00115053"/>
    <w:rsid w:val="001159BE"/>
    <w:rsid w:val="001166DA"/>
    <w:rsid w:val="001178A6"/>
    <w:rsid w:val="00117CC0"/>
    <w:rsid w:val="00117E63"/>
    <w:rsid w:val="00120CB7"/>
    <w:rsid w:val="00121A1A"/>
    <w:rsid w:val="00121EEF"/>
    <w:rsid w:val="00121F5E"/>
    <w:rsid w:val="001222C1"/>
    <w:rsid w:val="00122C4A"/>
    <w:rsid w:val="00122E84"/>
    <w:rsid w:val="00122EFC"/>
    <w:rsid w:val="001234DA"/>
    <w:rsid w:val="00123CB3"/>
    <w:rsid w:val="001240E5"/>
    <w:rsid w:val="00124197"/>
    <w:rsid w:val="00124BA9"/>
    <w:rsid w:val="00124E6C"/>
    <w:rsid w:val="00125149"/>
    <w:rsid w:val="0012536C"/>
    <w:rsid w:val="001261A9"/>
    <w:rsid w:val="001272E3"/>
    <w:rsid w:val="00127956"/>
    <w:rsid w:val="00130405"/>
    <w:rsid w:val="00130EF5"/>
    <w:rsid w:val="00131A5A"/>
    <w:rsid w:val="00131ADC"/>
    <w:rsid w:val="00133271"/>
    <w:rsid w:val="0013454B"/>
    <w:rsid w:val="0013569F"/>
    <w:rsid w:val="001361B6"/>
    <w:rsid w:val="001372BE"/>
    <w:rsid w:val="001375C1"/>
    <w:rsid w:val="0013765C"/>
    <w:rsid w:val="001378AF"/>
    <w:rsid w:val="001378D3"/>
    <w:rsid w:val="00141A9A"/>
    <w:rsid w:val="0014308A"/>
    <w:rsid w:val="001438B6"/>
    <w:rsid w:val="00143B77"/>
    <w:rsid w:val="00143CEA"/>
    <w:rsid w:val="001467AE"/>
    <w:rsid w:val="00146A73"/>
    <w:rsid w:val="00146DB0"/>
    <w:rsid w:val="0014738E"/>
    <w:rsid w:val="001479B9"/>
    <w:rsid w:val="00147B12"/>
    <w:rsid w:val="00150C96"/>
    <w:rsid w:val="00153096"/>
    <w:rsid w:val="00154638"/>
    <w:rsid w:val="00154DC5"/>
    <w:rsid w:val="00155577"/>
    <w:rsid w:val="001555C2"/>
    <w:rsid w:val="00155D78"/>
    <w:rsid w:val="00155DDC"/>
    <w:rsid w:val="00157054"/>
    <w:rsid w:val="00157EFC"/>
    <w:rsid w:val="00161981"/>
    <w:rsid w:val="00161C75"/>
    <w:rsid w:val="00163415"/>
    <w:rsid w:val="00163E95"/>
    <w:rsid w:val="00164B0D"/>
    <w:rsid w:val="00164B13"/>
    <w:rsid w:val="00167B6B"/>
    <w:rsid w:val="0017014D"/>
    <w:rsid w:val="00172545"/>
    <w:rsid w:val="001729A6"/>
    <w:rsid w:val="00173FBC"/>
    <w:rsid w:val="001742CD"/>
    <w:rsid w:val="00175168"/>
    <w:rsid w:val="00175E52"/>
    <w:rsid w:val="0017684B"/>
    <w:rsid w:val="0017759A"/>
    <w:rsid w:val="0018007D"/>
    <w:rsid w:val="001808C0"/>
    <w:rsid w:val="00180E47"/>
    <w:rsid w:val="00181B63"/>
    <w:rsid w:val="00182926"/>
    <w:rsid w:val="00182BF0"/>
    <w:rsid w:val="00184463"/>
    <w:rsid w:val="00184578"/>
    <w:rsid w:val="001854EF"/>
    <w:rsid w:val="001858F6"/>
    <w:rsid w:val="00185D9E"/>
    <w:rsid w:val="00186349"/>
    <w:rsid w:val="001874E0"/>
    <w:rsid w:val="00187AB8"/>
    <w:rsid w:val="00187AC6"/>
    <w:rsid w:val="0019183F"/>
    <w:rsid w:val="001926C3"/>
    <w:rsid w:val="001939AD"/>
    <w:rsid w:val="00193F0E"/>
    <w:rsid w:val="00194BBD"/>
    <w:rsid w:val="00194E9B"/>
    <w:rsid w:val="00194EBD"/>
    <w:rsid w:val="001954C3"/>
    <w:rsid w:val="00195732"/>
    <w:rsid w:val="001957B5"/>
    <w:rsid w:val="00195C79"/>
    <w:rsid w:val="00196166"/>
    <w:rsid w:val="00196386"/>
    <w:rsid w:val="001974B2"/>
    <w:rsid w:val="0019794B"/>
    <w:rsid w:val="00197E20"/>
    <w:rsid w:val="001A1436"/>
    <w:rsid w:val="001A14D0"/>
    <w:rsid w:val="001A1BF2"/>
    <w:rsid w:val="001A24C7"/>
    <w:rsid w:val="001A2A12"/>
    <w:rsid w:val="001A5234"/>
    <w:rsid w:val="001A5282"/>
    <w:rsid w:val="001A5F43"/>
    <w:rsid w:val="001A5FA2"/>
    <w:rsid w:val="001A67CA"/>
    <w:rsid w:val="001A6EA4"/>
    <w:rsid w:val="001A7257"/>
    <w:rsid w:val="001A77DD"/>
    <w:rsid w:val="001B0F6B"/>
    <w:rsid w:val="001B102A"/>
    <w:rsid w:val="001B2BB1"/>
    <w:rsid w:val="001B3793"/>
    <w:rsid w:val="001B4A84"/>
    <w:rsid w:val="001B5284"/>
    <w:rsid w:val="001B5974"/>
    <w:rsid w:val="001B5D75"/>
    <w:rsid w:val="001B71A7"/>
    <w:rsid w:val="001C0359"/>
    <w:rsid w:val="001C093A"/>
    <w:rsid w:val="001C1B02"/>
    <w:rsid w:val="001C1EF8"/>
    <w:rsid w:val="001C2DBC"/>
    <w:rsid w:val="001C3219"/>
    <w:rsid w:val="001C4123"/>
    <w:rsid w:val="001C5578"/>
    <w:rsid w:val="001D007F"/>
    <w:rsid w:val="001D0993"/>
    <w:rsid w:val="001D0C02"/>
    <w:rsid w:val="001D0D7E"/>
    <w:rsid w:val="001D106A"/>
    <w:rsid w:val="001D11F5"/>
    <w:rsid w:val="001D2360"/>
    <w:rsid w:val="001D2C43"/>
    <w:rsid w:val="001D35A1"/>
    <w:rsid w:val="001E0770"/>
    <w:rsid w:val="001E0793"/>
    <w:rsid w:val="001E260B"/>
    <w:rsid w:val="001E31C0"/>
    <w:rsid w:val="001E3A71"/>
    <w:rsid w:val="001E3D79"/>
    <w:rsid w:val="001E60A3"/>
    <w:rsid w:val="001E72F5"/>
    <w:rsid w:val="001F14EB"/>
    <w:rsid w:val="001F1D15"/>
    <w:rsid w:val="001F3424"/>
    <w:rsid w:val="001F360A"/>
    <w:rsid w:val="001F39EC"/>
    <w:rsid w:val="001F530B"/>
    <w:rsid w:val="001F533D"/>
    <w:rsid w:val="001F644D"/>
    <w:rsid w:val="001F6768"/>
    <w:rsid w:val="001F6D3D"/>
    <w:rsid w:val="0020035D"/>
    <w:rsid w:val="0020112F"/>
    <w:rsid w:val="00202270"/>
    <w:rsid w:val="002025FD"/>
    <w:rsid w:val="00202829"/>
    <w:rsid w:val="002034A8"/>
    <w:rsid w:val="00203A75"/>
    <w:rsid w:val="00203C93"/>
    <w:rsid w:val="00203E1A"/>
    <w:rsid w:val="0020422F"/>
    <w:rsid w:val="002044DA"/>
    <w:rsid w:val="0020556A"/>
    <w:rsid w:val="00206B33"/>
    <w:rsid w:val="00207853"/>
    <w:rsid w:val="00207B67"/>
    <w:rsid w:val="002112C6"/>
    <w:rsid w:val="00211690"/>
    <w:rsid w:val="00211AA0"/>
    <w:rsid w:val="00212924"/>
    <w:rsid w:val="00212B39"/>
    <w:rsid w:val="00213542"/>
    <w:rsid w:val="00213F70"/>
    <w:rsid w:val="00213FAB"/>
    <w:rsid w:val="00214141"/>
    <w:rsid w:val="00214D1C"/>
    <w:rsid w:val="0021727B"/>
    <w:rsid w:val="00217898"/>
    <w:rsid w:val="00217D06"/>
    <w:rsid w:val="002202F3"/>
    <w:rsid w:val="00220E28"/>
    <w:rsid w:val="002218B9"/>
    <w:rsid w:val="0022292B"/>
    <w:rsid w:val="00223805"/>
    <w:rsid w:val="002245DA"/>
    <w:rsid w:val="00224A31"/>
    <w:rsid w:val="00226077"/>
    <w:rsid w:val="00231B50"/>
    <w:rsid w:val="002320BC"/>
    <w:rsid w:val="00233377"/>
    <w:rsid w:val="00233803"/>
    <w:rsid w:val="0023509A"/>
    <w:rsid w:val="002373F7"/>
    <w:rsid w:val="00240646"/>
    <w:rsid w:val="00241252"/>
    <w:rsid w:val="00241765"/>
    <w:rsid w:val="0024508E"/>
    <w:rsid w:val="00245272"/>
    <w:rsid w:val="002453E5"/>
    <w:rsid w:val="00245E1D"/>
    <w:rsid w:val="002463E0"/>
    <w:rsid w:val="00246C1D"/>
    <w:rsid w:val="00247733"/>
    <w:rsid w:val="00247DA8"/>
    <w:rsid w:val="002500E0"/>
    <w:rsid w:val="0025087B"/>
    <w:rsid w:val="00250924"/>
    <w:rsid w:val="0025109C"/>
    <w:rsid w:val="002510AD"/>
    <w:rsid w:val="002514BA"/>
    <w:rsid w:val="002515E4"/>
    <w:rsid w:val="00251C9D"/>
    <w:rsid w:val="0025228E"/>
    <w:rsid w:val="002536FB"/>
    <w:rsid w:val="002553C1"/>
    <w:rsid w:val="002555AF"/>
    <w:rsid w:val="002562D2"/>
    <w:rsid w:val="00257238"/>
    <w:rsid w:val="0025726F"/>
    <w:rsid w:val="00260748"/>
    <w:rsid w:val="00260ACB"/>
    <w:rsid w:val="002616AF"/>
    <w:rsid w:val="002631E6"/>
    <w:rsid w:val="00264AC9"/>
    <w:rsid w:val="00265265"/>
    <w:rsid w:val="00266221"/>
    <w:rsid w:val="00266925"/>
    <w:rsid w:val="00266C0A"/>
    <w:rsid w:val="0026772F"/>
    <w:rsid w:val="002679EB"/>
    <w:rsid w:val="00267C84"/>
    <w:rsid w:val="0027196E"/>
    <w:rsid w:val="00271CA9"/>
    <w:rsid w:val="0027239A"/>
    <w:rsid w:val="002728E5"/>
    <w:rsid w:val="00272931"/>
    <w:rsid w:val="00274CB3"/>
    <w:rsid w:val="002760C4"/>
    <w:rsid w:val="0027706E"/>
    <w:rsid w:val="00280408"/>
    <w:rsid w:val="0028048E"/>
    <w:rsid w:val="0028170E"/>
    <w:rsid w:val="00281CB4"/>
    <w:rsid w:val="00282461"/>
    <w:rsid w:val="00282948"/>
    <w:rsid w:val="00283751"/>
    <w:rsid w:val="0028729A"/>
    <w:rsid w:val="0029001A"/>
    <w:rsid w:val="00290F08"/>
    <w:rsid w:val="002916EB"/>
    <w:rsid w:val="00291AD8"/>
    <w:rsid w:val="00291EB8"/>
    <w:rsid w:val="002921C8"/>
    <w:rsid w:val="002925D9"/>
    <w:rsid w:val="00292635"/>
    <w:rsid w:val="00292BDF"/>
    <w:rsid w:val="0029349E"/>
    <w:rsid w:val="0029357B"/>
    <w:rsid w:val="002947B5"/>
    <w:rsid w:val="00295158"/>
    <w:rsid w:val="00295680"/>
    <w:rsid w:val="00297726"/>
    <w:rsid w:val="002A0311"/>
    <w:rsid w:val="002A03DE"/>
    <w:rsid w:val="002A0E42"/>
    <w:rsid w:val="002A10FB"/>
    <w:rsid w:val="002A116C"/>
    <w:rsid w:val="002A18F4"/>
    <w:rsid w:val="002A472C"/>
    <w:rsid w:val="002A49C8"/>
    <w:rsid w:val="002A59BA"/>
    <w:rsid w:val="002A6FD8"/>
    <w:rsid w:val="002A7203"/>
    <w:rsid w:val="002B08B0"/>
    <w:rsid w:val="002B08B4"/>
    <w:rsid w:val="002B1F31"/>
    <w:rsid w:val="002B2462"/>
    <w:rsid w:val="002B2906"/>
    <w:rsid w:val="002B30DD"/>
    <w:rsid w:val="002B379E"/>
    <w:rsid w:val="002B3898"/>
    <w:rsid w:val="002B527A"/>
    <w:rsid w:val="002B6190"/>
    <w:rsid w:val="002B6240"/>
    <w:rsid w:val="002B662F"/>
    <w:rsid w:val="002B68BB"/>
    <w:rsid w:val="002B7281"/>
    <w:rsid w:val="002B72F6"/>
    <w:rsid w:val="002B7FD8"/>
    <w:rsid w:val="002C039A"/>
    <w:rsid w:val="002C04D6"/>
    <w:rsid w:val="002C04E9"/>
    <w:rsid w:val="002C13C3"/>
    <w:rsid w:val="002C14F3"/>
    <w:rsid w:val="002C1A4A"/>
    <w:rsid w:val="002C220D"/>
    <w:rsid w:val="002C2E7A"/>
    <w:rsid w:val="002C4A5E"/>
    <w:rsid w:val="002C5F2A"/>
    <w:rsid w:val="002C616F"/>
    <w:rsid w:val="002C63A1"/>
    <w:rsid w:val="002C6CDB"/>
    <w:rsid w:val="002C6F04"/>
    <w:rsid w:val="002D0412"/>
    <w:rsid w:val="002D04AA"/>
    <w:rsid w:val="002D090F"/>
    <w:rsid w:val="002D09C0"/>
    <w:rsid w:val="002D0B66"/>
    <w:rsid w:val="002D0C7E"/>
    <w:rsid w:val="002D0D1C"/>
    <w:rsid w:val="002D1135"/>
    <w:rsid w:val="002D1E38"/>
    <w:rsid w:val="002D3C3F"/>
    <w:rsid w:val="002D4323"/>
    <w:rsid w:val="002D5AB1"/>
    <w:rsid w:val="002D5DBA"/>
    <w:rsid w:val="002D6254"/>
    <w:rsid w:val="002D6559"/>
    <w:rsid w:val="002D6885"/>
    <w:rsid w:val="002D69BE"/>
    <w:rsid w:val="002D6ED3"/>
    <w:rsid w:val="002D6FE5"/>
    <w:rsid w:val="002D7D9B"/>
    <w:rsid w:val="002E0C2B"/>
    <w:rsid w:val="002E1C1B"/>
    <w:rsid w:val="002E2775"/>
    <w:rsid w:val="002E2E6A"/>
    <w:rsid w:val="002E3073"/>
    <w:rsid w:val="002E5E04"/>
    <w:rsid w:val="002E77B5"/>
    <w:rsid w:val="002E7B0B"/>
    <w:rsid w:val="002F0100"/>
    <w:rsid w:val="002F04DA"/>
    <w:rsid w:val="002F1095"/>
    <w:rsid w:val="002F129E"/>
    <w:rsid w:val="002F20D1"/>
    <w:rsid w:val="002F2430"/>
    <w:rsid w:val="002F2E35"/>
    <w:rsid w:val="002F34C2"/>
    <w:rsid w:val="002F52C1"/>
    <w:rsid w:val="002F5B69"/>
    <w:rsid w:val="002F5F97"/>
    <w:rsid w:val="00301D0C"/>
    <w:rsid w:val="00302481"/>
    <w:rsid w:val="00302EA9"/>
    <w:rsid w:val="0030383E"/>
    <w:rsid w:val="0030391C"/>
    <w:rsid w:val="00303F1E"/>
    <w:rsid w:val="00304370"/>
    <w:rsid w:val="003051AF"/>
    <w:rsid w:val="00306496"/>
    <w:rsid w:val="00306E59"/>
    <w:rsid w:val="00306F6C"/>
    <w:rsid w:val="003074EF"/>
    <w:rsid w:val="00310512"/>
    <w:rsid w:val="0031130D"/>
    <w:rsid w:val="00311863"/>
    <w:rsid w:val="003118B3"/>
    <w:rsid w:val="0031202C"/>
    <w:rsid w:val="003127B9"/>
    <w:rsid w:val="003129EB"/>
    <w:rsid w:val="00312A97"/>
    <w:rsid w:val="00313920"/>
    <w:rsid w:val="0031457A"/>
    <w:rsid w:val="00315487"/>
    <w:rsid w:val="0031550E"/>
    <w:rsid w:val="003172BE"/>
    <w:rsid w:val="0031778E"/>
    <w:rsid w:val="00317E4B"/>
    <w:rsid w:val="00320276"/>
    <w:rsid w:val="0032315F"/>
    <w:rsid w:val="00323400"/>
    <w:rsid w:val="003243C2"/>
    <w:rsid w:val="00326AAD"/>
    <w:rsid w:val="0033113A"/>
    <w:rsid w:val="00331AC0"/>
    <w:rsid w:val="0033238A"/>
    <w:rsid w:val="00333854"/>
    <w:rsid w:val="00333C51"/>
    <w:rsid w:val="00334000"/>
    <w:rsid w:val="003350B7"/>
    <w:rsid w:val="00335234"/>
    <w:rsid w:val="003354C1"/>
    <w:rsid w:val="003370AE"/>
    <w:rsid w:val="003401A4"/>
    <w:rsid w:val="00343A00"/>
    <w:rsid w:val="003443CA"/>
    <w:rsid w:val="003457B2"/>
    <w:rsid w:val="00346990"/>
    <w:rsid w:val="00346CEB"/>
    <w:rsid w:val="0034704A"/>
    <w:rsid w:val="003470AB"/>
    <w:rsid w:val="00347731"/>
    <w:rsid w:val="003505CA"/>
    <w:rsid w:val="003507A3"/>
    <w:rsid w:val="003508E6"/>
    <w:rsid w:val="003514BF"/>
    <w:rsid w:val="00351BEA"/>
    <w:rsid w:val="00351E79"/>
    <w:rsid w:val="003520CF"/>
    <w:rsid w:val="00353597"/>
    <w:rsid w:val="003545E3"/>
    <w:rsid w:val="0035472A"/>
    <w:rsid w:val="00354B43"/>
    <w:rsid w:val="0035686F"/>
    <w:rsid w:val="003571D2"/>
    <w:rsid w:val="00357C61"/>
    <w:rsid w:val="00357EE8"/>
    <w:rsid w:val="003603E1"/>
    <w:rsid w:val="00360417"/>
    <w:rsid w:val="00361250"/>
    <w:rsid w:val="00361BA6"/>
    <w:rsid w:val="00361EBD"/>
    <w:rsid w:val="00363E57"/>
    <w:rsid w:val="0036428B"/>
    <w:rsid w:val="00364899"/>
    <w:rsid w:val="003661E6"/>
    <w:rsid w:val="003678DA"/>
    <w:rsid w:val="00367DDF"/>
    <w:rsid w:val="00371221"/>
    <w:rsid w:val="003712F4"/>
    <w:rsid w:val="00372B8F"/>
    <w:rsid w:val="00372DD0"/>
    <w:rsid w:val="00373121"/>
    <w:rsid w:val="003755AC"/>
    <w:rsid w:val="00376539"/>
    <w:rsid w:val="00377226"/>
    <w:rsid w:val="00377706"/>
    <w:rsid w:val="00380C97"/>
    <w:rsid w:val="00383941"/>
    <w:rsid w:val="00383BB9"/>
    <w:rsid w:val="003845D4"/>
    <w:rsid w:val="003852F9"/>
    <w:rsid w:val="00386813"/>
    <w:rsid w:val="00387AE4"/>
    <w:rsid w:val="003914CB"/>
    <w:rsid w:val="003928E9"/>
    <w:rsid w:val="00392933"/>
    <w:rsid w:val="00393F22"/>
    <w:rsid w:val="00394B59"/>
    <w:rsid w:val="00395AFF"/>
    <w:rsid w:val="003976DC"/>
    <w:rsid w:val="0039791C"/>
    <w:rsid w:val="003A025B"/>
    <w:rsid w:val="003A25B0"/>
    <w:rsid w:val="003A2C70"/>
    <w:rsid w:val="003A36F5"/>
    <w:rsid w:val="003A3B36"/>
    <w:rsid w:val="003A3F3F"/>
    <w:rsid w:val="003A4B38"/>
    <w:rsid w:val="003A611D"/>
    <w:rsid w:val="003A6BF5"/>
    <w:rsid w:val="003A7500"/>
    <w:rsid w:val="003A797D"/>
    <w:rsid w:val="003B0199"/>
    <w:rsid w:val="003B068F"/>
    <w:rsid w:val="003B2378"/>
    <w:rsid w:val="003B2C9E"/>
    <w:rsid w:val="003B2D05"/>
    <w:rsid w:val="003B3524"/>
    <w:rsid w:val="003B3AFA"/>
    <w:rsid w:val="003B4B42"/>
    <w:rsid w:val="003B631B"/>
    <w:rsid w:val="003B6B64"/>
    <w:rsid w:val="003C0092"/>
    <w:rsid w:val="003C0DC8"/>
    <w:rsid w:val="003C100C"/>
    <w:rsid w:val="003C1790"/>
    <w:rsid w:val="003C2363"/>
    <w:rsid w:val="003C2DEF"/>
    <w:rsid w:val="003C393C"/>
    <w:rsid w:val="003C556D"/>
    <w:rsid w:val="003C5DC9"/>
    <w:rsid w:val="003C6314"/>
    <w:rsid w:val="003C67FA"/>
    <w:rsid w:val="003C7154"/>
    <w:rsid w:val="003C74FF"/>
    <w:rsid w:val="003C759B"/>
    <w:rsid w:val="003C77BE"/>
    <w:rsid w:val="003C7826"/>
    <w:rsid w:val="003D025D"/>
    <w:rsid w:val="003D0699"/>
    <w:rsid w:val="003D32D2"/>
    <w:rsid w:val="003D348A"/>
    <w:rsid w:val="003D3548"/>
    <w:rsid w:val="003D5A77"/>
    <w:rsid w:val="003D6C9B"/>
    <w:rsid w:val="003D6F77"/>
    <w:rsid w:val="003D7FD0"/>
    <w:rsid w:val="003E04A1"/>
    <w:rsid w:val="003E09A9"/>
    <w:rsid w:val="003E14BD"/>
    <w:rsid w:val="003E1D54"/>
    <w:rsid w:val="003E220E"/>
    <w:rsid w:val="003E3C31"/>
    <w:rsid w:val="003E3F7C"/>
    <w:rsid w:val="003E5545"/>
    <w:rsid w:val="003E6163"/>
    <w:rsid w:val="003E65EA"/>
    <w:rsid w:val="003E7975"/>
    <w:rsid w:val="003F1348"/>
    <w:rsid w:val="003F150C"/>
    <w:rsid w:val="003F1765"/>
    <w:rsid w:val="003F19D5"/>
    <w:rsid w:val="003F214C"/>
    <w:rsid w:val="003F2945"/>
    <w:rsid w:val="003F3057"/>
    <w:rsid w:val="003F3440"/>
    <w:rsid w:val="003F51B1"/>
    <w:rsid w:val="003F5310"/>
    <w:rsid w:val="003F551A"/>
    <w:rsid w:val="003F5670"/>
    <w:rsid w:val="003F5AC3"/>
    <w:rsid w:val="003F5AEE"/>
    <w:rsid w:val="003F5E95"/>
    <w:rsid w:val="003F5FD3"/>
    <w:rsid w:val="003F721A"/>
    <w:rsid w:val="003F76CE"/>
    <w:rsid w:val="003F79A9"/>
    <w:rsid w:val="00400B8F"/>
    <w:rsid w:val="00401DE4"/>
    <w:rsid w:val="00401DEC"/>
    <w:rsid w:val="00402845"/>
    <w:rsid w:val="00402A18"/>
    <w:rsid w:val="00402EE4"/>
    <w:rsid w:val="00403264"/>
    <w:rsid w:val="004033FA"/>
    <w:rsid w:val="00403AC3"/>
    <w:rsid w:val="00403F2A"/>
    <w:rsid w:val="00403F5F"/>
    <w:rsid w:val="00404477"/>
    <w:rsid w:val="00404E22"/>
    <w:rsid w:val="004056A9"/>
    <w:rsid w:val="00405775"/>
    <w:rsid w:val="00406770"/>
    <w:rsid w:val="00406B7C"/>
    <w:rsid w:val="0040797D"/>
    <w:rsid w:val="00412CDE"/>
    <w:rsid w:val="0041337A"/>
    <w:rsid w:val="0041406F"/>
    <w:rsid w:val="004145D7"/>
    <w:rsid w:val="00414B1A"/>
    <w:rsid w:val="00415C98"/>
    <w:rsid w:val="00415CB4"/>
    <w:rsid w:val="00416842"/>
    <w:rsid w:val="00416BBA"/>
    <w:rsid w:val="00416E50"/>
    <w:rsid w:val="00417654"/>
    <w:rsid w:val="00417D5F"/>
    <w:rsid w:val="00417D93"/>
    <w:rsid w:val="00417F52"/>
    <w:rsid w:val="0042068F"/>
    <w:rsid w:val="00420690"/>
    <w:rsid w:val="004211E9"/>
    <w:rsid w:val="0042174E"/>
    <w:rsid w:val="00422039"/>
    <w:rsid w:val="00422259"/>
    <w:rsid w:val="00423A21"/>
    <w:rsid w:val="00423E3B"/>
    <w:rsid w:val="004246FF"/>
    <w:rsid w:val="0042605E"/>
    <w:rsid w:val="004261FF"/>
    <w:rsid w:val="004265DC"/>
    <w:rsid w:val="00427177"/>
    <w:rsid w:val="00427465"/>
    <w:rsid w:val="00427886"/>
    <w:rsid w:val="004312B3"/>
    <w:rsid w:val="004313B5"/>
    <w:rsid w:val="00432960"/>
    <w:rsid w:val="00433353"/>
    <w:rsid w:val="004337B7"/>
    <w:rsid w:val="0043404D"/>
    <w:rsid w:val="00434B45"/>
    <w:rsid w:val="00434D32"/>
    <w:rsid w:val="004357FD"/>
    <w:rsid w:val="00435BE0"/>
    <w:rsid w:val="00435DCE"/>
    <w:rsid w:val="00435E24"/>
    <w:rsid w:val="00436290"/>
    <w:rsid w:val="0043681E"/>
    <w:rsid w:val="004370ED"/>
    <w:rsid w:val="00437495"/>
    <w:rsid w:val="0043764A"/>
    <w:rsid w:val="00437A34"/>
    <w:rsid w:val="00437ACF"/>
    <w:rsid w:val="004418AA"/>
    <w:rsid w:val="00441941"/>
    <w:rsid w:val="00442660"/>
    <w:rsid w:val="004427F2"/>
    <w:rsid w:val="00442F97"/>
    <w:rsid w:val="00443A01"/>
    <w:rsid w:val="00443E7F"/>
    <w:rsid w:val="00443EA0"/>
    <w:rsid w:val="00444064"/>
    <w:rsid w:val="004446DA"/>
    <w:rsid w:val="00444999"/>
    <w:rsid w:val="004458F7"/>
    <w:rsid w:val="004475F3"/>
    <w:rsid w:val="00447796"/>
    <w:rsid w:val="00447B9A"/>
    <w:rsid w:val="0045066D"/>
    <w:rsid w:val="00450766"/>
    <w:rsid w:val="004534B3"/>
    <w:rsid w:val="00453B38"/>
    <w:rsid w:val="00453FFA"/>
    <w:rsid w:val="004541E5"/>
    <w:rsid w:val="0045677D"/>
    <w:rsid w:val="00456A10"/>
    <w:rsid w:val="00456ECF"/>
    <w:rsid w:val="004573A9"/>
    <w:rsid w:val="004573E1"/>
    <w:rsid w:val="00457AD6"/>
    <w:rsid w:val="00460B0D"/>
    <w:rsid w:val="0046126B"/>
    <w:rsid w:val="00461DF2"/>
    <w:rsid w:val="00462FB4"/>
    <w:rsid w:val="00463369"/>
    <w:rsid w:val="004635D3"/>
    <w:rsid w:val="0046479D"/>
    <w:rsid w:val="00464E3E"/>
    <w:rsid w:val="00464EE4"/>
    <w:rsid w:val="0046537C"/>
    <w:rsid w:val="00465F44"/>
    <w:rsid w:val="0046741E"/>
    <w:rsid w:val="004675CD"/>
    <w:rsid w:val="00467B3A"/>
    <w:rsid w:val="00470C2A"/>
    <w:rsid w:val="00470EBA"/>
    <w:rsid w:val="0047119C"/>
    <w:rsid w:val="004712CF"/>
    <w:rsid w:val="00472D3A"/>
    <w:rsid w:val="00473C8B"/>
    <w:rsid w:val="00474955"/>
    <w:rsid w:val="004751E2"/>
    <w:rsid w:val="00475518"/>
    <w:rsid w:val="00476695"/>
    <w:rsid w:val="00477856"/>
    <w:rsid w:val="00477A38"/>
    <w:rsid w:val="00480BBC"/>
    <w:rsid w:val="00480C28"/>
    <w:rsid w:val="00480C6D"/>
    <w:rsid w:val="00483279"/>
    <w:rsid w:val="004837E0"/>
    <w:rsid w:val="004838A7"/>
    <w:rsid w:val="0048450F"/>
    <w:rsid w:val="00485159"/>
    <w:rsid w:val="004858D4"/>
    <w:rsid w:val="00485AAA"/>
    <w:rsid w:val="00485D9F"/>
    <w:rsid w:val="004861DB"/>
    <w:rsid w:val="00486BDD"/>
    <w:rsid w:val="00487427"/>
    <w:rsid w:val="00490187"/>
    <w:rsid w:val="0049116A"/>
    <w:rsid w:val="004914C3"/>
    <w:rsid w:val="00491D6D"/>
    <w:rsid w:val="0049228A"/>
    <w:rsid w:val="00492CA5"/>
    <w:rsid w:val="00493039"/>
    <w:rsid w:val="00493E60"/>
    <w:rsid w:val="00494E1C"/>
    <w:rsid w:val="004951A2"/>
    <w:rsid w:val="004957BE"/>
    <w:rsid w:val="00495F64"/>
    <w:rsid w:val="00496DE4"/>
    <w:rsid w:val="00497587"/>
    <w:rsid w:val="004A1F02"/>
    <w:rsid w:val="004A2C0E"/>
    <w:rsid w:val="004A2E1A"/>
    <w:rsid w:val="004A36A2"/>
    <w:rsid w:val="004A38AC"/>
    <w:rsid w:val="004A3B06"/>
    <w:rsid w:val="004A514B"/>
    <w:rsid w:val="004A5226"/>
    <w:rsid w:val="004A532C"/>
    <w:rsid w:val="004A5992"/>
    <w:rsid w:val="004A665C"/>
    <w:rsid w:val="004B03AA"/>
    <w:rsid w:val="004B04DD"/>
    <w:rsid w:val="004B05B5"/>
    <w:rsid w:val="004B121C"/>
    <w:rsid w:val="004B236F"/>
    <w:rsid w:val="004B3000"/>
    <w:rsid w:val="004B325A"/>
    <w:rsid w:val="004B339B"/>
    <w:rsid w:val="004B3682"/>
    <w:rsid w:val="004B399E"/>
    <w:rsid w:val="004B3BCC"/>
    <w:rsid w:val="004B5787"/>
    <w:rsid w:val="004B5AA2"/>
    <w:rsid w:val="004B6B43"/>
    <w:rsid w:val="004B738B"/>
    <w:rsid w:val="004B738E"/>
    <w:rsid w:val="004B7483"/>
    <w:rsid w:val="004B758D"/>
    <w:rsid w:val="004B7734"/>
    <w:rsid w:val="004B77CF"/>
    <w:rsid w:val="004C04BA"/>
    <w:rsid w:val="004C06E2"/>
    <w:rsid w:val="004C13BD"/>
    <w:rsid w:val="004C19A4"/>
    <w:rsid w:val="004C1D6C"/>
    <w:rsid w:val="004C250F"/>
    <w:rsid w:val="004C6014"/>
    <w:rsid w:val="004C7DCA"/>
    <w:rsid w:val="004D0002"/>
    <w:rsid w:val="004D012F"/>
    <w:rsid w:val="004D0983"/>
    <w:rsid w:val="004D1D4F"/>
    <w:rsid w:val="004D25FF"/>
    <w:rsid w:val="004D2E1D"/>
    <w:rsid w:val="004D30DB"/>
    <w:rsid w:val="004D413D"/>
    <w:rsid w:val="004D4B23"/>
    <w:rsid w:val="004D54E0"/>
    <w:rsid w:val="004D5E4B"/>
    <w:rsid w:val="004D6304"/>
    <w:rsid w:val="004D6CF8"/>
    <w:rsid w:val="004D751A"/>
    <w:rsid w:val="004D7537"/>
    <w:rsid w:val="004D7B34"/>
    <w:rsid w:val="004E0CE7"/>
    <w:rsid w:val="004E109A"/>
    <w:rsid w:val="004E1102"/>
    <w:rsid w:val="004E14EE"/>
    <w:rsid w:val="004E215C"/>
    <w:rsid w:val="004E22C5"/>
    <w:rsid w:val="004E2D91"/>
    <w:rsid w:val="004E4261"/>
    <w:rsid w:val="004E4FE5"/>
    <w:rsid w:val="004E551D"/>
    <w:rsid w:val="004E5C94"/>
    <w:rsid w:val="004E6D4E"/>
    <w:rsid w:val="004E6D9F"/>
    <w:rsid w:val="004E7A9D"/>
    <w:rsid w:val="004E7EB2"/>
    <w:rsid w:val="004F2176"/>
    <w:rsid w:val="004F22C0"/>
    <w:rsid w:val="004F2523"/>
    <w:rsid w:val="004F25A4"/>
    <w:rsid w:val="004F3EA0"/>
    <w:rsid w:val="004F5A1E"/>
    <w:rsid w:val="004F5F0C"/>
    <w:rsid w:val="004F64CE"/>
    <w:rsid w:val="004F789A"/>
    <w:rsid w:val="00500498"/>
    <w:rsid w:val="00501AE8"/>
    <w:rsid w:val="005023BD"/>
    <w:rsid w:val="005035CF"/>
    <w:rsid w:val="00504123"/>
    <w:rsid w:val="005042F9"/>
    <w:rsid w:val="00504CFA"/>
    <w:rsid w:val="0050522B"/>
    <w:rsid w:val="005055BD"/>
    <w:rsid w:val="00506521"/>
    <w:rsid w:val="0050772A"/>
    <w:rsid w:val="00511F9C"/>
    <w:rsid w:val="005123E3"/>
    <w:rsid w:val="00512879"/>
    <w:rsid w:val="00512ABE"/>
    <w:rsid w:val="00512CD9"/>
    <w:rsid w:val="005138F3"/>
    <w:rsid w:val="00513F6A"/>
    <w:rsid w:val="0051522D"/>
    <w:rsid w:val="0051554B"/>
    <w:rsid w:val="00515569"/>
    <w:rsid w:val="00515D05"/>
    <w:rsid w:val="00516471"/>
    <w:rsid w:val="005167B6"/>
    <w:rsid w:val="00517103"/>
    <w:rsid w:val="005175CB"/>
    <w:rsid w:val="00517E49"/>
    <w:rsid w:val="0052038E"/>
    <w:rsid w:val="00521411"/>
    <w:rsid w:val="0052273A"/>
    <w:rsid w:val="00522B61"/>
    <w:rsid w:val="00523819"/>
    <w:rsid w:val="00524385"/>
    <w:rsid w:val="00524DAA"/>
    <w:rsid w:val="00524F3E"/>
    <w:rsid w:val="00527598"/>
    <w:rsid w:val="005279FC"/>
    <w:rsid w:val="00527BAD"/>
    <w:rsid w:val="00531597"/>
    <w:rsid w:val="00531F2A"/>
    <w:rsid w:val="0053389E"/>
    <w:rsid w:val="00533E1C"/>
    <w:rsid w:val="00534632"/>
    <w:rsid w:val="0053583D"/>
    <w:rsid w:val="00536C0D"/>
    <w:rsid w:val="00540B8D"/>
    <w:rsid w:val="00543639"/>
    <w:rsid w:val="00543BCA"/>
    <w:rsid w:val="005442DC"/>
    <w:rsid w:val="00546518"/>
    <w:rsid w:val="00546F03"/>
    <w:rsid w:val="00550540"/>
    <w:rsid w:val="005505F4"/>
    <w:rsid w:val="00550AB6"/>
    <w:rsid w:val="00553D55"/>
    <w:rsid w:val="005540C7"/>
    <w:rsid w:val="005547FE"/>
    <w:rsid w:val="00554D7A"/>
    <w:rsid w:val="00556007"/>
    <w:rsid w:val="00556065"/>
    <w:rsid w:val="00556526"/>
    <w:rsid w:val="00556ED7"/>
    <w:rsid w:val="0056088A"/>
    <w:rsid w:val="00561873"/>
    <w:rsid w:val="00562574"/>
    <w:rsid w:val="00562598"/>
    <w:rsid w:val="00562865"/>
    <w:rsid w:val="0056293C"/>
    <w:rsid w:val="00562F56"/>
    <w:rsid w:val="005635A0"/>
    <w:rsid w:val="00563E45"/>
    <w:rsid w:val="00563E98"/>
    <w:rsid w:val="005640B1"/>
    <w:rsid w:val="005640D9"/>
    <w:rsid w:val="00564BEE"/>
    <w:rsid w:val="00564C0D"/>
    <w:rsid w:val="00565355"/>
    <w:rsid w:val="005670A3"/>
    <w:rsid w:val="00567497"/>
    <w:rsid w:val="00567DC2"/>
    <w:rsid w:val="00567EF8"/>
    <w:rsid w:val="00567FEF"/>
    <w:rsid w:val="005719BD"/>
    <w:rsid w:val="00571C92"/>
    <w:rsid w:val="00572323"/>
    <w:rsid w:val="0057242F"/>
    <w:rsid w:val="00572DCB"/>
    <w:rsid w:val="00573EDF"/>
    <w:rsid w:val="005743D8"/>
    <w:rsid w:val="00575021"/>
    <w:rsid w:val="00575A7D"/>
    <w:rsid w:val="0057607A"/>
    <w:rsid w:val="0057679E"/>
    <w:rsid w:val="00576EB3"/>
    <w:rsid w:val="0057748F"/>
    <w:rsid w:val="00580647"/>
    <w:rsid w:val="00580947"/>
    <w:rsid w:val="00580C6D"/>
    <w:rsid w:val="00581D80"/>
    <w:rsid w:val="0058270E"/>
    <w:rsid w:val="005838AB"/>
    <w:rsid w:val="0058441E"/>
    <w:rsid w:val="005845E8"/>
    <w:rsid w:val="00584861"/>
    <w:rsid w:val="00585068"/>
    <w:rsid w:val="005850EF"/>
    <w:rsid w:val="005861B1"/>
    <w:rsid w:val="00587414"/>
    <w:rsid w:val="00587CD1"/>
    <w:rsid w:val="00590EC2"/>
    <w:rsid w:val="00591044"/>
    <w:rsid w:val="00591988"/>
    <w:rsid w:val="00591E07"/>
    <w:rsid w:val="00591E1E"/>
    <w:rsid w:val="00592B26"/>
    <w:rsid w:val="00592C05"/>
    <w:rsid w:val="005933EC"/>
    <w:rsid w:val="00593743"/>
    <w:rsid w:val="005939A4"/>
    <w:rsid w:val="00595BE7"/>
    <w:rsid w:val="00595D0B"/>
    <w:rsid w:val="00596143"/>
    <w:rsid w:val="005966FC"/>
    <w:rsid w:val="00596EF0"/>
    <w:rsid w:val="0059721D"/>
    <w:rsid w:val="005A0D7D"/>
    <w:rsid w:val="005A0FC8"/>
    <w:rsid w:val="005A1C29"/>
    <w:rsid w:val="005A2055"/>
    <w:rsid w:val="005A2D0E"/>
    <w:rsid w:val="005A3105"/>
    <w:rsid w:val="005A431B"/>
    <w:rsid w:val="005A588B"/>
    <w:rsid w:val="005A776A"/>
    <w:rsid w:val="005A7FE8"/>
    <w:rsid w:val="005B05D1"/>
    <w:rsid w:val="005B127F"/>
    <w:rsid w:val="005B1994"/>
    <w:rsid w:val="005B1A51"/>
    <w:rsid w:val="005B1A7E"/>
    <w:rsid w:val="005B2622"/>
    <w:rsid w:val="005B39D9"/>
    <w:rsid w:val="005B4712"/>
    <w:rsid w:val="005B4B16"/>
    <w:rsid w:val="005B4BCF"/>
    <w:rsid w:val="005B50C3"/>
    <w:rsid w:val="005B550D"/>
    <w:rsid w:val="005B5BC1"/>
    <w:rsid w:val="005B6235"/>
    <w:rsid w:val="005B6328"/>
    <w:rsid w:val="005B7242"/>
    <w:rsid w:val="005B7BE5"/>
    <w:rsid w:val="005B7C63"/>
    <w:rsid w:val="005B7F40"/>
    <w:rsid w:val="005C0E56"/>
    <w:rsid w:val="005C25F4"/>
    <w:rsid w:val="005C374C"/>
    <w:rsid w:val="005C389B"/>
    <w:rsid w:val="005C569A"/>
    <w:rsid w:val="005C5CE8"/>
    <w:rsid w:val="005C5D06"/>
    <w:rsid w:val="005C5F42"/>
    <w:rsid w:val="005D0713"/>
    <w:rsid w:val="005D1841"/>
    <w:rsid w:val="005D26D7"/>
    <w:rsid w:val="005D295D"/>
    <w:rsid w:val="005D2E89"/>
    <w:rsid w:val="005D2F9D"/>
    <w:rsid w:val="005D4043"/>
    <w:rsid w:val="005D4E83"/>
    <w:rsid w:val="005D6354"/>
    <w:rsid w:val="005D63FC"/>
    <w:rsid w:val="005D6971"/>
    <w:rsid w:val="005D6C20"/>
    <w:rsid w:val="005D775D"/>
    <w:rsid w:val="005D7847"/>
    <w:rsid w:val="005D796B"/>
    <w:rsid w:val="005E0FF9"/>
    <w:rsid w:val="005E214F"/>
    <w:rsid w:val="005E42E9"/>
    <w:rsid w:val="005E45CE"/>
    <w:rsid w:val="005E4AAC"/>
    <w:rsid w:val="005E5AFE"/>
    <w:rsid w:val="005F1D95"/>
    <w:rsid w:val="005F229D"/>
    <w:rsid w:val="005F30F4"/>
    <w:rsid w:val="005F313E"/>
    <w:rsid w:val="005F38B3"/>
    <w:rsid w:val="005F406C"/>
    <w:rsid w:val="005F467D"/>
    <w:rsid w:val="005F483E"/>
    <w:rsid w:val="005F5A47"/>
    <w:rsid w:val="005F6971"/>
    <w:rsid w:val="005F6CBD"/>
    <w:rsid w:val="005F6D45"/>
    <w:rsid w:val="005F7E62"/>
    <w:rsid w:val="006010E2"/>
    <w:rsid w:val="00601767"/>
    <w:rsid w:val="006023DB"/>
    <w:rsid w:val="006035BC"/>
    <w:rsid w:val="00605D33"/>
    <w:rsid w:val="0060639A"/>
    <w:rsid w:val="006063DC"/>
    <w:rsid w:val="006067CA"/>
    <w:rsid w:val="00607A46"/>
    <w:rsid w:val="00607FCB"/>
    <w:rsid w:val="00610341"/>
    <w:rsid w:val="00610813"/>
    <w:rsid w:val="006109C2"/>
    <w:rsid w:val="00611BFA"/>
    <w:rsid w:val="00612F9B"/>
    <w:rsid w:val="00613AE0"/>
    <w:rsid w:val="00613E9C"/>
    <w:rsid w:val="00615571"/>
    <w:rsid w:val="00616460"/>
    <w:rsid w:val="00616941"/>
    <w:rsid w:val="0061772D"/>
    <w:rsid w:val="00617741"/>
    <w:rsid w:val="006223F5"/>
    <w:rsid w:val="00622B28"/>
    <w:rsid w:val="00623944"/>
    <w:rsid w:val="00624CA1"/>
    <w:rsid w:val="00625661"/>
    <w:rsid w:val="006262D3"/>
    <w:rsid w:val="006269AC"/>
    <w:rsid w:val="006305CD"/>
    <w:rsid w:val="00631330"/>
    <w:rsid w:val="00632008"/>
    <w:rsid w:val="00633402"/>
    <w:rsid w:val="00633EF5"/>
    <w:rsid w:val="006343A1"/>
    <w:rsid w:val="00634637"/>
    <w:rsid w:val="006350E6"/>
    <w:rsid w:val="00635886"/>
    <w:rsid w:val="006367A8"/>
    <w:rsid w:val="00637CE1"/>
    <w:rsid w:val="006401B6"/>
    <w:rsid w:val="006401E5"/>
    <w:rsid w:val="0064106E"/>
    <w:rsid w:val="00641DA3"/>
    <w:rsid w:val="00641F69"/>
    <w:rsid w:val="006422B1"/>
    <w:rsid w:val="006428D6"/>
    <w:rsid w:val="00644361"/>
    <w:rsid w:val="00645F4F"/>
    <w:rsid w:val="00646473"/>
    <w:rsid w:val="00650C05"/>
    <w:rsid w:val="006511A3"/>
    <w:rsid w:val="006523F0"/>
    <w:rsid w:val="00652B08"/>
    <w:rsid w:val="00653704"/>
    <w:rsid w:val="00653B30"/>
    <w:rsid w:val="006541F7"/>
    <w:rsid w:val="0065429D"/>
    <w:rsid w:val="0065501F"/>
    <w:rsid w:val="006562E0"/>
    <w:rsid w:val="006564EF"/>
    <w:rsid w:val="00657D67"/>
    <w:rsid w:val="00661782"/>
    <w:rsid w:val="00662619"/>
    <w:rsid w:val="00662939"/>
    <w:rsid w:val="00662FA7"/>
    <w:rsid w:val="006646E7"/>
    <w:rsid w:val="006649E3"/>
    <w:rsid w:val="006657DC"/>
    <w:rsid w:val="00666ABB"/>
    <w:rsid w:val="00667E19"/>
    <w:rsid w:val="006725A6"/>
    <w:rsid w:val="00674B79"/>
    <w:rsid w:val="006768AC"/>
    <w:rsid w:val="00680891"/>
    <w:rsid w:val="006813F8"/>
    <w:rsid w:val="00681E64"/>
    <w:rsid w:val="006821F7"/>
    <w:rsid w:val="00684D9A"/>
    <w:rsid w:val="00686D94"/>
    <w:rsid w:val="00687B81"/>
    <w:rsid w:val="00691BCD"/>
    <w:rsid w:val="00691D5D"/>
    <w:rsid w:val="006924BB"/>
    <w:rsid w:val="00693C79"/>
    <w:rsid w:val="006941A6"/>
    <w:rsid w:val="0069423E"/>
    <w:rsid w:val="00694755"/>
    <w:rsid w:val="0069507F"/>
    <w:rsid w:val="0069543E"/>
    <w:rsid w:val="00695A4A"/>
    <w:rsid w:val="00697FA1"/>
    <w:rsid w:val="006A08CA"/>
    <w:rsid w:val="006A09DE"/>
    <w:rsid w:val="006A0F3E"/>
    <w:rsid w:val="006A1AC6"/>
    <w:rsid w:val="006A1E81"/>
    <w:rsid w:val="006A20CD"/>
    <w:rsid w:val="006A2800"/>
    <w:rsid w:val="006A2FBE"/>
    <w:rsid w:val="006A44C5"/>
    <w:rsid w:val="006A59B3"/>
    <w:rsid w:val="006A5C9A"/>
    <w:rsid w:val="006A64E1"/>
    <w:rsid w:val="006A7011"/>
    <w:rsid w:val="006A760F"/>
    <w:rsid w:val="006A77F4"/>
    <w:rsid w:val="006A7DFB"/>
    <w:rsid w:val="006B004F"/>
    <w:rsid w:val="006B0D11"/>
    <w:rsid w:val="006B132D"/>
    <w:rsid w:val="006B19CD"/>
    <w:rsid w:val="006B2118"/>
    <w:rsid w:val="006B2B8F"/>
    <w:rsid w:val="006B4296"/>
    <w:rsid w:val="006B7062"/>
    <w:rsid w:val="006B7131"/>
    <w:rsid w:val="006B751B"/>
    <w:rsid w:val="006B789E"/>
    <w:rsid w:val="006C0761"/>
    <w:rsid w:val="006C08A0"/>
    <w:rsid w:val="006C13C7"/>
    <w:rsid w:val="006C2948"/>
    <w:rsid w:val="006C2AEA"/>
    <w:rsid w:val="006C3347"/>
    <w:rsid w:val="006C3854"/>
    <w:rsid w:val="006C388C"/>
    <w:rsid w:val="006C5B33"/>
    <w:rsid w:val="006C7438"/>
    <w:rsid w:val="006D032F"/>
    <w:rsid w:val="006D036D"/>
    <w:rsid w:val="006D0C30"/>
    <w:rsid w:val="006D2504"/>
    <w:rsid w:val="006D2C2D"/>
    <w:rsid w:val="006D4757"/>
    <w:rsid w:val="006D50D5"/>
    <w:rsid w:val="006D536F"/>
    <w:rsid w:val="006D56D0"/>
    <w:rsid w:val="006D66CA"/>
    <w:rsid w:val="006D6DE6"/>
    <w:rsid w:val="006D73C0"/>
    <w:rsid w:val="006D7770"/>
    <w:rsid w:val="006D7D07"/>
    <w:rsid w:val="006E06EE"/>
    <w:rsid w:val="006E091E"/>
    <w:rsid w:val="006E13D0"/>
    <w:rsid w:val="006E1432"/>
    <w:rsid w:val="006E16DF"/>
    <w:rsid w:val="006E172D"/>
    <w:rsid w:val="006E1819"/>
    <w:rsid w:val="006E2E30"/>
    <w:rsid w:val="006E3B6E"/>
    <w:rsid w:val="006E3D34"/>
    <w:rsid w:val="006E3F2D"/>
    <w:rsid w:val="006E3F99"/>
    <w:rsid w:val="006E4DAB"/>
    <w:rsid w:val="006E624F"/>
    <w:rsid w:val="006E695B"/>
    <w:rsid w:val="006E6AEF"/>
    <w:rsid w:val="006F0666"/>
    <w:rsid w:val="006F1091"/>
    <w:rsid w:val="006F17A0"/>
    <w:rsid w:val="006F3293"/>
    <w:rsid w:val="006F33E6"/>
    <w:rsid w:val="006F4395"/>
    <w:rsid w:val="006F4C85"/>
    <w:rsid w:val="006F57E9"/>
    <w:rsid w:val="006F5A0D"/>
    <w:rsid w:val="006F63E7"/>
    <w:rsid w:val="006F763F"/>
    <w:rsid w:val="006F7E9D"/>
    <w:rsid w:val="0070036A"/>
    <w:rsid w:val="0070253C"/>
    <w:rsid w:val="0070385A"/>
    <w:rsid w:val="00703869"/>
    <w:rsid w:val="007038B5"/>
    <w:rsid w:val="007043AF"/>
    <w:rsid w:val="00704425"/>
    <w:rsid w:val="007076BC"/>
    <w:rsid w:val="00707E97"/>
    <w:rsid w:val="007113B2"/>
    <w:rsid w:val="007135FB"/>
    <w:rsid w:val="007155EF"/>
    <w:rsid w:val="00715DAB"/>
    <w:rsid w:val="007166A5"/>
    <w:rsid w:val="00717672"/>
    <w:rsid w:val="00717A07"/>
    <w:rsid w:val="007203AD"/>
    <w:rsid w:val="007205D4"/>
    <w:rsid w:val="0072096D"/>
    <w:rsid w:val="00720A2E"/>
    <w:rsid w:val="00720FB9"/>
    <w:rsid w:val="00722220"/>
    <w:rsid w:val="007240DA"/>
    <w:rsid w:val="00724BC5"/>
    <w:rsid w:val="00726F01"/>
    <w:rsid w:val="00726FD9"/>
    <w:rsid w:val="007271CE"/>
    <w:rsid w:val="00730012"/>
    <w:rsid w:val="00730C26"/>
    <w:rsid w:val="0073133A"/>
    <w:rsid w:val="00731815"/>
    <w:rsid w:val="00731AAD"/>
    <w:rsid w:val="00732465"/>
    <w:rsid w:val="00733D49"/>
    <w:rsid w:val="007343D2"/>
    <w:rsid w:val="00734652"/>
    <w:rsid w:val="00735081"/>
    <w:rsid w:val="00735149"/>
    <w:rsid w:val="00735FB9"/>
    <w:rsid w:val="00736AE7"/>
    <w:rsid w:val="00737578"/>
    <w:rsid w:val="00737B5E"/>
    <w:rsid w:val="0074011D"/>
    <w:rsid w:val="00740763"/>
    <w:rsid w:val="00740AE2"/>
    <w:rsid w:val="00740D44"/>
    <w:rsid w:val="007410B1"/>
    <w:rsid w:val="00741467"/>
    <w:rsid w:val="007417A7"/>
    <w:rsid w:val="00741E1C"/>
    <w:rsid w:val="00742262"/>
    <w:rsid w:val="00742367"/>
    <w:rsid w:val="007426E6"/>
    <w:rsid w:val="00743002"/>
    <w:rsid w:val="0074488F"/>
    <w:rsid w:val="00744F88"/>
    <w:rsid w:val="007450CE"/>
    <w:rsid w:val="00745339"/>
    <w:rsid w:val="00746031"/>
    <w:rsid w:val="007506AC"/>
    <w:rsid w:val="007509A4"/>
    <w:rsid w:val="00750EF1"/>
    <w:rsid w:val="00751399"/>
    <w:rsid w:val="007536B6"/>
    <w:rsid w:val="00754514"/>
    <w:rsid w:val="00755582"/>
    <w:rsid w:val="00757300"/>
    <w:rsid w:val="007615EE"/>
    <w:rsid w:val="00761A91"/>
    <w:rsid w:val="007622EF"/>
    <w:rsid w:val="007627F4"/>
    <w:rsid w:val="007628A0"/>
    <w:rsid w:val="00762E39"/>
    <w:rsid w:val="0076388B"/>
    <w:rsid w:val="007642FB"/>
    <w:rsid w:val="00764789"/>
    <w:rsid w:val="00764912"/>
    <w:rsid w:val="00764E37"/>
    <w:rsid w:val="007662D3"/>
    <w:rsid w:val="007663E2"/>
    <w:rsid w:val="00766589"/>
    <w:rsid w:val="007666B5"/>
    <w:rsid w:val="00767780"/>
    <w:rsid w:val="00770ED4"/>
    <w:rsid w:val="0077106F"/>
    <w:rsid w:val="00772113"/>
    <w:rsid w:val="00772B39"/>
    <w:rsid w:val="0077327F"/>
    <w:rsid w:val="00774F8C"/>
    <w:rsid w:val="0077553F"/>
    <w:rsid w:val="00776844"/>
    <w:rsid w:val="00776D43"/>
    <w:rsid w:val="00777A7D"/>
    <w:rsid w:val="007807CB"/>
    <w:rsid w:val="00782609"/>
    <w:rsid w:val="007840BB"/>
    <w:rsid w:val="00784262"/>
    <w:rsid w:val="00784306"/>
    <w:rsid w:val="00784494"/>
    <w:rsid w:val="0078527A"/>
    <w:rsid w:val="00785578"/>
    <w:rsid w:val="00785F95"/>
    <w:rsid w:val="0078684B"/>
    <w:rsid w:val="00787D5F"/>
    <w:rsid w:val="007901FC"/>
    <w:rsid w:val="00790646"/>
    <w:rsid w:val="00791657"/>
    <w:rsid w:val="007924DF"/>
    <w:rsid w:val="00795B9B"/>
    <w:rsid w:val="0079728B"/>
    <w:rsid w:val="00797AED"/>
    <w:rsid w:val="007A0528"/>
    <w:rsid w:val="007A1C40"/>
    <w:rsid w:val="007A2A7D"/>
    <w:rsid w:val="007A386C"/>
    <w:rsid w:val="007A53C7"/>
    <w:rsid w:val="007A563C"/>
    <w:rsid w:val="007A5A25"/>
    <w:rsid w:val="007A783B"/>
    <w:rsid w:val="007B02F2"/>
    <w:rsid w:val="007B043E"/>
    <w:rsid w:val="007B04FD"/>
    <w:rsid w:val="007B0B9E"/>
    <w:rsid w:val="007B0D2F"/>
    <w:rsid w:val="007B1481"/>
    <w:rsid w:val="007B1ED0"/>
    <w:rsid w:val="007B26D7"/>
    <w:rsid w:val="007B2B7C"/>
    <w:rsid w:val="007B3558"/>
    <w:rsid w:val="007B3E8E"/>
    <w:rsid w:val="007B427B"/>
    <w:rsid w:val="007B597B"/>
    <w:rsid w:val="007B63CE"/>
    <w:rsid w:val="007B6AA6"/>
    <w:rsid w:val="007C1229"/>
    <w:rsid w:val="007C1615"/>
    <w:rsid w:val="007C32ED"/>
    <w:rsid w:val="007C469E"/>
    <w:rsid w:val="007C653E"/>
    <w:rsid w:val="007C6D77"/>
    <w:rsid w:val="007D0150"/>
    <w:rsid w:val="007D143D"/>
    <w:rsid w:val="007D2792"/>
    <w:rsid w:val="007D2EA5"/>
    <w:rsid w:val="007D37BD"/>
    <w:rsid w:val="007D39DD"/>
    <w:rsid w:val="007D4AC4"/>
    <w:rsid w:val="007D5F40"/>
    <w:rsid w:val="007D6307"/>
    <w:rsid w:val="007D6379"/>
    <w:rsid w:val="007D6391"/>
    <w:rsid w:val="007D7F4B"/>
    <w:rsid w:val="007E0000"/>
    <w:rsid w:val="007E11CF"/>
    <w:rsid w:val="007E294E"/>
    <w:rsid w:val="007E3709"/>
    <w:rsid w:val="007E3A08"/>
    <w:rsid w:val="007E52AC"/>
    <w:rsid w:val="007E68F0"/>
    <w:rsid w:val="007E746E"/>
    <w:rsid w:val="007E75C3"/>
    <w:rsid w:val="007E795B"/>
    <w:rsid w:val="007F0050"/>
    <w:rsid w:val="007F043D"/>
    <w:rsid w:val="007F1732"/>
    <w:rsid w:val="007F1842"/>
    <w:rsid w:val="007F339F"/>
    <w:rsid w:val="007F43DF"/>
    <w:rsid w:val="007F5817"/>
    <w:rsid w:val="007F5E66"/>
    <w:rsid w:val="007F6B5A"/>
    <w:rsid w:val="007F6CC5"/>
    <w:rsid w:val="007F72EC"/>
    <w:rsid w:val="00800D76"/>
    <w:rsid w:val="00802260"/>
    <w:rsid w:val="00802DC6"/>
    <w:rsid w:val="00803415"/>
    <w:rsid w:val="00803A50"/>
    <w:rsid w:val="00803D02"/>
    <w:rsid w:val="00803E84"/>
    <w:rsid w:val="00804C6B"/>
    <w:rsid w:val="00805F6B"/>
    <w:rsid w:val="008061C7"/>
    <w:rsid w:val="00806E70"/>
    <w:rsid w:val="0080775C"/>
    <w:rsid w:val="0081077B"/>
    <w:rsid w:val="00812C74"/>
    <w:rsid w:val="00814DD2"/>
    <w:rsid w:val="00815B6A"/>
    <w:rsid w:val="00817143"/>
    <w:rsid w:val="008178C9"/>
    <w:rsid w:val="00817A15"/>
    <w:rsid w:val="00817F85"/>
    <w:rsid w:val="008220D6"/>
    <w:rsid w:val="00822A1D"/>
    <w:rsid w:val="00823372"/>
    <w:rsid w:val="00823CB5"/>
    <w:rsid w:val="00823D8F"/>
    <w:rsid w:val="00824451"/>
    <w:rsid w:val="00826893"/>
    <w:rsid w:val="00830375"/>
    <w:rsid w:val="00831FAA"/>
    <w:rsid w:val="00832C17"/>
    <w:rsid w:val="00833548"/>
    <w:rsid w:val="00833FA9"/>
    <w:rsid w:val="00834357"/>
    <w:rsid w:val="00834CF6"/>
    <w:rsid w:val="00835845"/>
    <w:rsid w:val="00835A06"/>
    <w:rsid w:val="00835A79"/>
    <w:rsid w:val="00836908"/>
    <w:rsid w:val="00836E66"/>
    <w:rsid w:val="0083736B"/>
    <w:rsid w:val="008409B0"/>
    <w:rsid w:val="008447F7"/>
    <w:rsid w:val="00844F46"/>
    <w:rsid w:val="00844FA0"/>
    <w:rsid w:val="0084738A"/>
    <w:rsid w:val="0085016F"/>
    <w:rsid w:val="00850E93"/>
    <w:rsid w:val="00851DFF"/>
    <w:rsid w:val="0085205D"/>
    <w:rsid w:val="008523C0"/>
    <w:rsid w:val="00852407"/>
    <w:rsid w:val="0085268A"/>
    <w:rsid w:val="008539BA"/>
    <w:rsid w:val="0085518C"/>
    <w:rsid w:val="00855321"/>
    <w:rsid w:val="00856E6D"/>
    <w:rsid w:val="00857F03"/>
    <w:rsid w:val="00860A78"/>
    <w:rsid w:val="00860FB7"/>
    <w:rsid w:val="00861DBF"/>
    <w:rsid w:val="008621BC"/>
    <w:rsid w:val="008625E9"/>
    <w:rsid w:val="00862A83"/>
    <w:rsid w:val="00862F55"/>
    <w:rsid w:val="0086338B"/>
    <w:rsid w:val="00864BFA"/>
    <w:rsid w:val="00864F5E"/>
    <w:rsid w:val="008651BC"/>
    <w:rsid w:val="008659F5"/>
    <w:rsid w:val="00866220"/>
    <w:rsid w:val="00866AA9"/>
    <w:rsid w:val="00866B94"/>
    <w:rsid w:val="00866E54"/>
    <w:rsid w:val="00871407"/>
    <w:rsid w:val="00871EC9"/>
    <w:rsid w:val="0087204A"/>
    <w:rsid w:val="00873691"/>
    <w:rsid w:val="0087413F"/>
    <w:rsid w:val="00874412"/>
    <w:rsid w:val="00874829"/>
    <w:rsid w:val="008748D5"/>
    <w:rsid w:val="008750A0"/>
    <w:rsid w:val="00876DE0"/>
    <w:rsid w:val="00877F08"/>
    <w:rsid w:val="00880624"/>
    <w:rsid w:val="00880730"/>
    <w:rsid w:val="00881406"/>
    <w:rsid w:val="008825C0"/>
    <w:rsid w:val="00883730"/>
    <w:rsid w:val="00883A7A"/>
    <w:rsid w:val="00884094"/>
    <w:rsid w:val="00884AE1"/>
    <w:rsid w:val="00884DFF"/>
    <w:rsid w:val="008861E8"/>
    <w:rsid w:val="00890251"/>
    <w:rsid w:val="00890D32"/>
    <w:rsid w:val="008911D0"/>
    <w:rsid w:val="00891BAE"/>
    <w:rsid w:val="008925E8"/>
    <w:rsid w:val="00892C28"/>
    <w:rsid w:val="008932A5"/>
    <w:rsid w:val="00894C23"/>
    <w:rsid w:val="00894CE3"/>
    <w:rsid w:val="00894FAE"/>
    <w:rsid w:val="008A11DD"/>
    <w:rsid w:val="008A160A"/>
    <w:rsid w:val="008A195D"/>
    <w:rsid w:val="008A36E1"/>
    <w:rsid w:val="008A3ABB"/>
    <w:rsid w:val="008A3AFB"/>
    <w:rsid w:val="008A4417"/>
    <w:rsid w:val="008A4501"/>
    <w:rsid w:val="008A459A"/>
    <w:rsid w:val="008A4EB9"/>
    <w:rsid w:val="008A5E39"/>
    <w:rsid w:val="008A6026"/>
    <w:rsid w:val="008A634A"/>
    <w:rsid w:val="008A65BF"/>
    <w:rsid w:val="008A67A1"/>
    <w:rsid w:val="008A68A9"/>
    <w:rsid w:val="008A7653"/>
    <w:rsid w:val="008A7DA4"/>
    <w:rsid w:val="008B03E5"/>
    <w:rsid w:val="008B1F3B"/>
    <w:rsid w:val="008B26E2"/>
    <w:rsid w:val="008B393E"/>
    <w:rsid w:val="008B3E16"/>
    <w:rsid w:val="008B5E00"/>
    <w:rsid w:val="008C07E4"/>
    <w:rsid w:val="008C0C06"/>
    <w:rsid w:val="008C0C25"/>
    <w:rsid w:val="008C12A3"/>
    <w:rsid w:val="008C2AA3"/>
    <w:rsid w:val="008C3035"/>
    <w:rsid w:val="008C40EB"/>
    <w:rsid w:val="008C4A2D"/>
    <w:rsid w:val="008C54A6"/>
    <w:rsid w:val="008C54C7"/>
    <w:rsid w:val="008C6D96"/>
    <w:rsid w:val="008D076A"/>
    <w:rsid w:val="008D14F3"/>
    <w:rsid w:val="008D29C9"/>
    <w:rsid w:val="008D2B02"/>
    <w:rsid w:val="008D353E"/>
    <w:rsid w:val="008D40C4"/>
    <w:rsid w:val="008D42D9"/>
    <w:rsid w:val="008D43D8"/>
    <w:rsid w:val="008D5371"/>
    <w:rsid w:val="008D5AAF"/>
    <w:rsid w:val="008D6B7A"/>
    <w:rsid w:val="008D7FAD"/>
    <w:rsid w:val="008E04C7"/>
    <w:rsid w:val="008E0997"/>
    <w:rsid w:val="008E0CE2"/>
    <w:rsid w:val="008E2322"/>
    <w:rsid w:val="008E23DD"/>
    <w:rsid w:val="008E266F"/>
    <w:rsid w:val="008E29B7"/>
    <w:rsid w:val="008E36C0"/>
    <w:rsid w:val="008E3B39"/>
    <w:rsid w:val="008E3D9C"/>
    <w:rsid w:val="008E5E8C"/>
    <w:rsid w:val="008F054B"/>
    <w:rsid w:val="008F0B07"/>
    <w:rsid w:val="008F1A30"/>
    <w:rsid w:val="008F2C7E"/>
    <w:rsid w:val="008F3BB0"/>
    <w:rsid w:val="008F3CD9"/>
    <w:rsid w:val="008F4294"/>
    <w:rsid w:val="008F45AA"/>
    <w:rsid w:val="008F58E1"/>
    <w:rsid w:val="008F6234"/>
    <w:rsid w:val="008F6654"/>
    <w:rsid w:val="00900351"/>
    <w:rsid w:val="00900B2D"/>
    <w:rsid w:val="00901505"/>
    <w:rsid w:val="00901633"/>
    <w:rsid w:val="00901A9A"/>
    <w:rsid w:val="00901E5F"/>
    <w:rsid w:val="009026FF"/>
    <w:rsid w:val="00903486"/>
    <w:rsid w:val="0090510C"/>
    <w:rsid w:val="00907646"/>
    <w:rsid w:val="009102E8"/>
    <w:rsid w:val="00910A6E"/>
    <w:rsid w:val="00911006"/>
    <w:rsid w:val="00912AB9"/>
    <w:rsid w:val="00913F9E"/>
    <w:rsid w:val="00914CE3"/>
    <w:rsid w:val="009151FD"/>
    <w:rsid w:val="0092055D"/>
    <w:rsid w:val="009214EE"/>
    <w:rsid w:val="0092178D"/>
    <w:rsid w:val="00923BF8"/>
    <w:rsid w:val="00923C15"/>
    <w:rsid w:val="00924A09"/>
    <w:rsid w:val="0092507D"/>
    <w:rsid w:val="00925B34"/>
    <w:rsid w:val="00926ED5"/>
    <w:rsid w:val="0092736B"/>
    <w:rsid w:val="009314E8"/>
    <w:rsid w:val="009322C4"/>
    <w:rsid w:val="009323B6"/>
    <w:rsid w:val="00932A4C"/>
    <w:rsid w:val="009331D7"/>
    <w:rsid w:val="00933549"/>
    <w:rsid w:val="0093476A"/>
    <w:rsid w:val="0093482F"/>
    <w:rsid w:val="00935CB5"/>
    <w:rsid w:val="0093762F"/>
    <w:rsid w:val="00937706"/>
    <w:rsid w:val="00941211"/>
    <w:rsid w:val="00941397"/>
    <w:rsid w:val="00941607"/>
    <w:rsid w:val="00941851"/>
    <w:rsid w:val="00941E30"/>
    <w:rsid w:val="009421B7"/>
    <w:rsid w:val="009424E2"/>
    <w:rsid w:val="0094299F"/>
    <w:rsid w:val="00942BF7"/>
    <w:rsid w:val="00942C05"/>
    <w:rsid w:val="009431DF"/>
    <w:rsid w:val="009437F0"/>
    <w:rsid w:val="00943901"/>
    <w:rsid w:val="00943E44"/>
    <w:rsid w:val="009442BA"/>
    <w:rsid w:val="00944FA0"/>
    <w:rsid w:val="00946737"/>
    <w:rsid w:val="009476E7"/>
    <w:rsid w:val="00950968"/>
    <w:rsid w:val="009529BD"/>
    <w:rsid w:val="0095438F"/>
    <w:rsid w:val="00954771"/>
    <w:rsid w:val="00954784"/>
    <w:rsid w:val="00956303"/>
    <w:rsid w:val="0095662C"/>
    <w:rsid w:val="00956A27"/>
    <w:rsid w:val="00957A37"/>
    <w:rsid w:val="00957E03"/>
    <w:rsid w:val="00957E68"/>
    <w:rsid w:val="00960397"/>
    <w:rsid w:val="00961660"/>
    <w:rsid w:val="00961DA0"/>
    <w:rsid w:val="009625FE"/>
    <w:rsid w:val="0096286A"/>
    <w:rsid w:val="00964602"/>
    <w:rsid w:val="00964B11"/>
    <w:rsid w:val="00966425"/>
    <w:rsid w:val="00966CED"/>
    <w:rsid w:val="00966D11"/>
    <w:rsid w:val="0096752A"/>
    <w:rsid w:val="0097042F"/>
    <w:rsid w:val="0097160A"/>
    <w:rsid w:val="009731F6"/>
    <w:rsid w:val="00973B9D"/>
    <w:rsid w:val="00973F09"/>
    <w:rsid w:val="009747D0"/>
    <w:rsid w:val="009751CF"/>
    <w:rsid w:val="009753F6"/>
    <w:rsid w:val="00975944"/>
    <w:rsid w:val="009762A8"/>
    <w:rsid w:val="009804B8"/>
    <w:rsid w:val="009804D5"/>
    <w:rsid w:val="00980727"/>
    <w:rsid w:val="00980E7C"/>
    <w:rsid w:val="00982158"/>
    <w:rsid w:val="00983659"/>
    <w:rsid w:val="00983B4F"/>
    <w:rsid w:val="0098405C"/>
    <w:rsid w:val="0098408F"/>
    <w:rsid w:val="00985C89"/>
    <w:rsid w:val="00986AC7"/>
    <w:rsid w:val="00986EBB"/>
    <w:rsid w:val="009874D3"/>
    <w:rsid w:val="00990743"/>
    <w:rsid w:val="00990776"/>
    <w:rsid w:val="00991B7A"/>
    <w:rsid w:val="0099250B"/>
    <w:rsid w:val="00993227"/>
    <w:rsid w:val="00993EC2"/>
    <w:rsid w:val="009940CC"/>
    <w:rsid w:val="0099511F"/>
    <w:rsid w:val="009952D6"/>
    <w:rsid w:val="0099599F"/>
    <w:rsid w:val="00996B6C"/>
    <w:rsid w:val="00996D9C"/>
    <w:rsid w:val="009970E7"/>
    <w:rsid w:val="00997202"/>
    <w:rsid w:val="009974A4"/>
    <w:rsid w:val="009A0B3B"/>
    <w:rsid w:val="009A12B8"/>
    <w:rsid w:val="009A16A9"/>
    <w:rsid w:val="009A1F98"/>
    <w:rsid w:val="009A23A1"/>
    <w:rsid w:val="009A3921"/>
    <w:rsid w:val="009A4C1F"/>
    <w:rsid w:val="009A5780"/>
    <w:rsid w:val="009A5F21"/>
    <w:rsid w:val="009A638E"/>
    <w:rsid w:val="009A73F8"/>
    <w:rsid w:val="009A79C8"/>
    <w:rsid w:val="009B090C"/>
    <w:rsid w:val="009B128A"/>
    <w:rsid w:val="009B1C27"/>
    <w:rsid w:val="009B1C31"/>
    <w:rsid w:val="009B25A4"/>
    <w:rsid w:val="009B4638"/>
    <w:rsid w:val="009B464D"/>
    <w:rsid w:val="009B5EAE"/>
    <w:rsid w:val="009B649B"/>
    <w:rsid w:val="009B6646"/>
    <w:rsid w:val="009B7A55"/>
    <w:rsid w:val="009B7F35"/>
    <w:rsid w:val="009C1416"/>
    <w:rsid w:val="009C20F0"/>
    <w:rsid w:val="009C36F8"/>
    <w:rsid w:val="009C3925"/>
    <w:rsid w:val="009C3956"/>
    <w:rsid w:val="009C52A3"/>
    <w:rsid w:val="009C533A"/>
    <w:rsid w:val="009C5592"/>
    <w:rsid w:val="009C5D49"/>
    <w:rsid w:val="009C5F84"/>
    <w:rsid w:val="009C6773"/>
    <w:rsid w:val="009C6F06"/>
    <w:rsid w:val="009C7274"/>
    <w:rsid w:val="009C736B"/>
    <w:rsid w:val="009C7506"/>
    <w:rsid w:val="009C7A44"/>
    <w:rsid w:val="009C7A57"/>
    <w:rsid w:val="009D0481"/>
    <w:rsid w:val="009D08E5"/>
    <w:rsid w:val="009D2097"/>
    <w:rsid w:val="009D3AE0"/>
    <w:rsid w:val="009D4497"/>
    <w:rsid w:val="009D5988"/>
    <w:rsid w:val="009E1093"/>
    <w:rsid w:val="009E4A02"/>
    <w:rsid w:val="009E6CD0"/>
    <w:rsid w:val="009E7CEF"/>
    <w:rsid w:val="009E7D01"/>
    <w:rsid w:val="009F0721"/>
    <w:rsid w:val="009F0BE2"/>
    <w:rsid w:val="009F1102"/>
    <w:rsid w:val="009F1B1F"/>
    <w:rsid w:val="009F3675"/>
    <w:rsid w:val="009F3897"/>
    <w:rsid w:val="009F40D5"/>
    <w:rsid w:val="009F46A0"/>
    <w:rsid w:val="009F49AD"/>
    <w:rsid w:val="009F4C95"/>
    <w:rsid w:val="009F73C9"/>
    <w:rsid w:val="009F7625"/>
    <w:rsid w:val="009F7630"/>
    <w:rsid w:val="009F76E1"/>
    <w:rsid w:val="00A0498D"/>
    <w:rsid w:val="00A04C38"/>
    <w:rsid w:val="00A05763"/>
    <w:rsid w:val="00A05C10"/>
    <w:rsid w:val="00A06680"/>
    <w:rsid w:val="00A06760"/>
    <w:rsid w:val="00A07BC0"/>
    <w:rsid w:val="00A07DEB"/>
    <w:rsid w:val="00A10D00"/>
    <w:rsid w:val="00A11D0F"/>
    <w:rsid w:val="00A13212"/>
    <w:rsid w:val="00A14791"/>
    <w:rsid w:val="00A16020"/>
    <w:rsid w:val="00A1709C"/>
    <w:rsid w:val="00A17176"/>
    <w:rsid w:val="00A17C4F"/>
    <w:rsid w:val="00A22046"/>
    <w:rsid w:val="00A2400B"/>
    <w:rsid w:val="00A24D0F"/>
    <w:rsid w:val="00A25724"/>
    <w:rsid w:val="00A266DC"/>
    <w:rsid w:val="00A26A03"/>
    <w:rsid w:val="00A3012A"/>
    <w:rsid w:val="00A31A5A"/>
    <w:rsid w:val="00A32034"/>
    <w:rsid w:val="00A320B0"/>
    <w:rsid w:val="00A32374"/>
    <w:rsid w:val="00A32469"/>
    <w:rsid w:val="00A329FA"/>
    <w:rsid w:val="00A32C94"/>
    <w:rsid w:val="00A3306B"/>
    <w:rsid w:val="00A332BB"/>
    <w:rsid w:val="00A33B20"/>
    <w:rsid w:val="00A34FFF"/>
    <w:rsid w:val="00A351EA"/>
    <w:rsid w:val="00A374AD"/>
    <w:rsid w:val="00A37730"/>
    <w:rsid w:val="00A40B11"/>
    <w:rsid w:val="00A40E21"/>
    <w:rsid w:val="00A42779"/>
    <w:rsid w:val="00A42890"/>
    <w:rsid w:val="00A42A51"/>
    <w:rsid w:val="00A42AA0"/>
    <w:rsid w:val="00A435F9"/>
    <w:rsid w:val="00A43A6E"/>
    <w:rsid w:val="00A43D7E"/>
    <w:rsid w:val="00A43E85"/>
    <w:rsid w:val="00A43F1D"/>
    <w:rsid w:val="00A451BC"/>
    <w:rsid w:val="00A463BD"/>
    <w:rsid w:val="00A46CE7"/>
    <w:rsid w:val="00A4756A"/>
    <w:rsid w:val="00A47EA1"/>
    <w:rsid w:val="00A52D56"/>
    <w:rsid w:val="00A53B7D"/>
    <w:rsid w:val="00A5443C"/>
    <w:rsid w:val="00A54D45"/>
    <w:rsid w:val="00A56A43"/>
    <w:rsid w:val="00A5712F"/>
    <w:rsid w:val="00A57553"/>
    <w:rsid w:val="00A575F4"/>
    <w:rsid w:val="00A60531"/>
    <w:rsid w:val="00A60E47"/>
    <w:rsid w:val="00A61F9B"/>
    <w:rsid w:val="00A621A1"/>
    <w:rsid w:val="00A62CA7"/>
    <w:rsid w:val="00A630DC"/>
    <w:rsid w:val="00A634FC"/>
    <w:rsid w:val="00A63691"/>
    <w:rsid w:val="00A63D7E"/>
    <w:rsid w:val="00A646DA"/>
    <w:rsid w:val="00A64991"/>
    <w:rsid w:val="00A65BEC"/>
    <w:rsid w:val="00A67AE7"/>
    <w:rsid w:val="00A67F86"/>
    <w:rsid w:val="00A70702"/>
    <w:rsid w:val="00A71AF4"/>
    <w:rsid w:val="00A7239D"/>
    <w:rsid w:val="00A730D7"/>
    <w:rsid w:val="00A73B4D"/>
    <w:rsid w:val="00A74529"/>
    <w:rsid w:val="00A748E4"/>
    <w:rsid w:val="00A756E1"/>
    <w:rsid w:val="00A758D9"/>
    <w:rsid w:val="00A75C3B"/>
    <w:rsid w:val="00A77F83"/>
    <w:rsid w:val="00A80D9E"/>
    <w:rsid w:val="00A81495"/>
    <w:rsid w:val="00A81A08"/>
    <w:rsid w:val="00A81CCE"/>
    <w:rsid w:val="00A8207A"/>
    <w:rsid w:val="00A8276D"/>
    <w:rsid w:val="00A82A80"/>
    <w:rsid w:val="00A82C1F"/>
    <w:rsid w:val="00A8346A"/>
    <w:rsid w:val="00A845B4"/>
    <w:rsid w:val="00A84919"/>
    <w:rsid w:val="00A849AC"/>
    <w:rsid w:val="00A84E79"/>
    <w:rsid w:val="00A871E6"/>
    <w:rsid w:val="00A8793C"/>
    <w:rsid w:val="00A87A1F"/>
    <w:rsid w:val="00A901C0"/>
    <w:rsid w:val="00A9158B"/>
    <w:rsid w:val="00A922B0"/>
    <w:rsid w:val="00A9256B"/>
    <w:rsid w:val="00A9269F"/>
    <w:rsid w:val="00A95175"/>
    <w:rsid w:val="00A96793"/>
    <w:rsid w:val="00A967EA"/>
    <w:rsid w:val="00A971D0"/>
    <w:rsid w:val="00A9756B"/>
    <w:rsid w:val="00AA0660"/>
    <w:rsid w:val="00AA1144"/>
    <w:rsid w:val="00AA1406"/>
    <w:rsid w:val="00AA1AC9"/>
    <w:rsid w:val="00AA33F5"/>
    <w:rsid w:val="00AA3AE9"/>
    <w:rsid w:val="00AA4C87"/>
    <w:rsid w:val="00AA6911"/>
    <w:rsid w:val="00AB0872"/>
    <w:rsid w:val="00AB0BE2"/>
    <w:rsid w:val="00AB1A30"/>
    <w:rsid w:val="00AB1ECF"/>
    <w:rsid w:val="00AB2775"/>
    <w:rsid w:val="00AB2908"/>
    <w:rsid w:val="00AB2FBE"/>
    <w:rsid w:val="00AC0BC3"/>
    <w:rsid w:val="00AC1F9F"/>
    <w:rsid w:val="00AC585D"/>
    <w:rsid w:val="00AC5B48"/>
    <w:rsid w:val="00AC5FFC"/>
    <w:rsid w:val="00AC60BA"/>
    <w:rsid w:val="00AC66E1"/>
    <w:rsid w:val="00AC7219"/>
    <w:rsid w:val="00AC76DC"/>
    <w:rsid w:val="00AD1138"/>
    <w:rsid w:val="00AD1593"/>
    <w:rsid w:val="00AD17C2"/>
    <w:rsid w:val="00AD223C"/>
    <w:rsid w:val="00AD26C9"/>
    <w:rsid w:val="00AD3B60"/>
    <w:rsid w:val="00AD58AB"/>
    <w:rsid w:val="00AD649D"/>
    <w:rsid w:val="00AD6B1B"/>
    <w:rsid w:val="00AD78E9"/>
    <w:rsid w:val="00AD7D0B"/>
    <w:rsid w:val="00AE0175"/>
    <w:rsid w:val="00AE12C1"/>
    <w:rsid w:val="00AE17B1"/>
    <w:rsid w:val="00AE2637"/>
    <w:rsid w:val="00AE3F7E"/>
    <w:rsid w:val="00AE4AE8"/>
    <w:rsid w:val="00AE4C80"/>
    <w:rsid w:val="00AE5658"/>
    <w:rsid w:val="00AE6380"/>
    <w:rsid w:val="00AE6898"/>
    <w:rsid w:val="00AE784B"/>
    <w:rsid w:val="00AF1490"/>
    <w:rsid w:val="00AF20BD"/>
    <w:rsid w:val="00AF2585"/>
    <w:rsid w:val="00AF3228"/>
    <w:rsid w:val="00AF5994"/>
    <w:rsid w:val="00AF5CC8"/>
    <w:rsid w:val="00AF5E0B"/>
    <w:rsid w:val="00AF601D"/>
    <w:rsid w:val="00AF67AC"/>
    <w:rsid w:val="00B031C2"/>
    <w:rsid w:val="00B03AAF"/>
    <w:rsid w:val="00B040B6"/>
    <w:rsid w:val="00B05CF5"/>
    <w:rsid w:val="00B06574"/>
    <w:rsid w:val="00B0728A"/>
    <w:rsid w:val="00B1007B"/>
    <w:rsid w:val="00B100BC"/>
    <w:rsid w:val="00B10907"/>
    <w:rsid w:val="00B10990"/>
    <w:rsid w:val="00B10AB5"/>
    <w:rsid w:val="00B113D8"/>
    <w:rsid w:val="00B1167C"/>
    <w:rsid w:val="00B12724"/>
    <w:rsid w:val="00B12E14"/>
    <w:rsid w:val="00B133FA"/>
    <w:rsid w:val="00B1364C"/>
    <w:rsid w:val="00B13782"/>
    <w:rsid w:val="00B138D3"/>
    <w:rsid w:val="00B13B23"/>
    <w:rsid w:val="00B14879"/>
    <w:rsid w:val="00B14E57"/>
    <w:rsid w:val="00B153C1"/>
    <w:rsid w:val="00B156E5"/>
    <w:rsid w:val="00B15996"/>
    <w:rsid w:val="00B173AD"/>
    <w:rsid w:val="00B17AE5"/>
    <w:rsid w:val="00B17B73"/>
    <w:rsid w:val="00B21352"/>
    <w:rsid w:val="00B21472"/>
    <w:rsid w:val="00B219DC"/>
    <w:rsid w:val="00B21AF0"/>
    <w:rsid w:val="00B2249D"/>
    <w:rsid w:val="00B22A4E"/>
    <w:rsid w:val="00B22AB8"/>
    <w:rsid w:val="00B230B5"/>
    <w:rsid w:val="00B23807"/>
    <w:rsid w:val="00B23AAA"/>
    <w:rsid w:val="00B23E09"/>
    <w:rsid w:val="00B23E93"/>
    <w:rsid w:val="00B24099"/>
    <w:rsid w:val="00B2450B"/>
    <w:rsid w:val="00B246CF"/>
    <w:rsid w:val="00B24768"/>
    <w:rsid w:val="00B25527"/>
    <w:rsid w:val="00B258D4"/>
    <w:rsid w:val="00B32794"/>
    <w:rsid w:val="00B33513"/>
    <w:rsid w:val="00B3562C"/>
    <w:rsid w:val="00B35852"/>
    <w:rsid w:val="00B36DDE"/>
    <w:rsid w:val="00B37E95"/>
    <w:rsid w:val="00B40517"/>
    <w:rsid w:val="00B40D43"/>
    <w:rsid w:val="00B41AAD"/>
    <w:rsid w:val="00B41C36"/>
    <w:rsid w:val="00B42EE4"/>
    <w:rsid w:val="00B4304D"/>
    <w:rsid w:val="00B430C1"/>
    <w:rsid w:val="00B43AAC"/>
    <w:rsid w:val="00B43CB8"/>
    <w:rsid w:val="00B44124"/>
    <w:rsid w:val="00B47991"/>
    <w:rsid w:val="00B47A41"/>
    <w:rsid w:val="00B50116"/>
    <w:rsid w:val="00B51010"/>
    <w:rsid w:val="00B518A6"/>
    <w:rsid w:val="00B51C60"/>
    <w:rsid w:val="00B51F42"/>
    <w:rsid w:val="00B521A9"/>
    <w:rsid w:val="00B521C8"/>
    <w:rsid w:val="00B52B6B"/>
    <w:rsid w:val="00B530D6"/>
    <w:rsid w:val="00B5320F"/>
    <w:rsid w:val="00B53B43"/>
    <w:rsid w:val="00B53C44"/>
    <w:rsid w:val="00B544E4"/>
    <w:rsid w:val="00B5503A"/>
    <w:rsid w:val="00B56D4C"/>
    <w:rsid w:val="00B57AB6"/>
    <w:rsid w:val="00B61B9E"/>
    <w:rsid w:val="00B62850"/>
    <w:rsid w:val="00B628E1"/>
    <w:rsid w:val="00B63B45"/>
    <w:rsid w:val="00B63E07"/>
    <w:rsid w:val="00B643B2"/>
    <w:rsid w:val="00B64421"/>
    <w:rsid w:val="00B64652"/>
    <w:rsid w:val="00B65B65"/>
    <w:rsid w:val="00B66143"/>
    <w:rsid w:val="00B661E2"/>
    <w:rsid w:val="00B6723E"/>
    <w:rsid w:val="00B71246"/>
    <w:rsid w:val="00B72384"/>
    <w:rsid w:val="00B728FF"/>
    <w:rsid w:val="00B73F8E"/>
    <w:rsid w:val="00B7446A"/>
    <w:rsid w:val="00B74B25"/>
    <w:rsid w:val="00B74D45"/>
    <w:rsid w:val="00B750AC"/>
    <w:rsid w:val="00B75449"/>
    <w:rsid w:val="00B75780"/>
    <w:rsid w:val="00B757DB"/>
    <w:rsid w:val="00B758B9"/>
    <w:rsid w:val="00B769C1"/>
    <w:rsid w:val="00B7754E"/>
    <w:rsid w:val="00B77661"/>
    <w:rsid w:val="00B779CF"/>
    <w:rsid w:val="00B8016F"/>
    <w:rsid w:val="00B81049"/>
    <w:rsid w:val="00B82C95"/>
    <w:rsid w:val="00B8452B"/>
    <w:rsid w:val="00B84D1F"/>
    <w:rsid w:val="00B8598C"/>
    <w:rsid w:val="00B85B4D"/>
    <w:rsid w:val="00B85BE6"/>
    <w:rsid w:val="00B85FA5"/>
    <w:rsid w:val="00B863E3"/>
    <w:rsid w:val="00B86EBF"/>
    <w:rsid w:val="00B87D68"/>
    <w:rsid w:val="00B87E07"/>
    <w:rsid w:val="00B90070"/>
    <w:rsid w:val="00B908E1"/>
    <w:rsid w:val="00B91E57"/>
    <w:rsid w:val="00B932EF"/>
    <w:rsid w:val="00B9384B"/>
    <w:rsid w:val="00B94D31"/>
    <w:rsid w:val="00B94E49"/>
    <w:rsid w:val="00B963F1"/>
    <w:rsid w:val="00B96652"/>
    <w:rsid w:val="00B96827"/>
    <w:rsid w:val="00B96916"/>
    <w:rsid w:val="00B96C6B"/>
    <w:rsid w:val="00B97787"/>
    <w:rsid w:val="00BA0014"/>
    <w:rsid w:val="00BA0A50"/>
    <w:rsid w:val="00BA0FF0"/>
    <w:rsid w:val="00BA1171"/>
    <w:rsid w:val="00BA28AA"/>
    <w:rsid w:val="00BA2932"/>
    <w:rsid w:val="00BA31C8"/>
    <w:rsid w:val="00BA3925"/>
    <w:rsid w:val="00BA4E87"/>
    <w:rsid w:val="00BA5678"/>
    <w:rsid w:val="00BA7894"/>
    <w:rsid w:val="00BA79F6"/>
    <w:rsid w:val="00BA7EED"/>
    <w:rsid w:val="00BB0B8D"/>
    <w:rsid w:val="00BB0CC5"/>
    <w:rsid w:val="00BB2132"/>
    <w:rsid w:val="00BB21D8"/>
    <w:rsid w:val="00BB2205"/>
    <w:rsid w:val="00BB2A0D"/>
    <w:rsid w:val="00BB341D"/>
    <w:rsid w:val="00BB423E"/>
    <w:rsid w:val="00BB43DE"/>
    <w:rsid w:val="00BB447D"/>
    <w:rsid w:val="00BB52C7"/>
    <w:rsid w:val="00BB53C3"/>
    <w:rsid w:val="00BB54E3"/>
    <w:rsid w:val="00BB6116"/>
    <w:rsid w:val="00BB6A39"/>
    <w:rsid w:val="00BB72E1"/>
    <w:rsid w:val="00BB75A6"/>
    <w:rsid w:val="00BB78D4"/>
    <w:rsid w:val="00BC12D0"/>
    <w:rsid w:val="00BC19A1"/>
    <w:rsid w:val="00BC1EA4"/>
    <w:rsid w:val="00BC2A46"/>
    <w:rsid w:val="00BC2C53"/>
    <w:rsid w:val="00BC2D0E"/>
    <w:rsid w:val="00BC2F1A"/>
    <w:rsid w:val="00BC3A63"/>
    <w:rsid w:val="00BC3A64"/>
    <w:rsid w:val="00BC3A8E"/>
    <w:rsid w:val="00BC3ADD"/>
    <w:rsid w:val="00BC3E53"/>
    <w:rsid w:val="00BC6187"/>
    <w:rsid w:val="00BC6A25"/>
    <w:rsid w:val="00BC7315"/>
    <w:rsid w:val="00BC7CD6"/>
    <w:rsid w:val="00BC7D73"/>
    <w:rsid w:val="00BD0069"/>
    <w:rsid w:val="00BD0966"/>
    <w:rsid w:val="00BD1ECE"/>
    <w:rsid w:val="00BD2135"/>
    <w:rsid w:val="00BD2D32"/>
    <w:rsid w:val="00BD4C82"/>
    <w:rsid w:val="00BD55F7"/>
    <w:rsid w:val="00BD6E29"/>
    <w:rsid w:val="00BD6FAE"/>
    <w:rsid w:val="00BD7B52"/>
    <w:rsid w:val="00BE04EE"/>
    <w:rsid w:val="00BE0D85"/>
    <w:rsid w:val="00BE226A"/>
    <w:rsid w:val="00BE24D4"/>
    <w:rsid w:val="00BE26C7"/>
    <w:rsid w:val="00BE3311"/>
    <w:rsid w:val="00BE4294"/>
    <w:rsid w:val="00BE45FA"/>
    <w:rsid w:val="00BE59D1"/>
    <w:rsid w:val="00BE6315"/>
    <w:rsid w:val="00BE68DA"/>
    <w:rsid w:val="00BE71CB"/>
    <w:rsid w:val="00BF10CF"/>
    <w:rsid w:val="00BF1A7D"/>
    <w:rsid w:val="00BF1F54"/>
    <w:rsid w:val="00BF35CF"/>
    <w:rsid w:val="00BF6B93"/>
    <w:rsid w:val="00BF6F6D"/>
    <w:rsid w:val="00BF7A2C"/>
    <w:rsid w:val="00BF7A83"/>
    <w:rsid w:val="00C0026A"/>
    <w:rsid w:val="00C006E4"/>
    <w:rsid w:val="00C01E20"/>
    <w:rsid w:val="00C0210C"/>
    <w:rsid w:val="00C021FB"/>
    <w:rsid w:val="00C02731"/>
    <w:rsid w:val="00C027EE"/>
    <w:rsid w:val="00C0282D"/>
    <w:rsid w:val="00C030A1"/>
    <w:rsid w:val="00C0408C"/>
    <w:rsid w:val="00C05073"/>
    <w:rsid w:val="00C069A6"/>
    <w:rsid w:val="00C06E8B"/>
    <w:rsid w:val="00C079AC"/>
    <w:rsid w:val="00C10B1C"/>
    <w:rsid w:val="00C10DA9"/>
    <w:rsid w:val="00C10DC7"/>
    <w:rsid w:val="00C10E18"/>
    <w:rsid w:val="00C110EC"/>
    <w:rsid w:val="00C12263"/>
    <w:rsid w:val="00C12637"/>
    <w:rsid w:val="00C12D71"/>
    <w:rsid w:val="00C13730"/>
    <w:rsid w:val="00C146C5"/>
    <w:rsid w:val="00C14F31"/>
    <w:rsid w:val="00C15952"/>
    <w:rsid w:val="00C15A36"/>
    <w:rsid w:val="00C16965"/>
    <w:rsid w:val="00C16971"/>
    <w:rsid w:val="00C16F0F"/>
    <w:rsid w:val="00C177BD"/>
    <w:rsid w:val="00C17CD4"/>
    <w:rsid w:val="00C217B1"/>
    <w:rsid w:val="00C2204B"/>
    <w:rsid w:val="00C2208F"/>
    <w:rsid w:val="00C233BE"/>
    <w:rsid w:val="00C25F7C"/>
    <w:rsid w:val="00C2673C"/>
    <w:rsid w:val="00C26826"/>
    <w:rsid w:val="00C26D98"/>
    <w:rsid w:val="00C273E7"/>
    <w:rsid w:val="00C27562"/>
    <w:rsid w:val="00C315D9"/>
    <w:rsid w:val="00C31B46"/>
    <w:rsid w:val="00C31B9D"/>
    <w:rsid w:val="00C328DC"/>
    <w:rsid w:val="00C32DAA"/>
    <w:rsid w:val="00C32FCA"/>
    <w:rsid w:val="00C343D1"/>
    <w:rsid w:val="00C37136"/>
    <w:rsid w:val="00C373AB"/>
    <w:rsid w:val="00C404E4"/>
    <w:rsid w:val="00C40743"/>
    <w:rsid w:val="00C413C7"/>
    <w:rsid w:val="00C4197E"/>
    <w:rsid w:val="00C41A74"/>
    <w:rsid w:val="00C420CA"/>
    <w:rsid w:val="00C42877"/>
    <w:rsid w:val="00C44025"/>
    <w:rsid w:val="00C44667"/>
    <w:rsid w:val="00C44804"/>
    <w:rsid w:val="00C4537E"/>
    <w:rsid w:val="00C45CD2"/>
    <w:rsid w:val="00C476F7"/>
    <w:rsid w:val="00C515EB"/>
    <w:rsid w:val="00C5281F"/>
    <w:rsid w:val="00C5290E"/>
    <w:rsid w:val="00C543BC"/>
    <w:rsid w:val="00C55B61"/>
    <w:rsid w:val="00C55D83"/>
    <w:rsid w:val="00C60192"/>
    <w:rsid w:val="00C6149B"/>
    <w:rsid w:val="00C62678"/>
    <w:rsid w:val="00C62AE9"/>
    <w:rsid w:val="00C631B1"/>
    <w:rsid w:val="00C64210"/>
    <w:rsid w:val="00C64E7A"/>
    <w:rsid w:val="00C6533C"/>
    <w:rsid w:val="00C66032"/>
    <w:rsid w:val="00C6616C"/>
    <w:rsid w:val="00C664E8"/>
    <w:rsid w:val="00C66956"/>
    <w:rsid w:val="00C70B06"/>
    <w:rsid w:val="00C70FB4"/>
    <w:rsid w:val="00C71864"/>
    <w:rsid w:val="00C719E9"/>
    <w:rsid w:val="00C71C58"/>
    <w:rsid w:val="00C75259"/>
    <w:rsid w:val="00C7533A"/>
    <w:rsid w:val="00C75440"/>
    <w:rsid w:val="00C766FD"/>
    <w:rsid w:val="00C76FCB"/>
    <w:rsid w:val="00C77113"/>
    <w:rsid w:val="00C77830"/>
    <w:rsid w:val="00C779C1"/>
    <w:rsid w:val="00C77B70"/>
    <w:rsid w:val="00C80529"/>
    <w:rsid w:val="00C82FEE"/>
    <w:rsid w:val="00C834B2"/>
    <w:rsid w:val="00C84CA1"/>
    <w:rsid w:val="00C851D1"/>
    <w:rsid w:val="00C858E0"/>
    <w:rsid w:val="00C858F3"/>
    <w:rsid w:val="00C86375"/>
    <w:rsid w:val="00C867A8"/>
    <w:rsid w:val="00C8694B"/>
    <w:rsid w:val="00C86AAE"/>
    <w:rsid w:val="00C86D3C"/>
    <w:rsid w:val="00C920EE"/>
    <w:rsid w:val="00C92FDE"/>
    <w:rsid w:val="00C934BE"/>
    <w:rsid w:val="00C954EA"/>
    <w:rsid w:val="00C95F7E"/>
    <w:rsid w:val="00CA0B51"/>
    <w:rsid w:val="00CA1D7E"/>
    <w:rsid w:val="00CA2709"/>
    <w:rsid w:val="00CA2CF2"/>
    <w:rsid w:val="00CA4061"/>
    <w:rsid w:val="00CA409B"/>
    <w:rsid w:val="00CA4E75"/>
    <w:rsid w:val="00CA655B"/>
    <w:rsid w:val="00CA6FF3"/>
    <w:rsid w:val="00CA74F6"/>
    <w:rsid w:val="00CA77B6"/>
    <w:rsid w:val="00CA7F59"/>
    <w:rsid w:val="00CB100C"/>
    <w:rsid w:val="00CB1588"/>
    <w:rsid w:val="00CB1622"/>
    <w:rsid w:val="00CB2448"/>
    <w:rsid w:val="00CB26D2"/>
    <w:rsid w:val="00CB2B46"/>
    <w:rsid w:val="00CB3373"/>
    <w:rsid w:val="00CB395F"/>
    <w:rsid w:val="00CB4F7C"/>
    <w:rsid w:val="00CC185E"/>
    <w:rsid w:val="00CC21EB"/>
    <w:rsid w:val="00CC50F5"/>
    <w:rsid w:val="00CC54BC"/>
    <w:rsid w:val="00CC5C07"/>
    <w:rsid w:val="00CC6997"/>
    <w:rsid w:val="00CC77BC"/>
    <w:rsid w:val="00CD0126"/>
    <w:rsid w:val="00CD048F"/>
    <w:rsid w:val="00CD158B"/>
    <w:rsid w:val="00CD1603"/>
    <w:rsid w:val="00CD1675"/>
    <w:rsid w:val="00CD1996"/>
    <w:rsid w:val="00CD19E6"/>
    <w:rsid w:val="00CD1BB3"/>
    <w:rsid w:val="00CD2409"/>
    <w:rsid w:val="00CD2995"/>
    <w:rsid w:val="00CD3ADD"/>
    <w:rsid w:val="00CD3C3C"/>
    <w:rsid w:val="00CD438D"/>
    <w:rsid w:val="00CD4AFD"/>
    <w:rsid w:val="00CD4E42"/>
    <w:rsid w:val="00CD63FA"/>
    <w:rsid w:val="00CD7235"/>
    <w:rsid w:val="00CE040F"/>
    <w:rsid w:val="00CE0C6C"/>
    <w:rsid w:val="00CE10D7"/>
    <w:rsid w:val="00CE1C3A"/>
    <w:rsid w:val="00CE211C"/>
    <w:rsid w:val="00CE24F6"/>
    <w:rsid w:val="00CE2A32"/>
    <w:rsid w:val="00CE41BA"/>
    <w:rsid w:val="00CE4522"/>
    <w:rsid w:val="00CE48B1"/>
    <w:rsid w:val="00CE71D1"/>
    <w:rsid w:val="00CF0030"/>
    <w:rsid w:val="00CF0F60"/>
    <w:rsid w:val="00CF1FD2"/>
    <w:rsid w:val="00CF2654"/>
    <w:rsid w:val="00CF32FA"/>
    <w:rsid w:val="00CF44A9"/>
    <w:rsid w:val="00CF6E83"/>
    <w:rsid w:val="00CF78E6"/>
    <w:rsid w:val="00CF7A0D"/>
    <w:rsid w:val="00D001F5"/>
    <w:rsid w:val="00D00581"/>
    <w:rsid w:val="00D0095F"/>
    <w:rsid w:val="00D00A94"/>
    <w:rsid w:val="00D00AE5"/>
    <w:rsid w:val="00D00CD1"/>
    <w:rsid w:val="00D00CEA"/>
    <w:rsid w:val="00D0182D"/>
    <w:rsid w:val="00D020A7"/>
    <w:rsid w:val="00D0294A"/>
    <w:rsid w:val="00D03876"/>
    <w:rsid w:val="00D054CB"/>
    <w:rsid w:val="00D05503"/>
    <w:rsid w:val="00D065C0"/>
    <w:rsid w:val="00D066AE"/>
    <w:rsid w:val="00D06C8A"/>
    <w:rsid w:val="00D105FC"/>
    <w:rsid w:val="00D1207F"/>
    <w:rsid w:val="00D13905"/>
    <w:rsid w:val="00D13A50"/>
    <w:rsid w:val="00D14330"/>
    <w:rsid w:val="00D14E9A"/>
    <w:rsid w:val="00D15A7D"/>
    <w:rsid w:val="00D15F44"/>
    <w:rsid w:val="00D166F6"/>
    <w:rsid w:val="00D16853"/>
    <w:rsid w:val="00D16B57"/>
    <w:rsid w:val="00D16ECF"/>
    <w:rsid w:val="00D1714B"/>
    <w:rsid w:val="00D17871"/>
    <w:rsid w:val="00D17C79"/>
    <w:rsid w:val="00D2082F"/>
    <w:rsid w:val="00D21147"/>
    <w:rsid w:val="00D21E87"/>
    <w:rsid w:val="00D21F19"/>
    <w:rsid w:val="00D22345"/>
    <w:rsid w:val="00D22CD2"/>
    <w:rsid w:val="00D2406B"/>
    <w:rsid w:val="00D24529"/>
    <w:rsid w:val="00D245E9"/>
    <w:rsid w:val="00D24793"/>
    <w:rsid w:val="00D25674"/>
    <w:rsid w:val="00D256FA"/>
    <w:rsid w:val="00D260A6"/>
    <w:rsid w:val="00D26DEA"/>
    <w:rsid w:val="00D27223"/>
    <w:rsid w:val="00D27FF4"/>
    <w:rsid w:val="00D31114"/>
    <w:rsid w:val="00D3199D"/>
    <w:rsid w:val="00D33EA6"/>
    <w:rsid w:val="00D34A60"/>
    <w:rsid w:val="00D35660"/>
    <w:rsid w:val="00D35CDC"/>
    <w:rsid w:val="00D364AC"/>
    <w:rsid w:val="00D37CB2"/>
    <w:rsid w:val="00D4067E"/>
    <w:rsid w:val="00D4208B"/>
    <w:rsid w:val="00D420FF"/>
    <w:rsid w:val="00D42364"/>
    <w:rsid w:val="00D42AD8"/>
    <w:rsid w:val="00D43FF4"/>
    <w:rsid w:val="00D44022"/>
    <w:rsid w:val="00D45062"/>
    <w:rsid w:val="00D45C9E"/>
    <w:rsid w:val="00D466BB"/>
    <w:rsid w:val="00D47026"/>
    <w:rsid w:val="00D476DD"/>
    <w:rsid w:val="00D525A2"/>
    <w:rsid w:val="00D52E2A"/>
    <w:rsid w:val="00D544BD"/>
    <w:rsid w:val="00D54826"/>
    <w:rsid w:val="00D5492D"/>
    <w:rsid w:val="00D55BEB"/>
    <w:rsid w:val="00D56050"/>
    <w:rsid w:val="00D56359"/>
    <w:rsid w:val="00D56998"/>
    <w:rsid w:val="00D56D90"/>
    <w:rsid w:val="00D56E90"/>
    <w:rsid w:val="00D572C5"/>
    <w:rsid w:val="00D572F3"/>
    <w:rsid w:val="00D60112"/>
    <w:rsid w:val="00D6011E"/>
    <w:rsid w:val="00D602C9"/>
    <w:rsid w:val="00D60AB8"/>
    <w:rsid w:val="00D61156"/>
    <w:rsid w:val="00D62844"/>
    <w:rsid w:val="00D64873"/>
    <w:rsid w:val="00D656CE"/>
    <w:rsid w:val="00D65D40"/>
    <w:rsid w:val="00D65DED"/>
    <w:rsid w:val="00D661C3"/>
    <w:rsid w:val="00D67874"/>
    <w:rsid w:val="00D701F8"/>
    <w:rsid w:val="00D704F2"/>
    <w:rsid w:val="00D71921"/>
    <w:rsid w:val="00D721C3"/>
    <w:rsid w:val="00D72B7B"/>
    <w:rsid w:val="00D75A1F"/>
    <w:rsid w:val="00D76022"/>
    <w:rsid w:val="00D7663A"/>
    <w:rsid w:val="00D7782B"/>
    <w:rsid w:val="00D803A6"/>
    <w:rsid w:val="00D80799"/>
    <w:rsid w:val="00D8161C"/>
    <w:rsid w:val="00D82286"/>
    <w:rsid w:val="00D8318F"/>
    <w:rsid w:val="00D83A2B"/>
    <w:rsid w:val="00D8472C"/>
    <w:rsid w:val="00D84A2E"/>
    <w:rsid w:val="00D85623"/>
    <w:rsid w:val="00D86972"/>
    <w:rsid w:val="00D87F79"/>
    <w:rsid w:val="00D9063A"/>
    <w:rsid w:val="00D90C0B"/>
    <w:rsid w:val="00D90E43"/>
    <w:rsid w:val="00D90EB9"/>
    <w:rsid w:val="00D91C9E"/>
    <w:rsid w:val="00D920B3"/>
    <w:rsid w:val="00D92159"/>
    <w:rsid w:val="00D92A32"/>
    <w:rsid w:val="00D94248"/>
    <w:rsid w:val="00D944C4"/>
    <w:rsid w:val="00D94780"/>
    <w:rsid w:val="00D94D51"/>
    <w:rsid w:val="00D94F3B"/>
    <w:rsid w:val="00D95313"/>
    <w:rsid w:val="00D95E89"/>
    <w:rsid w:val="00D969F6"/>
    <w:rsid w:val="00D97788"/>
    <w:rsid w:val="00DA160C"/>
    <w:rsid w:val="00DA1E95"/>
    <w:rsid w:val="00DA21AF"/>
    <w:rsid w:val="00DA2384"/>
    <w:rsid w:val="00DA29A2"/>
    <w:rsid w:val="00DA3C6A"/>
    <w:rsid w:val="00DA428E"/>
    <w:rsid w:val="00DA4BB7"/>
    <w:rsid w:val="00DA5682"/>
    <w:rsid w:val="00DA5A11"/>
    <w:rsid w:val="00DA5AB8"/>
    <w:rsid w:val="00DA671F"/>
    <w:rsid w:val="00DA68FD"/>
    <w:rsid w:val="00DA6FAC"/>
    <w:rsid w:val="00DA7492"/>
    <w:rsid w:val="00DB2198"/>
    <w:rsid w:val="00DB223E"/>
    <w:rsid w:val="00DB2A7A"/>
    <w:rsid w:val="00DB2F94"/>
    <w:rsid w:val="00DB3D0E"/>
    <w:rsid w:val="00DB4C74"/>
    <w:rsid w:val="00DB5D12"/>
    <w:rsid w:val="00DC0375"/>
    <w:rsid w:val="00DC0D60"/>
    <w:rsid w:val="00DC391B"/>
    <w:rsid w:val="00DC3F99"/>
    <w:rsid w:val="00DC40F0"/>
    <w:rsid w:val="00DC4932"/>
    <w:rsid w:val="00DC5EBF"/>
    <w:rsid w:val="00DC7590"/>
    <w:rsid w:val="00DC7B2C"/>
    <w:rsid w:val="00DD06BC"/>
    <w:rsid w:val="00DD284E"/>
    <w:rsid w:val="00DD3AAA"/>
    <w:rsid w:val="00DD45D1"/>
    <w:rsid w:val="00DD488D"/>
    <w:rsid w:val="00DD7004"/>
    <w:rsid w:val="00DD72A3"/>
    <w:rsid w:val="00DD7624"/>
    <w:rsid w:val="00DD7B5C"/>
    <w:rsid w:val="00DD7F64"/>
    <w:rsid w:val="00DE0A1B"/>
    <w:rsid w:val="00DE0EC2"/>
    <w:rsid w:val="00DE2508"/>
    <w:rsid w:val="00DE2646"/>
    <w:rsid w:val="00DE2EF2"/>
    <w:rsid w:val="00DE2FC1"/>
    <w:rsid w:val="00DE3254"/>
    <w:rsid w:val="00DE4CF2"/>
    <w:rsid w:val="00DE51AE"/>
    <w:rsid w:val="00DE62BA"/>
    <w:rsid w:val="00DE7182"/>
    <w:rsid w:val="00DE7502"/>
    <w:rsid w:val="00DE781F"/>
    <w:rsid w:val="00DE7A7C"/>
    <w:rsid w:val="00DF0000"/>
    <w:rsid w:val="00DF06E8"/>
    <w:rsid w:val="00DF09B4"/>
    <w:rsid w:val="00DF1A51"/>
    <w:rsid w:val="00DF1B99"/>
    <w:rsid w:val="00DF1D72"/>
    <w:rsid w:val="00DF3420"/>
    <w:rsid w:val="00DF3554"/>
    <w:rsid w:val="00DF3861"/>
    <w:rsid w:val="00DF41A9"/>
    <w:rsid w:val="00DF5466"/>
    <w:rsid w:val="00DF5F9B"/>
    <w:rsid w:val="00DF6ACF"/>
    <w:rsid w:val="00DF6C72"/>
    <w:rsid w:val="00DF6D18"/>
    <w:rsid w:val="00DF6E69"/>
    <w:rsid w:val="00DF6FD4"/>
    <w:rsid w:val="00DF7091"/>
    <w:rsid w:val="00DF7D14"/>
    <w:rsid w:val="00E011DB"/>
    <w:rsid w:val="00E02A89"/>
    <w:rsid w:val="00E04B4E"/>
    <w:rsid w:val="00E050E6"/>
    <w:rsid w:val="00E05E1B"/>
    <w:rsid w:val="00E05FB0"/>
    <w:rsid w:val="00E07BAC"/>
    <w:rsid w:val="00E10346"/>
    <w:rsid w:val="00E12D22"/>
    <w:rsid w:val="00E1413C"/>
    <w:rsid w:val="00E14608"/>
    <w:rsid w:val="00E14D7B"/>
    <w:rsid w:val="00E15294"/>
    <w:rsid w:val="00E15CD6"/>
    <w:rsid w:val="00E16770"/>
    <w:rsid w:val="00E1681D"/>
    <w:rsid w:val="00E16E83"/>
    <w:rsid w:val="00E17250"/>
    <w:rsid w:val="00E202B1"/>
    <w:rsid w:val="00E205C0"/>
    <w:rsid w:val="00E213B1"/>
    <w:rsid w:val="00E21FCA"/>
    <w:rsid w:val="00E220D5"/>
    <w:rsid w:val="00E2256C"/>
    <w:rsid w:val="00E22AA9"/>
    <w:rsid w:val="00E24358"/>
    <w:rsid w:val="00E244E2"/>
    <w:rsid w:val="00E25030"/>
    <w:rsid w:val="00E25734"/>
    <w:rsid w:val="00E260D4"/>
    <w:rsid w:val="00E2611D"/>
    <w:rsid w:val="00E27EA5"/>
    <w:rsid w:val="00E3059C"/>
    <w:rsid w:val="00E30A43"/>
    <w:rsid w:val="00E31161"/>
    <w:rsid w:val="00E31B07"/>
    <w:rsid w:val="00E325FA"/>
    <w:rsid w:val="00E3261E"/>
    <w:rsid w:val="00E33231"/>
    <w:rsid w:val="00E33486"/>
    <w:rsid w:val="00E33C2E"/>
    <w:rsid w:val="00E340AD"/>
    <w:rsid w:val="00E34D08"/>
    <w:rsid w:val="00E35269"/>
    <w:rsid w:val="00E3594B"/>
    <w:rsid w:val="00E35D4A"/>
    <w:rsid w:val="00E36562"/>
    <w:rsid w:val="00E36B39"/>
    <w:rsid w:val="00E36CD4"/>
    <w:rsid w:val="00E36FC5"/>
    <w:rsid w:val="00E4085E"/>
    <w:rsid w:val="00E41285"/>
    <w:rsid w:val="00E4244B"/>
    <w:rsid w:val="00E43119"/>
    <w:rsid w:val="00E44BEB"/>
    <w:rsid w:val="00E46753"/>
    <w:rsid w:val="00E478A0"/>
    <w:rsid w:val="00E47BB1"/>
    <w:rsid w:val="00E5032E"/>
    <w:rsid w:val="00E50CB1"/>
    <w:rsid w:val="00E50F83"/>
    <w:rsid w:val="00E518C5"/>
    <w:rsid w:val="00E53FF8"/>
    <w:rsid w:val="00E5423A"/>
    <w:rsid w:val="00E5552D"/>
    <w:rsid w:val="00E5562E"/>
    <w:rsid w:val="00E55F06"/>
    <w:rsid w:val="00E562FB"/>
    <w:rsid w:val="00E564D3"/>
    <w:rsid w:val="00E56A37"/>
    <w:rsid w:val="00E570E2"/>
    <w:rsid w:val="00E57B0B"/>
    <w:rsid w:val="00E57D22"/>
    <w:rsid w:val="00E6095E"/>
    <w:rsid w:val="00E62627"/>
    <w:rsid w:val="00E62BDF"/>
    <w:rsid w:val="00E640C2"/>
    <w:rsid w:val="00E65BDE"/>
    <w:rsid w:val="00E65D13"/>
    <w:rsid w:val="00E660E5"/>
    <w:rsid w:val="00E66F00"/>
    <w:rsid w:val="00E67D42"/>
    <w:rsid w:val="00E70373"/>
    <w:rsid w:val="00E704C6"/>
    <w:rsid w:val="00E708CD"/>
    <w:rsid w:val="00E71368"/>
    <w:rsid w:val="00E72687"/>
    <w:rsid w:val="00E7279F"/>
    <w:rsid w:val="00E72A45"/>
    <w:rsid w:val="00E72C1F"/>
    <w:rsid w:val="00E73EB7"/>
    <w:rsid w:val="00E74206"/>
    <w:rsid w:val="00E74805"/>
    <w:rsid w:val="00E74932"/>
    <w:rsid w:val="00E766DE"/>
    <w:rsid w:val="00E8010F"/>
    <w:rsid w:val="00E801BC"/>
    <w:rsid w:val="00E807F3"/>
    <w:rsid w:val="00E80CCD"/>
    <w:rsid w:val="00E816CF"/>
    <w:rsid w:val="00E820F9"/>
    <w:rsid w:val="00E826B4"/>
    <w:rsid w:val="00E8347F"/>
    <w:rsid w:val="00E838B8"/>
    <w:rsid w:val="00E842C8"/>
    <w:rsid w:val="00E8519D"/>
    <w:rsid w:val="00E851C5"/>
    <w:rsid w:val="00E858AD"/>
    <w:rsid w:val="00E85AFD"/>
    <w:rsid w:val="00E85C2D"/>
    <w:rsid w:val="00E867BA"/>
    <w:rsid w:val="00E8754D"/>
    <w:rsid w:val="00E87BE0"/>
    <w:rsid w:val="00E9028A"/>
    <w:rsid w:val="00E9030F"/>
    <w:rsid w:val="00E90551"/>
    <w:rsid w:val="00E907BA"/>
    <w:rsid w:val="00E92395"/>
    <w:rsid w:val="00E9242B"/>
    <w:rsid w:val="00E92D60"/>
    <w:rsid w:val="00E94023"/>
    <w:rsid w:val="00E96E37"/>
    <w:rsid w:val="00EA098C"/>
    <w:rsid w:val="00EA10A9"/>
    <w:rsid w:val="00EA125B"/>
    <w:rsid w:val="00EA24DA"/>
    <w:rsid w:val="00EA26F1"/>
    <w:rsid w:val="00EA27D2"/>
    <w:rsid w:val="00EA2841"/>
    <w:rsid w:val="00EA29D2"/>
    <w:rsid w:val="00EA323B"/>
    <w:rsid w:val="00EA337E"/>
    <w:rsid w:val="00EA38F7"/>
    <w:rsid w:val="00EA3B36"/>
    <w:rsid w:val="00EA40F9"/>
    <w:rsid w:val="00EA5812"/>
    <w:rsid w:val="00EA665C"/>
    <w:rsid w:val="00EA776B"/>
    <w:rsid w:val="00EB04B3"/>
    <w:rsid w:val="00EB1C03"/>
    <w:rsid w:val="00EB2B54"/>
    <w:rsid w:val="00EB3407"/>
    <w:rsid w:val="00EB3656"/>
    <w:rsid w:val="00EB380C"/>
    <w:rsid w:val="00EB628E"/>
    <w:rsid w:val="00EC0199"/>
    <w:rsid w:val="00EC0417"/>
    <w:rsid w:val="00EC0A47"/>
    <w:rsid w:val="00EC105E"/>
    <w:rsid w:val="00EC2333"/>
    <w:rsid w:val="00EC2535"/>
    <w:rsid w:val="00EC3316"/>
    <w:rsid w:val="00EC3BA1"/>
    <w:rsid w:val="00EC3F7B"/>
    <w:rsid w:val="00EC4D52"/>
    <w:rsid w:val="00EC60DE"/>
    <w:rsid w:val="00EC6DE8"/>
    <w:rsid w:val="00EC75CF"/>
    <w:rsid w:val="00ED020E"/>
    <w:rsid w:val="00ED0E82"/>
    <w:rsid w:val="00ED3EAA"/>
    <w:rsid w:val="00ED404C"/>
    <w:rsid w:val="00ED529C"/>
    <w:rsid w:val="00ED6A24"/>
    <w:rsid w:val="00ED73CE"/>
    <w:rsid w:val="00ED77D2"/>
    <w:rsid w:val="00EE1980"/>
    <w:rsid w:val="00EE2B4C"/>
    <w:rsid w:val="00EE32C7"/>
    <w:rsid w:val="00EE3365"/>
    <w:rsid w:val="00EE3A3E"/>
    <w:rsid w:val="00EE3BDA"/>
    <w:rsid w:val="00EE3E86"/>
    <w:rsid w:val="00EE4CF0"/>
    <w:rsid w:val="00EE52B8"/>
    <w:rsid w:val="00EE58C7"/>
    <w:rsid w:val="00EE6B56"/>
    <w:rsid w:val="00EE6C60"/>
    <w:rsid w:val="00EE768C"/>
    <w:rsid w:val="00EF0B07"/>
    <w:rsid w:val="00EF16C3"/>
    <w:rsid w:val="00EF1AC3"/>
    <w:rsid w:val="00EF1D2E"/>
    <w:rsid w:val="00EF1D45"/>
    <w:rsid w:val="00EF1E67"/>
    <w:rsid w:val="00EF36DE"/>
    <w:rsid w:val="00EF47AF"/>
    <w:rsid w:val="00EF4B79"/>
    <w:rsid w:val="00EF5CD1"/>
    <w:rsid w:val="00EF634B"/>
    <w:rsid w:val="00EF679E"/>
    <w:rsid w:val="00F0079E"/>
    <w:rsid w:val="00F018B3"/>
    <w:rsid w:val="00F030D7"/>
    <w:rsid w:val="00F03904"/>
    <w:rsid w:val="00F03B41"/>
    <w:rsid w:val="00F057F7"/>
    <w:rsid w:val="00F05818"/>
    <w:rsid w:val="00F05F68"/>
    <w:rsid w:val="00F06327"/>
    <w:rsid w:val="00F076EB"/>
    <w:rsid w:val="00F07D47"/>
    <w:rsid w:val="00F07F9B"/>
    <w:rsid w:val="00F110A4"/>
    <w:rsid w:val="00F112EE"/>
    <w:rsid w:val="00F12D05"/>
    <w:rsid w:val="00F13996"/>
    <w:rsid w:val="00F13FDC"/>
    <w:rsid w:val="00F164F2"/>
    <w:rsid w:val="00F179D5"/>
    <w:rsid w:val="00F20290"/>
    <w:rsid w:val="00F2171F"/>
    <w:rsid w:val="00F21898"/>
    <w:rsid w:val="00F21E7A"/>
    <w:rsid w:val="00F234A6"/>
    <w:rsid w:val="00F24F46"/>
    <w:rsid w:val="00F2500C"/>
    <w:rsid w:val="00F25211"/>
    <w:rsid w:val="00F2526E"/>
    <w:rsid w:val="00F2581C"/>
    <w:rsid w:val="00F260A5"/>
    <w:rsid w:val="00F2627F"/>
    <w:rsid w:val="00F2629D"/>
    <w:rsid w:val="00F26463"/>
    <w:rsid w:val="00F26D81"/>
    <w:rsid w:val="00F26FB0"/>
    <w:rsid w:val="00F30E22"/>
    <w:rsid w:val="00F30F35"/>
    <w:rsid w:val="00F30F6E"/>
    <w:rsid w:val="00F32224"/>
    <w:rsid w:val="00F32902"/>
    <w:rsid w:val="00F33BBF"/>
    <w:rsid w:val="00F33DD5"/>
    <w:rsid w:val="00F347DE"/>
    <w:rsid w:val="00F360B6"/>
    <w:rsid w:val="00F37AD8"/>
    <w:rsid w:val="00F4028A"/>
    <w:rsid w:val="00F40C0B"/>
    <w:rsid w:val="00F4218E"/>
    <w:rsid w:val="00F42B3F"/>
    <w:rsid w:val="00F447E9"/>
    <w:rsid w:val="00F44C98"/>
    <w:rsid w:val="00F456FA"/>
    <w:rsid w:val="00F46866"/>
    <w:rsid w:val="00F47B2A"/>
    <w:rsid w:val="00F47ED7"/>
    <w:rsid w:val="00F50216"/>
    <w:rsid w:val="00F503AE"/>
    <w:rsid w:val="00F5129C"/>
    <w:rsid w:val="00F512F0"/>
    <w:rsid w:val="00F52173"/>
    <w:rsid w:val="00F52D74"/>
    <w:rsid w:val="00F5345A"/>
    <w:rsid w:val="00F5466B"/>
    <w:rsid w:val="00F54BB7"/>
    <w:rsid w:val="00F5577C"/>
    <w:rsid w:val="00F5667A"/>
    <w:rsid w:val="00F57C52"/>
    <w:rsid w:val="00F57D76"/>
    <w:rsid w:val="00F6238F"/>
    <w:rsid w:val="00F631AD"/>
    <w:rsid w:val="00F639CB"/>
    <w:rsid w:val="00F63C40"/>
    <w:rsid w:val="00F64489"/>
    <w:rsid w:val="00F647F3"/>
    <w:rsid w:val="00F71C65"/>
    <w:rsid w:val="00F72FAC"/>
    <w:rsid w:val="00F731FB"/>
    <w:rsid w:val="00F73B6B"/>
    <w:rsid w:val="00F73C5E"/>
    <w:rsid w:val="00F74BD1"/>
    <w:rsid w:val="00F75093"/>
    <w:rsid w:val="00F755A6"/>
    <w:rsid w:val="00F76178"/>
    <w:rsid w:val="00F77F11"/>
    <w:rsid w:val="00F80428"/>
    <w:rsid w:val="00F81A71"/>
    <w:rsid w:val="00F81E36"/>
    <w:rsid w:val="00F82498"/>
    <w:rsid w:val="00F84F6F"/>
    <w:rsid w:val="00F857F8"/>
    <w:rsid w:val="00F85BDB"/>
    <w:rsid w:val="00F87585"/>
    <w:rsid w:val="00F87ED3"/>
    <w:rsid w:val="00F90AF9"/>
    <w:rsid w:val="00F90FD2"/>
    <w:rsid w:val="00F91721"/>
    <w:rsid w:val="00F917CB"/>
    <w:rsid w:val="00F91C1B"/>
    <w:rsid w:val="00F921DB"/>
    <w:rsid w:val="00F924E4"/>
    <w:rsid w:val="00F9255D"/>
    <w:rsid w:val="00F954CF"/>
    <w:rsid w:val="00F958E3"/>
    <w:rsid w:val="00F959BA"/>
    <w:rsid w:val="00F96EA9"/>
    <w:rsid w:val="00F9705F"/>
    <w:rsid w:val="00F974D5"/>
    <w:rsid w:val="00F9786C"/>
    <w:rsid w:val="00F97F6F"/>
    <w:rsid w:val="00FA0685"/>
    <w:rsid w:val="00FA2055"/>
    <w:rsid w:val="00FA290A"/>
    <w:rsid w:val="00FA290D"/>
    <w:rsid w:val="00FA35E4"/>
    <w:rsid w:val="00FA3AEA"/>
    <w:rsid w:val="00FA3D17"/>
    <w:rsid w:val="00FA59CE"/>
    <w:rsid w:val="00FA6099"/>
    <w:rsid w:val="00FA64E1"/>
    <w:rsid w:val="00FA671B"/>
    <w:rsid w:val="00FA6F08"/>
    <w:rsid w:val="00FA7172"/>
    <w:rsid w:val="00FB097B"/>
    <w:rsid w:val="00FB0B63"/>
    <w:rsid w:val="00FB0EF3"/>
    <w:rsid w:val="00FB2625"/>
    <w:rsid w:val="00FB2CE2"/>
    <w:rsid w:val="00FB2D4D"/>
    <w:rsid w:val="00FB31B0"/>
    <w:rsid w:val="00FB4990"/>
    <w:rsid w:val="00FB5D3D"/>
    <w:rsid w:val="00FB7FFA"/>
    <w:rsid w:val="00FC0FFB"/>
    <w:rsid w:val="00FC131D"/>
    <w:rsid w:val="00FC19CC"/>
    <w:rsid w:val="00FC5969"/>
    <w:rsid w:val="00FC59E4"/>
    <w:rsid w:val="00FC6B7A"/>
    <w:rsid w:val="00FC76CC"/>
    <w:rsid w:val="00FC7855"/>
    <w:rsid w:val="00FC7B6F"/>
    <w:rsid w:val="00FD0582"/>
    <w:rsid w:val="00FD0900"/>
    <w:rsid w:val="00FD13DB"/>
    <w:rsid w:val="00FD189D"/>
    <w:rsid w:val="00FD22A1"/>
    <w:rsid w:val="00FD3907"/>
    <w:rsid w:val="00FD517E"/>
    <w:rsid w:val="00FD5536"/>
    <w:rsid w:val="00FD62E1"/>
    <w:rsid w:val="00FD73D0"/>
    <w:rsid w:val="00FE0C59"/>
    <w:rsid w:val="00FE16AC"/>
    <w:rsid w:val="00FE1A48"/>
    <w:rsid w:val="00FE1BFD"/>
    <w:rsid w:val="00FE2590"/>
    <w:rsid w:val="00FE3326"/>
    <w:rsid w:val="00FE35A6"/>
    <w:rsid w:val="00FE3A7F"/>
    <w:rsid w:val="00FE3D1C"/>
    <w:rsid w:val="00FE456C"/>
    <w:rsid w:val="00FE5035"/>
    <w:rsid w:val="00FE5287"/>
    <w:rsid w:val="00FE5A51"/>
    <w:rsid w:val="00FE6124"/>
    <w:rsid w:val="00FE66FA"/>
    <w:rsid w:val="00FE6F1F"/>
    <w:rsid w:val="00FE6FEC"/>
    <w:rsid w:val="00FE7FDC"/>
    <w:rsid w:val="00FF0431"/>
    <w:rsid w:val="00FF13C4"/>
    <w:rsid w:val="00FF1550"/>
    <w:rsid w:val="00FF22EB"/>
    <w:rsid w:val="00FF24BB"/>
    <w:rsid w:val="00FF2F3E"/>
    <w:rsid w:val="00FF2FB5"/>
    <w:rsid w:val="00FF2FCB"/>
    <w:rsid w:val="00FF5DE5"/>
    <w:rsid w:val="00FF6069"/>
    <w:rsid w:val="00FF6E5E"/>
    <w:rsid w:val="00FF71AA"/>
    <w:rsid w:val="00FF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4B1A"/>
    <w:rPr>
      <w:sz w:val="24"/>
      <w:szCs w:val="24"/>
    </w:rPr>
  </w:style>
  <w:style w:type="paragraph" w:styleId="Heading1">
    <w:name w:val="heading 1"/>
    <w:aliases w:val="Level 1"/>
    <w:basedOn w:val="Normal"/>
    <w:next w:val="Normal"/>
    <w:link w:val="Heading1Char"/>
    <w:qFormat/>
    <w:rsid w:val="00D245E9"/>
    <w:pPr>
      <w:spacing w:after="360"/>
      <w:ind w:left="284" w:hanging="284"/>
      <w:jc w:val="right"/>
      <w:outlineLvl w:val="0"/>
    </w:pPr>
    <w:rPr>
      <w:rFonts w:ascii="Times New Roman Bold" w:hAnsi="Times New Roman Bold"/>
      <w:b/>
      <w:color w:val="FF0000"/>
      <w:kern w:val="40"/>
      <w:sz w:val="72"/>
      <w:lang w:val="fr-FR"/>
    </w:rPr>
  </w:style>
  <w:style w:type="paragraph" w:styleId="Heading2">
    <w:name w:val="heading 2"/>
    <w:basedOn w:val="Normal"/>
    <w:next w:val="Normal"/>
    <w:qFormat/>
    <w:rsid w:val="004056A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056A9"/>
    <w:pPr>
      <w:keepNext/>
      <w:spacing w:before="240" w:after="60"/>
      <w:outlineLvl w:val="2"/>
    </w:pPr>
    <w:rPr>
      <w:rFonts w:ascii="Arial" w:hAnsi="Arial" w:cs="Arial"/>
      <w:b/>
      <w:bCs/>
      <w:sz w:val="26"/>
      <w:szCs w:val="26"/>
    </w:rPr>
  </w:style>
  <w:style w:type="paragraph" w:styleId="Heading4">
    <w:name w:val="heading 4"/>
    <w:basedOn w:val="Normal"/>
    <w:next w:val="Normal"/>
    <w:qFormat/>
    <w:rsid w:val="004056A9"/>
    <w:pPr>
      <w:keepNext/>
      <w:spacing w:before="240" w:after="60"/>
      <w:outlineLvl w:val="3"/>
    </w:pPr>
    <w:rPr>
      <w:b/>
      <w:bCs/>
      <w:sz w:val="28"/>
      <w:szCs w:val="28"/>
    </w:rPr>
  </w:style>
  <w:style w:type="paragraph" w:styleId="Heading5">
    <w:name w:val="heading 5"/>
    <w:basedOn w:val="Normal"/>
    <w:next w:val="Normal"/>
    <w:qFormat/>
    <w:rsid w:val="004056A9"/>
    <w:pPr>
      <w:spacing w:before="240" w:after="60"/>
      <w:outlineLvl w:val="4"/>
    </w:pPr>
    <w:rPr>
      <w:b/>
      <w:bCs/>
      <w:i/>
      <w:iCs/>
      <w:sz w:val="26"/>
      <w:szCs w:val="26"/>
    </w:rPr>
  </w:style>
  <w:style w:type="paragraph" w:styleId="Heading6">
    <w:name w:val="heading 6"/>
    <w:basedOn w:val="Normal"/>
    <w:next w:val="Normal"/>
    <w:qFormat/>
    <w:rsid w:val="004056A9"/>
    <w:pPr>
      <w:spacing w:before="240" w:after="60"/>
      <w:outlineLvl w:val="5"/>
    </w:pPr>
    <w:rPr>
      <w:b/>
      <w:bCs/>
      <w:sz w:val="22"/>
      <w:szCs w:val="22"/>
    </w:rPr>
  </w:style>
  <w:style w:type="paragraph" w:styleId="Heading7">
    <w:name w:val="heading 7"/>
    <w:basedOn w:val="Normal"/>
    <w:next w:val="Normal"/>
    <w:qFormat/>
    <w:rsid w:val="004056A9"/>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032E"/>
    <w:rPr>
      <w:color w:val="000099"/>
      <w:u w:val="single"/>
    </w:rPr>
  </w:style>
  <w:style w:type="paragraph" w:styleId="NormalWeb">
    <w:name w:val="Normal (Web)"/>
    <w:basedOn w:val="Normal"/>
    <w:rsid w:val="00E5032E"/>
    <w:pPr>
      <w:spacing w:before="100" w:beforeAutospacing="1" w:after="100" w:afterAutospacing="1"/>
    </w:pPr>
    <w:rPr>
      <w:rFonts w:ascii="Arial" w:hAnsi="Arial" w:cs="Arial"/>
      <w:sz w:val="18"/>
      <w:szCs w:val="18"/>
    </w:rPr>
  </w:style>
  <w:style w:type="character" w:styleId="Emphasis">
    <w:name w:val="Emphasis"/>
    <w:qFormat/>
    <w:rsid w:val="00E5032E"/>
    <w:rPr>
      <w:i/>
      <w:iCs/>
    </w:rPr>
  </w:style>
  <w:style w:type="character" w:styleId="Strong">
    <w:name w:val="Strong"/>
    <w:qFormat/>
    <w:rsid w:val="00E5032E"/>
    <w:rPr>
      <w:b/>
      <w:bCs/>
    </w:rPr>
  </w:style>
  <w:style w:type="paragraph" w:styleId="Footer">
    <w:name w:val="footer"/>
    <w:basedOn w:val="Normal"/>
    <w:rsid w:val="005E4AAC"/>
    <w:pPr>
      <w:tabs>
        <w:tab w:val="center" w:pos="4320"/>
        <w:tab w:val="right" w:pos="8640"/>
      </w:tabs>
    </w:pPr>
  </w:style>
  <w:style w:type="character" w:styleId="PageNumber">
    <w:name w:val="page number"/>
    <w:basedOn w:val="DefaultParagraphFont"/>
    <w:rsid w:val="005E4AAC"/>
  </w:style>
  <w:style w:type="table" w:styleId="TableGrid">
    <w:name w:val="Table Grid"/>
    <w:basedOn w:val="TableNormal"/>
    <w:rsid w:val="00F33D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3E86"/>
    <w:pPr>
      <w:autoSpaceDE w:val="0"/>
      <w:autoSpaceDN w:val="0"/>
      <w:adjustRightInd w:val="0"/>
    </w:pPr>
    <w:rPr>
      <w:color w:val="000000"/>
      <w:sz w:val="24"/>
      <w:szCs w:val="24"/>
    </w:rPr>
  </w:style>
  <w:style w:type="paragraph" w:styleId="BalloonText">
    <w:name w:val="Balloon Text"/>
    <w:basedOn w:val="Normal"/>
    <w:semiHidden/>
    <w:rsid w:val="00533E1C"/>
    <w:rPr>
      <w:rFonts w:ascii="Tahoma" w:hAnsi="Tahoma" w:cs="Tahoma"/>
      <w:sz w:val="16"/>
      <w:szCs w:val="16"/>
    </w:rPr>
  </w:style>
  <w:style w:type="paragraph" w:styleId="BodyText">
    <w:name w:val="Body Text"/>
    <w:basedOn w:val="Normal"/>
    <w:rsid w:val="00A43D7E"/>
    <w:rPr>
      <w:rFonts w:ascii="Arial" w:hAnsi="Arial" w:cs="Arial"/>
      <w:sz w:val="20"/>
      <w:lang w:val="en-GB"/>
    </w:rPr>
  </w:style>
  <w:style w:type="character" w:customStyle="1" w:styleId="Gotthainer">
    <w:name w:val="Gotthainer"/>
    <w:semiHidden/>
    <w:rsid w:val="00EC60DE"/>
    <w:rPr>
      <w:rFonts w:ascii="Arial" w:hAnsi="Arial" w:cs="Arial"/>
      <w:color w:val="auto"/>
      <w:sz w:val="20"/>
      <w:szCs w:val="20"/>
    </w:rPr>
  </w:style>
  <w:style w:type="paragraph" w:styleId="Header">
    <w:name w:val="header"/>
    <w:basedOn w:val="Normal"/>
    <w:rsid w:val="006F63E7"/>
    <w:pPr>
      <w:tabs>
        <w:tab w:val="center" w:pos="4320"/>
        <w:tab w:val="right" w:pos="8640"/>
      </w:tabs>
    </w:pPr>
  </w:style>
  <w:style w:type="paragraph" w:styleId="BodyTextIndent">
    <w:name w:val="Body Text Indent"/>
    <w:basedOn w:val="Normal"/>
    <w:rsid w:val="00F731FB"/>
    <w:pPr>
      <w:spacing w:after="120"/>
      <w:ind w:left="283"/>
    </w:pPr>
  </w:style>
  <w:style w:type="paragraph" w:customStyle="1" w:styleId="StyleH2-S16pt">
    <w:name w:val="Style H2-S + 16 pt"/>
    <w:basedOn w:val="Normal"/>
    <w:autoRedefine/>
    <w:rsid w:val="00DD488D"/>
    <w:pPr>
      <w:keepNext/>
      <w:tabs>
        <w:tab w:val="left" w:pos="0"/>
      </w:tabs>
      <w:spacing w:before="120" w:after="120"/>
      <w:jc w:val="center"/>
      <w:outlineLvl w:val="1"/>
    </w:pPr>
    <w:rPr>
      <w:rFonts w:ascii="Arial" w:hAnsi="Arial" w:cs="Arial"/>
      <w:b/>
      <w:bCs/>
      <w:smallCaps/>
      <w:sz w:val="32"/>
      <w:szCs w:val="30"/>
      <w:lang w:val="en-GB"/>
    </w:rPr>
  </w:style>
  <w:style w:type="paragraph" w:customStyle="1" w:styleId="Style1">
    <w:name w:val="Style1"/>
    <w:basedOn w:val="Normal"/>
    <w:link w:val="Style1Char"/>
    <w:rsid w:val="005B550D"/>
    <w:pPr>
      <w:tabs>
        <w:tab w:val="left" w:pos="8640"/>
      </w:tabs>
    </w:pPr>
    <w:rPr>
      <w:rFonts w:ascii="Arial" w:hAnsi="Arial" w:cs="Arial"/>
      <w:b/>
      <w:color w:val="333399"/>
      <w:sz w:val="52"/>
      <w:szCs w:val="52"/>
    </w:rPr>
  </w:style>
  <w:style w:type="character" w:customStyle="1" w:styleId="Style1Char">
    <w:name w:val="Style1 Char"/>
    <w:link w:val="Style1"/>
    <w:rsid w:val="005B550D"/>
    <w:rPr>
      <w:rFonts w:ascii="Arial" w:hAnsi="Arial" w:cs="Arial"/>
      <w:b/>
      <w:color w:val="333399"/>
      <w:sz w:val="52"/>
      <w:szCs w:val="52"/>
      <w:lang w:val="en-US" w:eastAsia="en-US" w:bidi="ar-SA"/>
    </w:rPr>
  </w:style>
  <w:style w:type="paragraph" w:customStyle="1" w:styleId="Style2">
    <w:name w:val="Style2"/>
    <w:basedOn w:val="Normal"/>
    <w:rsid w:val="00164B0D"/>
    <w:rPr>
      <w:rFonts w:ascii="Arial" w:hAnsi="Arial" w:cs="Arial"/>
      <w:b/>
      <w:smallCaps/>
      <w:color w:val="0000FF"/>
      <w:sz w:val="22"/>
      <w:szCs w:val="20"/>
    </w:rPr>
  </w:style>
  <w:style w:type="paragraph" w:customStyle="1" w:styleId="StyleArial10pt">
    <w:name w:val="Style Arial 10 pt"/>
    <w:basedOn w:val="Normal"/>
    <w:link w:val="StyleArial10ptChar"/>
    <w:rsid w:val="00164B0D"/>
    <w:pPr>
      <w:ind w:firstLineChars="100" w:firstLine="200"/>
    </w:pPr>
    <w:rPr>
      <w:rFonts w:ascii="Arial" w:hAnsi="Arial"/>
      <w:sz w:val="20"/>
      <w:szCs w:val="20"/>
    </w:rPr>
  </w:style>
  <w:style w:type="paragraph" w:customStyle="1" w:styleId="Styletexte">
    <w:name w:val="Style texte"/>
    <w:basedOn w:val="Normal"/>
    <w:link w:val="StyletexteChar"/>
    <w:rsid w:val="00C404E4"/>
    <w:pPr>
      <w:spacing w:after="120"/>
      <w:jc w:val="both"/>
    </w:pPr>
    <w:rPr>
      <w:rFonts w:ascii="Arial" w:hAnsi="Arial"/>
      <w:sz w:val="22"/>
      <w:szCs w:val="20"/>
    </w:rPr>
  </w:style>
  <w:style w:type="paragraph" w:customStyle="1" w:styleId="Style3">
    <w:name w:val="Style3"/>
    <w:basedOn w:val="Styletexte"/>
    <w:link w:val="Style3Char"/>
    <w:rsid w:val="00CA409B"/>
  </w:style>
  <w:style w:type="paragraph" w:customStyle="1" w:styleId="Style3Bold">
    <w:name w:val="Style3 + Bold"/>
    <w:basedOn w:val="Style3"/>
    <w:rsid w:val="009442BA"/>
    <w:rPr>
      <w:b/>
      <w:bCs/>
    </w:rPr>
  </w:style>
  <w:style w:type="character" w:customStyle="1" w:styleId="StyletexteChar">
    <w:name w:val="Style texte Char"/>
    <w:link w:val="Styletexte"/>
    <w:rsid w:val="009442BA"/>
    <w:rPr>
      <w:rFonts w:ascii="Arial" w:hAnsi="Arial"/>
      <w:sz w:val="22"/>
      <w:lang w:val="en-US" w:eastAsia="en-US" w:bidi="ar-SA"/>
    </w:rPr>
  </w:style>
  <w:style w:type="character" w:customStyle="1" w:styleId="Style3Char">
    <w:name w:val="Style3 Char"/>
    <w:basedOn w:val="StyletexteChar"/>
    <w:link w:val="Style3"/>
    <w:rsid w:val="009442BA"/>
    <w:rPr>
      <w:rFonts w:ascii="Arial" w:hAnsi="Arial"/>
      <w:sz w:val="22"/>
      <w:lang w:val="en-US" w:eastAsia="en-US" w:bidi="ar-SA"/>
    </w:rPr>
  </w:style>
  <w:style w:type="paragraph" w:customStyle="1" w:styleId="STYLETITRENOTES">
    <w:name w:val="STYLE TITRE NOTES"/>
    <w:basedOn w:val="Style2"/>
    <w:rsid w:val="00797AED"/>
    <w:pPr>
      <w:jc w:val="both"/>
    </w:pPr>
    <w:rPr>
      <w:rFonts w:cs="Times New Roman"/>
      <w:bCs/>
      <w:color w:val="auto"/>
    </w:rPr>
  </w:style>
  <w:style w:type="paragraph" w:customStyle="1" w:styleId="TITOLI1">
    <w:name w:val="TITOLI1"/>
    <w:basedOn w:val="Normal"/>
    <w:rsid w:val="00562F56"/>
    <w:pPr>
      <w:keepNext/>
      <w:keepLines/>
      <w:pBdr>
        <w:top w:val="single" w:sz="48" w:space="16" w:color="8C9EBA"/>
      </w:pBdr>
      <w:overflowPunct w:val="0"/>
      <w:autoSpaceDE w:val="0"/>
      <w:autoSpaceDN w:val="0"/>
      <w:adjustRightInd w:val="0"/>
      <w:spacing w:before="180" w:after="120" w:line="264" w:lineRule="auto"/>
      <w:ind w:left="567" w:hanging="567"/>
      <w:jc w:val="both"/>
      <w:textAlignment w:val="baseline"/>
      <w:outlineLvl w:val="1"/>
    </w:pPr>
    <w:rPr>
      <w:rFonts w:ascii="BL Frutiger Black" w:hAnsi="BL Frutiger Black"/>
      <w:b/>
      <w:sz w:val="30"/>
      <w:szCs w:val="20"/>
      <w:lang w:val="en-GB" w:eastAsia="en-GB"/>
    </w:rPr>
  </w:style>
  <w:style w:type="paragraph" w:customStyle="1" w:styleId="STYLE10">
    <w:name w:val="STYLE 1"/>
    <w:basedOn w:val="Heading1"/>
    <w:next w:val="Heading1"/>
    <w:link w:val="STYLE1Char0"/>
    <w:rsid w:val="00E1681D"/>
    <w:pPr>
      <w:tabs>
        <w:tab w:val="left" w:pos="0"/>
      </w:tabs>
      <w:spacing w:before="120" w:after="0"/>
      <w:ind w:left="0"/>
      <w:jc w:val="center"/>
    </w:pPr>
    <w:rPr>
      <w:rFonts w:ascii="Arial" w:hAnsi="Arial" w:cs="Arial"/>
      <w:b w:val="0"/>
      <w:sz w:val="36"/>
      <w:szCs w:val="36"/>
    </w:rPr>
  </w:style>
  <w:style w:type="paragraph" w:styleId="TOC1">
    <w:name w:val="toc 1"/>
    <w:basedOn w:val="Normal"/>
    <w:next w:val="Normal"/>
    <w:autoRedefine/>
    <w:semiHidden/>
    <w:rsid w:val="00866B94"/>
    <w:pPr>
      <w:framePr w:wrap="around" w:vAnchor="text" w:hAnchor="text" w:y="1"/>
      <w:numPr>
        <w:numId w:val="24"/>
      </w:numPr>
      <w:tabs>
        <w:tab w:val="right" w:leader="dot" w:pos="9403"/>
      </w:tabs>
      <w:spacing w:line="480" w:lineRule="auto"/>
    </w:pPr>
    <w:rPr>
      <w:rFonts w:ascii="Arial" w:hAnsi="Arial" w:cs="Arial"/>
      <w:noProof/>
    </w:rPr>
  </w:style>
  <w:style w:type="paragraph" w:styleId="TOC2">
    <w:name w:val="toc 2"/>
    <w:basedOn w:val="Normal"/>
    <w:next w:val="Normal"/>
    <w:autoRedefine/>
    <w:semiHidden/>
    <w:rsid w:val="00E1681D"/>
    <w:pPr>
      <w:tabs>
        <w:tab w:val="right" w:leader="dot" w:pos="9403"/>
      </w:tabs>
    </w:pPr>
  </w:style>
  <w:style w:type="paragraph" w:customStyle="1" w:styleId="HEADING10">
    <w:name w:val="HEADING1"/>
    <w:basedOn w:val="Heading1"/>
    <w:next w:val="Heading1"/>
    <w:link w:val="HEADING1Char0"/>
    <w:rsid w:val="00DD7624"/>
    <w:rPr>
      <w:b w:val="0"/>
      <w:bCs/>
      <w:color w:val="auto"/>
    </w:rPr>
  </w:style>
  <w:style w:type="paragraph" w:customStyle="1" w:styleId="STYLE1LASTONE">
    <w:name w:val="STYLE 1 LAST ONE"/>
    <w:basedOn w:val="HEADING10"/>
    <w:next w:val="HEADING10"/>
    <w:link w:val="STYLE1LASTONEChar"/>
    <w:rsid w:val="00283751"/>
    <w:pPr>
      <w:jc w:val="center"/>
    </w:pPr>
    <w:rPr>
      <w:rFonts w:ascii="Arial" w:hAnsi="Arial"/>
      <w:b/>
      <w:sz w:val="28"/>
      <w:szCs w:val="28"/>
    </w:rPr>
  </w:style>
  <w:style w:type="paragraph" w:customStyle="1" w:styleId="StyleHeading1">
    <w:name w:val="Style Heading 1"/>
    <w:aliases w:val="Level 1 + Arial Auto Centered Left:  0 cm First..."/>
    <w:rsid w:val="00DD7624"/>
    <w:pPr>
      <w:jc w:val="center"/>
    </w:pPr>
    <w:rPr>
      <w:rFonts w:ascii="Arial" w:hAnsi="Arial"/>
      <w:b/>
      <w:bCs/>
      <w:kern w:val="40"/>
      <w:sz w:val="72"/>
      <w:lang w:val="fr-FR"/>
    </w:rPr>
  </w:style>
  <w:style w:type="paragraph" w:customStyle="1" w:styleId="STYLE2LASTONE">
    <w:name w:val="STYLE 2 LAST ONE"/>
    <w:basedOn w:val="STYLE1LASTONE"/>
    <w:link w:val="STYLE2LASTONEChar"/>
    <w:rsid w:val="00492CA5"/>
    <w:pPr>
      <w:spacing w:after="0"/>
      <w:jc w:val="left"/>
    </w:pPr>
    <w:rPr>
      <w:color w:val="FFFFFF"/>
      <w:sz w:val="16"/>
    </w:rPr>
  </w:style>
  <w:style w:type="paragraph" w:customStyle="1" w:styleId="STYLEDUTEXTE">
    <w:name w:val="STYLE DU TEXTE"/>
    <w:basedOn w:val="Styletexte"/>
    <w:link w:val="STYLEDUTEXTEChar"/>
    <w:rsid w:val="00BB447D"/>
    <w:pPr>
      <w:spacing w:after="0"/>
    </w:pPr>
  </w:style>
  <w:style w:type="character" w:customStyle="1" w:styleId="Heading1Char">
    <w:name w:val="Heading 1 Char"/>
    <w:aliases w:val="Level 1 Char"/>
    <w:link w:val="Heading1"/>
    <w:rsid w:val="005A588B"/>
    <w:rPr>
      <w:rFonts w:ascii="Times New Roman Bold" w:hAnsi="Times New Roman Bold"/>
      <w:b/>
      <w:color w:val="FF0000"/>
      <w:kern w:val="40"/>
      <w:sz w:val="72"/>
      <w:szCs w:val="24"/>
      <w:lang w:val="fr-FR" w:eastAsia="en-US" w:bidi="ar-SA"/>
    </w:rPr>
  </w:style>
  <w:style w:type="character" w:customStyle="1" w:styleId="HEADING1Char0">
    <w:name w:val="HEADING1 Char"/>
    <w:link w:val="HEADING10"/>
    <w:rsid w:val="005A588B"/>
    <w:rPr>
      <w:rFonts w:ascii="Times New Roman Bold" w:hAnsi="Times New Roman Bold"/>
      <w:b/>
      <w:bCs/>
      <w:color w:val="FF0000"/>
      <w:kern w:val="40"/>
      <w:sz w:val="72"/>
      <w:szCs w:val="24"/>
      <w:lang w:val="fr-FR" w:eastAsia="en-US" w:bidi="ar-SA"/>
    </w:rPr>
  </w:style>
  <w:style w:type="character" w:customStyle="1" w:styleId="STYLE1LASTONEChar">
    <w:name w:val="STYLE 1 LAST ONE Char"/>
    <w:link w:val="STYLE1LASTONE"/>
    <w:rsid w:val="005A588B"/>
    <w:rPr>
      <w:rFonts w:ascii="Arial" w:hAnsi="Arial"/>
      <w:b/>
      <w:bCs/>
      <w:color w:val="FF0000"/>
      <w:kern w:val="40"/>
      <w:sz w:val="28"/>
      <w:szCs w:val="28"/>
      <w:lang w:val="fr-FR" w:eastAsia="en-US" w:bidi="ar-SA"/>
    </w:rPr>
  </w:style>
  <w:style w:type="paragraph" w:styleId="DocumentMap">
    <w:name w:val="Document Map"/>
    <w:basedOn w:val="Normal"/>
    <w:semiHidden/>
    <w:rsid w:val="0011457E"/>
    <w:pPr>
      <w:shd w:val="clear" w:color="auto" w:fill="000080"/>
    </w:pPr>
    <w:rPr>
      <w:rFonts w:ascii="Tahoma" w:hAnsi="Tahoma" w:cs="Tahoma"/>
      <w:sz w:val="20"/>
      <w:szCs w:val="20"/>
    </w:rPr>
  </w:style>
  <w:style w:type="paragraph" w:customStyle="1" w:styleId="StyleSTYLE1LASTONEWhite">
    <w:name w:val="Style STYLE 1 LAST ONE + White"/>
    <w:basedOn w:val="STYLE1LASTONE"/>
    <w:link w:val="StyleSTYLE1LASTONEWhiteChar"/>
    <w:rsid w:val="001F6D3D"/>
    <w:rPr>
      <w:color w:val="FFFFFF"/>
    </w:rPr>
  </w:style>
  <w:style w:type="character" w:customStyle="1" w:styleId="StyleSTYLE1LASTONEWhiteChar">
    <w:name w:val="Style STYLE 1 LAST ONE + White Char"/>
    <w:link w:val="StyleSTYLE1LASTONEWhite"/>
    <w:rsid w:val="001F6D3D"/>
    <w:rPr>
      <w:rFonts w:ascii="Arial" w:hAnsi="Arial"/>
      <w:b/>
      <w:bCs/>
      <w:color w:val="FFFFFF"/>
      <w:kern w:val="40"/>
      <w:sz w:val="28"/>
      <w:szCs w:val="28"/>
      <w:lang w:val="fr-FR" w:eastAsia="en-US" w:bidi="ar-SA"/>
    </w:rPr>
  </w:style>
  <w:style w:type="character" w:customStyle="1" w:styleId="STYLE1Char0">
    <w:name w:val="STYLE 1 Char"/>
    <w:link w:val="STYLE10"/>
    <w:rsid w:val="00864BFA"/>
    <w:rPr>
      <w:rFonts w:ascii="Arial" w:hAnsi="Arial" w:cs="Arial"/>
      <w:b/>
      <w:color w:val="FF0000"/>
      <w:kern w:val="40"/>
      <w:sz w:val="36"/>
      <w:szCs w:val="36"/>
      <w:lang w:val="fr-FR" w:eastAsia="en-US" w:bidi="ar-SA"/>
    </w:rPr>
  </w:style>
  <w:style w:type="character" w:customStyle="1" w:styleId="STYLEDUTEXTEChar">
    <w:name w:val="STYLE DU TEXTE Char"/>
    <w:basedOn w:val="StyletexteChar"/>
    <w:link w:val="STYLEDUTEXTE"/>
    <w:rsid w:val="00864BFA"/>
    <w:rPr>
      <w:rFonts w:ascii="Arial" w:hAnsi="Arial"/>
      <w:sz w:val="22"/>
      <w:lang w:val="en-US" w:eastAsia="en-US" w:bidi="ar-SA"/>
    </w:rPr>
  </w:style>
  <w:style w:type="character" w:customStyle="1" w:styleId="STYLE2LASTONEChar">
    <w:name w:val="STYLE 2 LAST ONE Char"/>
    <w:link w:val="STYLE2LASTONE"/>
    <w:rsid w:val="00492CA5"/>
    <w:rPr>
      <w:rFonts w:ascii="Arial" w:hAnsi="Arial"/>
      <w:b/>
      <w:bCs/>
      <w:color w:val="FFFFFF"/>
      <w:kern w:val="40"/>
      <w:sz w:val="16"/>
      <w:szCs w:val="28"/>
      <w:lang w:val="fr-FR" w:eastAsia="en-US" w:bidi="ar-SA"/>
    </w:rPr>
  </w:style>
  <w:style w:type="paragraph" w:customStyle="1" w:styleId="style30">
    <w:name w:val="style3"/>
    <w:basedOn w:val="Normal"/>
    <w:rsid w:val="004337B7"/>
    <w:pPr>
      <w:spacing w:after="120"/>
      <w:jc w:val="both"/>
    </w:pPr>
    <w:rPr>
      <w:rFonts w:ascii="Arial" w:hAnsi="Arial" w:cs="Arial"/>
      <w:sz w:val="22"/>
      <w:szCs w:val="22"/>
    </w:rPr>
  </w:style>
  <w:style w:type="character" w:customStyle="1" w:styleId="StyleArial10ptChar">
    <w:name w:val="Style Arial 10 pt Char"/>
    <w:link w:val="StyleArial10pt"/>
    <w:rsid w:val="00645F4F"/>
    <w:rPr>
      <w:rFonts w:ascii="Arial" w:hAnsi="Arial"/>
      <w:lang w:val="en-US" w:eastAsia="en-US" w:bidi="ar-SA"/>
    </w:rPr>
  </w:style>
  <w:style w:type="character" w:styleId="CommentReference">
    <w:name w:val="annotation reference"/>
    <w:semiHidden/>
    <w:rsid w:val="00EE6B56"/>
    <w:rPr>
      <w:sz w:val="16"/>
      <w:szCs w:val="16"/>
    </w:rPr>
  </w:style>
  <w:style w:type="paragraph" w:styleId="CommentText">
    <w:name w:val="annotation text"/>
    <w:basedOn w:val="Normal"/>
    <w:semiHidden/>
    <w:rsid w:val="00EE6B56"/>
    <w:rPr>
      <w:sz w:val="20"/>
      <w:szCs w:val="20"/>
    </w:rPr>
  </w:style>
  <w:style w:type="paragraph" w:styleId="CommentSubject">
    <w:name w:val="annotation subject"/>
    <w:basedOn w:val="CommentText"/>
    <w:next w:val="CommentText"/>
    <w:semiHidden/>
    <w:rsid w:val="00EE6B56"/>
    <w:rPr>
      <w:b/>
      <w:bCs/>
    </w:rPr>
  </w:style>
  <w:style w:type="paragraph" w:customStyle="1" w:styleId="StyleSTYLE2LASTONE10ptNotBoldAuto">
    <w:name w:val="Style STYLE 2 LAST ONE + 10 pt Not Bold Auto"/>
    <w:basedOn w:val="Normal"/>
    <w:rsid w:val="006E3D34"/>
    <w:pPr>
      <w:jc w:val="center"/>
    </w:pPr>
    <w:rPr>
      <w:rFonts w:ascii="Arial" w:hAnsi="Arial"/>
      <w:b/>
      <w:bCs/>
    </w:rPr>
  </w:style>
  <w:style w:type="paragraph" w:customStyle="1" w:styleId="Endofdocument-Annex">
    <w:name w:val="[End of document - Annex]"/>
    <w:basedOn w:val="Normal"/>
    <w:rsid w:val="00D256FA"/>
    <w:pPr>
      <w:ind w:left="5534"/>
    </w:pPr>
    <w:rPr>
      <w:rFonts w:ascii="Arial" w:eastAsia="SimSun" w:hAnsi="Arial" w:cs="Arial"/>
      <w:sz w:val="22"/>
      <w:szCs w:val="20"/>
      <w:lang w:eastAsia="zh-CN"/>
    </w:rPr>
  </w:style>
  <w:style w:type="paragraph" w:customStyle="1" w:styleId="ONUME">
    <w:name w:val="ONUM E"/>
    <w:basedOn w:val="BodyText"/>
    <w:rsid w:val="00D256FA"/>
    <w:pPr>
      <w:numPr>
        <w:numId w:val="26"/>
      </w:numPr>
      <w:spacing w:after="220"/>
    </w:pPr>
    <w:rPr>
      <w:rFonts w:eastAsia="SimSun"/>
      <w:sz w:val="22"/>
      <w:szCs w:val="20"/>
      <w:lang w:val="en-US" w:eastAsia="zh-CN"/>
    </w:rPr>
  </w:style>
  <w:style w:type="paragraph" w:styleId="TOC3">
    <w:name w:val="toc 3"/>
    <w:basedOn w:val="Normal"/>
    <w:next w:val="Normal"/>
    <w:autoRedefine/>
    <w:semiHidden/>
    <w:rsid w:val="003928E9"/>
    <w:pPr>
      <w:ind w:left="480"/>
    </w:pPr>
  </w:style>
  <w:style w:type="paragraph" w:customStyle="1" w:styleId="StyleHeading211ptNotBoldNotItalicAllcaps">
    <w:name w:val="Style Heading 2 + 11 pt Not Bold Not Italic All caps"/>
    <w:basedOn w:val="Heading2"/>
    <w:rsid w:val="00203C93"/>
    <w:rPr>
      <w:bCs w:val="0"/>
      <w:i w:val="0"/>
      <w:iCs w:val="0"/>
      <w:caps/>
      <w:sz w:val="22"/>
    </w:rPr>
  </w:style>
  <w:style w:type="character" w:customStyle="1" w:styleId="EmailStyle67">
    <w:name w:val="EmailStyle67"/>
    <w:semiHidden/>
    <w:rsid w:val="00513F6A"/>
    <w:rPr>
      <w:rFonts w:ascii="Arial" w:hAnsi="Arial" w:cs="Arial"/>
      <w:color w:val="000080"/>
      <w:sz w:val="20"/>
      <w:szCs w:val="20"/>
    </w:rPr>
  </w:style>
  <w:style w:type="paragraph" w:styleId="FootnoteText">
    <w:name w:val="footnote text"/>
    <w:basedOn w:val="Normal"/>
    <w:semiHidden/>
    <w:rsid w:val="00197E20"/>
    <w:rPr>
      <w:rFonts w:ascii="Arial" w:hAnsi="Arial" w:cs="Arial"/>
      <w:sz w:val="18"/>
      <w:szCs w:val="20"/>
    </w:rPr>
  </w:style>
  <w:style w:type="character" w:styleId="FootnoteReference">
    <w:name w:val="footnote reference"/>
    <w:semiHidden/>
    <w:rsid w:val="00197E20"/>
    <w:rPr>
      <w:vertAlign w:val="superscript"/>
    </w:rPr>
  </w:style>
  <w:style w:type="paragraph" w:styleId="ListParagraph">
    <w:name w:val="List Paragraph"/>
    <w:basedOn w:val="Normal"/>
    <w:uiPriority w:val="34"/>
    <w:qFormat/>
    <w:rsid w:val="00AD22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4B1A"/>
    <w:rPr>
      <w:sz w:val="24"/>
      <w:szCs w:val="24"/>
    </w:rPr>
  </w:style>
  <w:style w:type="paragraph" w:styleId="Heading1">
    <w:name w:val="heading 1"/>
    <w:aliases w:val="Level 1"/>
    <w:basedOn w:val="Normal"/>
    <w:next w:val="Normal"/>
    <w:link w:val="Heading1Char"/>
    <w:qFormat/>
    <w:rsid w:val="00D245E9"/>
    <w:pPr>
      <w:spacing w:after="360"/>
      <w:ind w:left="284" w:hanging="284"/>
      <w:jc w:val="right"/>
      <w:outlineLvl w:val="0"/>
    </w:pPr>
    <w:rPr>
      <w:rFonts w:ascii="Times New Roman Bold" w:hAnsi="Times New Roman Bold"/>
      <w:b/>
      <w:color w:val="FF0000"/>
      <w:kern w:val="40"/>
      <w:sz w:val="72"/>
      <w:lang w:val="fr-FR"/>
    </w:rPr>
  </w:style>
  <w:style w:type="paragraph" w:styleId="Heading2">
    <w:name w:val="heading 2"/>
    <w:basedOn w:val="Normal"/>
    <w:next w:val="Normal"/>
    <w:qFormat/>
    <w:rsid w:val="004056A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056A9"/>
    <w:pPr>
      <w:keepNext/>
      <w:spacing w:before="240" w:after="60"/>
      <w:outlineLvl w:val="2"/>
    </w:pPr>
    <w:rPr>
      <w:rFonts w:ascii="Arial" w:hAnsi="Arial" w:cs="Arial"/>
      <w:b/>
      <w:bCs/>
      <w:sz w:val="26"/>
      <w:szCs w:val="26"/>
    </w:rPr>
  </w:style>
  <w:style w:type="paragraph" w:styleId="Heading4">
    <w:name w:val="heading 4"/>
    <w:basedOn w:val="Normal"/>
    <w:next w:val="Normal"/>
    <w:qFormat/>
    <w:rsid w:val="004056A9"/>
    <w:pPr>
      <w:keepNext/>
      <w:spacing w:before="240" w:after="60"/>
      <w:outlineLvl w:val="3"/>
    </w:pPr>
    <w:rPr>
      <w:b/>
      <w:bCs/>
      <w:sz w:val="28"/>
      <w:szCs w:val="28"/>
    </w:rPr>
  </w:style>
  <w:style w:type="paragraph" w:styleId="Heading5">
    <w:name w:val="heading 5"/>
    <w:basedOn w:val="Normal"/>
    <w:next w:val="Normal"/>
    <w:qFormat/>
    <w:rsid w:val="004056A9"/>
    <w:pPr>
      <w:spacing w:before="240" w:after="60"/>
      <w:outlineLvl w:val="4"/>
    </w:pPr>
    <w:rPr>
      <w:b/>
      <w:bCs/>
      <w:i/>
      <w:iCs/>
      <w:sz w:val="26"/>
      <w:szCs w:val="26"/>
    </w:rPr>
  </w:style>
  <w:style w:type="paragraph" w:styleId="Heading6">
    <w:name w:val="heading 6"/>
    <w:basedOn w:val="Normal"/>
    <w:next w:val="Normal"/>
    <w:qFormat/>
    <w:rsid w:val="004056A9"/>
    <w:pPr>
      <w:spacing w:before="240" w:after="60"/>
      <w:outlineLvl w:val="5"/>
    </w:pPr>
    <w:rPr>
      <w:b/>
      <w:bCs/>
      <w:sz w:val="22"/>
      <w:szCs w:val="22"/>
    </w:rPr>
  </w:style>
  <w:style w:type="paragraph" w:styleId="Heading7">
    <w:name w:val="heading 7"/>
    <w:basedOn w:val="Normal"/>
    <w:next w:val="Normal"/>
    <w:qFormat/>
    <w:rsid w:val="004056A9"/>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032E"/>
    <w:rPr>
      <w:color w:val="000099"/>
      <w:u w:val="single"/>
    </w:rPr>
  </w:style>
  <w:style w:type="paragraph" w:styleId="NormalWeb">
    <w:name w:val="Normal (Web)"/>
    <w:basedOn w:val="Normal"/>
    <w:rsid w:val="00E5032E"/>
    <w:pPr>
      <w:spacing w:before="100" w:beforeAutospacing="1" w:after="100" w:afterAutospacing="1"/>
    </w:pPr>
    <w:rPr>
      <w:rFonts w:ascii="Arial" w:hAnsi="Arial" w:cs="Arial"/>
      <w:sz w:val="18"/>
      <w:szCs w:val="18"/>
    </w:rPr>
  </w:style>
  <w:style w:type="character" w:styleId="Emphasis">
    <w:name w:val="Emphasis"/>
    <w:qFormat/>
    <w:rsid w:val="00E5032E"/>
    <w:rPr>
      <w:i/>
      <w:iCs/>
    </w:rPr>
  </w:style>
  <w:style w:type="character" w:styleId="Strong">
    <w:name w:val="Strong"/>
    <w:qFormat/>
    <w:rsid w:val="00E5032E"/>
    <w:rPr>
      <w:b/>
      <w:bCs/>
    </w:rPr>
  </w:style>
  <w:style w:type="paragraph" w:styleId="Footer">
    <w:name w:val="footer"/>
    <w:basedOn w:val="Normal"/>
    <w:rsid w:val="005E4AAC"/>
    <w:pPr>
      <w:tabs>
        <w:tab w:val="center" w:pos="4320"/>
        <w:tab w:val="right" w:pos="8640"/>
      </w:tabs>
    </w:pPr>
  </w:style>
  <w:style w:type="character" w:styleId="PageNumber">
    <w:name w:val="page number"/>
    <w:basedOn w:val="DefaultParagraphFont"/>
    <w:rsid w:val="005E4AAC"/>
  </w:style>
  <w:style w:type="table" w:styleId="TableGrid">
    <w:name w:val="Table Grid"/>
    <w:basedOn w:val="TableNormal"/>
    <w:rsid w:val="00F33D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3E86"/>
    <w:pPr>
      <w:autoSpaceDE w:val="0"/>
      <w:autoSpaceDN w:val="0"/>
      <w:adjustRightInd w:val="0"/>
    </w:pPr>
    <w:rPr>
      <w:color w:val="000000"/>
      <w:sz w:val="24"/>
      <w:szCs w:val="24"/>
    </w:rPr>
  </w:style>
  <w:style w:type="paragraph" w:styleId="BalloonText">
    <w:name w:val="Balloon Text"/>
    <w:basedOn w:val="Normal"/>
    <w:semiHidden/>
    <w:rsid w:val="00533E1C"/>
    <w:rPr>
      <w:rFonts w:ascii="Tahoma" w:hAnsi="Tahoma" w:cs="Tahoma"/>
      <w:sz w:val="16"/>
      <w:szCs w:val="16"/>
    </w:rPr>
  </w:style>
  <w:style w:type="paragraph" w:styleId="BodyText">
    <w:name w:val="Body Text"/>
    <w:basedOn w:val="Normal"/>
    <w:rsid w:val="00A43D7E"/>
    <w:rPr>
      <w:rFonts w:ascii="Arial" w:hAnsi="Arial" w:cs="Arial"/>
      <w:sz w:val="20"/>
      <w:lang w:val="en-GB"/>
    </w:rPr>
  </w:style>
  <w:style w:type="character" w:customStyle="1" w:styleId="Gotthainer">
    <w:name w:val="Gotthainer"/>
    <w:semiHidden/>
    <w:rsid w:val="00EC60DE"/>
    <w:rPr>
      <w:rFonts w:ascii="Arial" w:hAnsi="Arial" w:cs="Arial"/>
      <w:color w:val="auto"/>
      <w:sz w:val="20"/>
      <w:szCs w:val="20"/>
    </w:rPr>
  </w:style>
  <w:style w:type="paragraph" w:styleId="Header">
    <w:name w:val="header"/>
    <w:basedOn w:val="Normal"/>
    <w:rsid w:val="006F63E7"/>
    <w:pPr>
      <w:tabs>
        <w:tab w:val="center" w:pos="4320"/>
        <w:tab w:val="right" w:pos="8640"/>
      </w:tabs>
    </w:pPr>
  </w:style>
  <w:style w:type="paragraph" w:styleId="BodyTextIndent">
    <w:name w:val="Body Text Indent"/>
    <w:basedOn w:val="Normal"/>
    <w:rsid w:val="00F731FB"/>
    <w:pPr>
      <w:spacing w:after="120"/>
      <w:ind w:left="283"/>
    </w:pPr>
  </w:style>
  <w:style w:type="paragraph" w:customStyle="1" w:styleId="StyleH2-S16pt">
    <w:name w:val="Style H2-S + 16 pt"/>
    <w:basedOn w:val="Normal"/>
    <w:autoRedefine/>
    <w:rsid w:val="00DD488D"/>
    <w:pPr>
      <w:keepNext/>
      <w:tabs>
        <w:tab w:val="left" w:pos="0"/>
      </w:tabs>
      <w:spacing w:before="120" w:after="120"/>
      <w:jc w:val="center"/>
      <w:outlineLvl w:val="1"/>
    </w:pPr>
    <w:rPr>
      <w:rFonts w:ascii="Arial" w:hAnsi="Arial" w:cs="Arial"/>
      <w:b/>
      <w:bCs/>
      <w:smallCaps/>
      <w:sz w:val="32"/>
      <w:szCs w:val="30"/>
      <w:lang w:val="en-GB"/>
    </w:rPr>
  </w:style>
  <w:style w:type="paragraph" w:customStyle="1" w:styleId="Style1">
    <w:name w:val="Style1"/>
    <w:basedOn w:val="Normal"/>
    <w:link w:val="Style1Char"/>
    <w:rsid w:val="005B550D"/>
    <w:pPr>
      <w:tabs>
        <w:tab w:val="left" w:pos="8640"/>
      </w:tabs>
    </w:pPr>
    <w:rPr>
      <w:rFonts w:ascii="Arial" w:hAnsi="Arial" w:cs="Arial"/>
      <w:b/>
      <w:color w:val="333399"/>
      <w:sz w:val="52"/>
      <w:szCs w:val="52"/>
    </w:rPr>
  </w:style>
  <w:style w:type="character" w:customStyle="1" w:styleId="Style1Char">
    <w:name w:val="Style1 Char"/>
    <w:link w:val="Style1"/>
    <w:rsid w:val="005B550D"/>
    <w:rPr>
      <w:rFonts w:ascii="Arial" w:hAnsi="Arial" w:cs="Arial"/>
      <w:b/>
      <w:color w:val="333399"/>
      <w:sz w:val="52"/>
      <w:szCs w:val="52"/>
      <w:lang w:val="en-US" w:eastAsia="en-US" w:bidi="ar-SA"/>
    </w:rPr>
  </w:style>
  <w:style w:type="paragraph" w:customStyle="1" w:styleId="Style2">
    <w:name w:val="Style2"/>
    <w:basedOn w:val="Normal"/>
    <w:rsid w:val="00164B0D"/>
    <w:rPr>
      <w:rFonts w:ascii="Arial" w:hAnsi="Arial" w:cs="Arial"/>
      <w:b/>
      <w:smallCaps/>
      <w:color w:val="0000FF"/>
      <w:sz w:val="22"/>
      <w:szCs w:val="20"/>
    </w:rPr>
  </w:style>
  <w:style w:type="paragraph" w:customStyle="1" w:styleId="StyleArial10pt">
    <w:name w:val="Style Arial 10 pt"/>
    <w:basedOn w:val="Normal"/>
    <w:link w:val="StyleArial10ptChar"/>
    <w:rsid w:val="00164B0D"/>
    <w:pPr>
      <w:ind w:firstLineChars="100" w:firstLine="200"/>
    </w:pPr>
    <w:rPr>
      <w:rFonts w:ascii="Arial" w:hAnsi="Arial"/>
      <w:sz w:val="20"/>
      <w:szCs w:val="20"/>
    </w:rPr>
  </w:style>
  <w:style w:type="paragraph" w:customStyle="1" w:styleId="Styletexte">
    <w:name w:val="Style texte"/>
    <w:basedOn w:val="Normal"/>
    <w:link w:val="StyletexteChar"/>
    <w:rsid w:val="00C404E4"/>
    <w:pPr>
      <w:spacing w:after="120"/>
      <w:jc w:val="both"/>
    </w:pPr>
    <w:rPr>
      <w:rFonts w:ascii="Arial" w:hAnsi="Arial"/>
      <w:sz w:val="22"/>
      <w:szCs w:val="20"/>
    </w:rPr>
  </w:style>
  <w:style w:type="paragraph" w:customStyle="1" w:styleId="Style3">
    <w:name w:val="Style3"/>
    <w:basedOn w:val="Styletexte"/>
    <w:link w:val="Style3Char"/>
    <w:rsid w:val="00CA409B"/>
  </w:style>
  <w:style w:type="paragraph" w:customStyle="1" w:styleId="Style3Bold">
    <w:name w:val="Style3 + Bold"/>
    <w:basedOn w:val="Style3"/>
    <w:rsid w:val="009442BA"/>
    <w:rPr>
      <w:b/>
      <w:bCs/>
    </w:rPr>
  </w:style>
  <w:style w:type="character" w:customStyle="1" w:styleId="StyletexteChar">
    <w:name w:val="Style texte Char"/>
    <w:link w:val="Styletexte"/>
    <w:rsid w:val="009442BA"/>
    <w:rPr>
      <w:rFonts w:ascii="Arial" w:hAnsi="Arial"/>
      <w:sz w:val="22"/>
      <w:lang w:val="en-US" w:eastAsia="en-US" w:bidi="ar-SA"/>
    </w:rPr>
  </w:style>
  <w:style w:type="character" w:customStyle="1" w:styleId="Style3Char">
    <w:name w:val="Style3 Char"/>
    <w:basedOn w:val="StyletexteChar"/>
    <w:link w:val="Style3"/>
    <w:rsid w:val="009442BA"/>
    <w:rPr>
      <w:rFonts w:ascii="Arial" w:hAnsi="Arial"/>
      <w:sz w:val="22"/>
      <w:lang w:val="en-US" w:eastAsia="en-US" w:bidi="ar-SA"/>
    </w:rPr>
  </w:style>
  <w:style w:type="paragraph" w:customStyle="1" w:styleId="STYLETITRENOTES">
    <w:name w:val="STYLE TITRE NOTES"/>
    <w:basedOn w:val="Style2"/>
    <w:rsid w:val="00797AED"/>
    <w:pPr>
      <w:jc w:val="both"/>
    </w:pPr>
    <w:rPr>
      <w:rFonts w:cs="Times New Roman"/>
      <w:bCs/>
      <w:color w:val="auto"/>
    </w:rPr>
  </w:style>
  <w:style w:type="paragraph" w:customStyle="1" w:styleId="TITOLI1">
    <w:name w:val="TITOLI1"/>
    <w:basedOn w:val="Normal"/>
    <w:rsid w:val="00562F56"/>
    <w:pPr>
      <w:keepNext/>
      <w:keepLines/>
      <w:pBdr>
        <w:top w:val="single" w:sz="48" w:space="16" w:color="8C9EBA"/>
      </w:pBdr>
      <w:overflowPunct w:val="0"/>
      <w:autoSpaceDE w:val="0"/>
      <w:autoSpaceDN w:val="0"/>
      <w:adjustRightInd w:val="0"/>
      <w:spacing w:before="180" w:after="120" w:line="264" w:lineRule="auto"/>
      <w:ind w:left="567" w:hanging="567"/>
      <w:jc w:val="both"/>
      <w:textAlignment w:val="baseline"/>
      <w:outlineLvl w:val="1"/>
    </w:pPr>
    <w:rPr>
      <w:rFonts w:ascii="BL Frutiger Black" w:hAnsi="BL Frutiger Black"/>
      <w:b/>
      <w:sz w:val="30"/>
      <w:szCs w:val="20"/>
      <w:lang w:val="en-GB" w:eastAsia="en-GB"/>
    </w:rPr>
  </w:style>
  <w:style w:type="paragraph" w:customStyle="1" w:styleId="STYLE10">
    <w:name w:val="STYLE 1"/>
    <w:basedOn w:val="Heading1"/>
    <w:next w:val="Heading1"/>
    <w:link w:val="STYLE1Char0"/>
    <w:rsid w:val="00E1681D"/>
    <w:pPr>
      <w:tabs>
        <w:tab w:val="left" w:pos="0"/>
      </w:tabs>
      <w:spacing w:before="120" w:after="0"/>
      <w:ind w:left="0"/>
      <w:jc w:val="center"/>
    </w:pPr>
    <w:rPr>
      <w:rFonts w:ascii="Arial" w:hAnsi="Arial" w:cs="Arial"/>
      <w:b w:val="0"/>
      <w:sz w:val="36"/>
      <w:szCs w:val="36"/>
    </w:rPr>
  </w:style>
  <w:style w:type="paragraph" w:styleId="TOC1">
    <w:name w:val="toc 1"/>
    <w:basedOn w:val="Normal"/>
    <w:next w:val="Normal"/>
    <w:autoRedefine/>
    <w:semiHidden/>
    <w:rsid w:val="00866B94"/>
    <w:pPr>
      <w:framePr w:wrap="around" w:vAnchor="text" w:hAnchor="text" w:y="1"/>
      <w:numPr>
        <w:numId w:val="24"/>
      </w:numPr>
      <w:tabs>
        <w:tab w:val="right" w:leader="dot" w:pos="9403"/>
      </w:tabs>
      <w:spacing w:line="480" w:lineRule="auto"/>
    </w:pPr>
    <w:rPr>
      <w:rFonts w:ascii="Arial" w:hAnsi="Arial" w:cs="Arial"/>
      <w:noProof/>
    </w:rPr>
  </w:style>
  <w:style w:type="paragraph" w:styleId="TOC2">
    <w:name w:val="toc 2"/>
    <w:basedOn w:val="Normal"/>
    <w:next w:val="Normal"/>
    <w:autoRedefine/>
    <w:semiHidden/>
    <w:rsid w:val="00E1681D"/>
    <w:pPr>
      <w:tabs>
        <w:tab w:val="right" w:leader="dot" w:pos="9403"/>
      </w:tabs>
    </w:pPr>
  </w:style>
  <w:style w:type="paragraph" w:customStyle="1" w:styleId="HEADING10">
    <w:name w:val="HEADING1"/>
    <w:basedOn w:val="Heading1"/>
    <w:next w:val="Heading1"/>
    <w:link w:val="HEADING1Char0"/>
    <w:rsid w:val="00DD7624"/>
    <w:rPr>
      <w:b w:val="0"/>
      <w:bCs/>
      <w:color w:val="auto"/>
    </w:rPr>
  </w:style>
  <w:style w:type="paragraph" w:customStyle="1" w:styleId="STYLE1LASTONE">
    <w:name w:val="STYLE 1 LAST ONE"/>
    <w:basedOn w:val="HEADING10"/>
    <w:next w:val="HEADING10"/>
    <w:link w:val="STYLE1LASTONEChar"/>
    <w:rsid w:val="00283751"/>
    <w:pPr>
      <w:jc w:val="center"/>
    </w:pPr>
    <w:rPr>
      <w:rFonts w:ascii="Arial" w:hAnsi="Arial"/>
      <w:b/>
      <w:sz w:val="28"/>
      <w:szCs w:val="28"/>
    </w:rPr>
  </w:style>
  <w:style w:type="paragraph" w:customStyle="1" w:styleId="StyleHeading1">
    <w:name w:val="Style Heading 1"/>
    <w:aliases w:val="Level 1 + Arial Auto Centered Left:  0 cm First..."/>
    <w:rsid w:val="00DD7624"/>
    <w:pPr>
      <w:jc w:val="center"/>
    </w:pPr>
    <w:rPr>
      <w:rFonts w:ascii="Arial" w:hAnsi="Arial"/>
      <w:b/>
      <w:bCs/>
      <w:kern w:val="40"/>
      <w:sz w:val="72"/>
      <w:lang w:val="fr-FR"/>
    </w:rPr>
  </w:style>
  <w:style w:type="paragraph" w:customStyle="1" w:styleId="STYLE2LASTONE">
    <w:name w:val="STYLE 2 LAST ONE"/>
    <w:basedOn w:val="STYLE1LASTONE"/>
    <w:link w:val="STYLE2LASTONEChar"/>
    <w:rsid w:val="00492CA5"/>
    <w:pPr>
      <w:spacing w:after="0"/>
      <w:jc w:val="left"/>
    </w:pPr>
    <w:rPr>
      <w:color w:val="FFFFFF"/>
      <w:sz w:val="16"/>
    </w:rPr>
  </w:style>
  <w:style w:type="paragraph" w:customStyle="1" w:styleId="STYLEDUTEXTE">
    <w:name w:val="STYLE DU TEXTE"/>
    <w:basedOn w:val="Styletexte"/>
    <w:link w:val="STYLEDUTEXTEChar"/>
    <w:rsid w:val="00BB447D"/>
    <w:pPr>
      <w:spacing w:after="0"/>
    </w:pPr>
  </w:style>
  <w:style w:type="character" w:customStyle="1" w:styleId="Heading1Char">
    <w:name w:val="Heading 1 Char"/>
    <w:aliases w:val="Level 1 Char"/>
    <w:link w:val="Heading1"/>
    <w:rsid w:val="005A588B"/>
    <w:rPr>
      <w:rFonts w:ascii="Times New Roman Bold" w:hAnsi="Times New Roman Bold"/>
      <w:b/>
      <w:color w:val="FF0000"/>
      <w:kern w:val="40"/>
      <w:sz w:val="72"/>
      <w:szCs w:val="24"/>
      <w:lang w:val="fr-FR" w:eastAsia="en-US" w:bidi="ar-SA"/>
    </w:rPr>
  </w:style>
  <w:style w:type="character" w:customStyle="1" w:styleId="HEADING1Char0">
    <w:name w:val="HEADING1 Char"/>
    <w:link w:val="HEADING10"/>
    <w:rsid w:val="005A588B"/>
    <w:rPr>
      <w:rFonts w:ascii="Times New Roman Bold" w:hAnsi="Times New Roman Bold"/>
      <w:b/>
      <w:bCs/>
      <w:color w:val="FF0000"/>
      <w:kern w:val="40"/>
      <w:sz w:val="72"/>
      <w:szCs w:val="24"/>
      <w:lang w:val="fr-FR" w:eastAsia="en-US" w:bidi="ar-SA"/>
    </w:rPr>
  </w:style>
  <w:style w:type="character" w:customStyle="1" w:styleId="STYLE1LASTONEChar">
    <w:name w:val="STYLE 1 LAST ONE Char"/>
    <w:link w:val="STYLE1LASTONE"/>
    <w:rsid w:val="005A588B"/>
    <w:rPr>
      <w:rFonts w:ascii="Arial" w:hAnsi="Arial"/>
      <w:b/>
      <w:bCs/>
      <w:color w:val="FF0000"/>
      <w:kern w:val="40"/>
      <w:sz w:val="28"/>
      <w:szCs w:val="28"/>
      <w:lang w:val="fr-FR" w:eastAsia="en-US" w:bidi="ar-SA"/>
    </w:rPr>
  </w:style>
  <w:style w:type="paragraph" w:styleId="DocumentMap">
    <w:name w:val="Document Map"/>
    <w:basedOn w:val="Normal"/>
    <w:semiHidden/>
    <w:rsid w:val="0011457E"/>
    <w:pPr>
      <w:shd w:val="clear" w:color="auto" w:fill="000080"/>
    </w:pPr>
    <w:rPr>
      <w:rFonts w:ascii="Tahoma" w:hAnsi="Tahoma" w:cs="Tahoma"/>
      <w:sz w:val="20"/>
      <w:szCs w:val="20"/>
    </w:rPr>
  </w:style>
  <w:style w:type="paragraph" w:customStyle="1" w:styleId="StyleSTYLE1LASTONEWhite">
    <w:name w:val="Style STYLE 1 LAST ONE + White"/>
    <w:basedOn w:val="STYLE1LASTONE"/>
    <w:link w:val="StyleSTYLE1LASTONEWhiteChar"/>
    <w:rsid w:val="001F6D3D"/>
    <w:rPr>
      <w:color w:val="FFFFFF"/>
    </w:rPr>
  </w:style>
  <w:style w:type="character" w:customStyle="1" w:styleId="StyleSTYLE1LASTONEWhiteChar">
    <w:name w:val="Style STYLE 1 LAST ONE + White Char"/>
    <w:link w:val="StyleSTYLE1LASTONEWhite"/>
    <w:rsid w:val="001F6D3D"/>
    <w:rPr>
      <w:rFonts w:ascii="Arial" w:hAnsi="Arial"/>
      <w:b/>
      <w:bCs/>
      <w:color w:val="FFFFFF"/>
      <w:kern w:val="40"/>
      <w:sz w:val="28"/>
      <w:szCs w:val="28"/>
      <w:lang w:val="fr-FR" w:eastAsia="en-US" w:bidi="ar-SA"/>
    </w:rPr>
  </w:style>
  <w:style w:type="character" w:customStyle="1" w:styleId="STYLE1Char0">
    <w:name w:val="STYLE 1 Char"/>
    <w:link w:val="STYLE10"/>
    <w:rsid w:val="00864BFA"/>
    <w:rPr>
      <w:rFonts w:ascii="Arial" w:hAnsi="Arial" w:cs="Arial"/>
      <w:b/>
      <w:color w:val="FF0000"/>
      <w:kern w:val="40"/>
      <w:sz w:val="36"/>
      <w:szCs w:val="36"/>
      <w:lang w:val="fr-FR" w:eastAsia="en-US" w:bidi="ar-SA"/>
    </w:rPr>
  </w:style>
  <w:style w:type="character" w:customStyle="1" w:styleId="STYLEDUTEXTEChar">
    <w:name w:val="STYLE DU TEXTE Char"/>
    <w:basedOn w:val="StyletexteChar"/>
    <w:link w:val="STYLEDUTEXTE"/>
    <w:rsid w:val="00864BFA"/>
    <w:rPr>
      <w:rFonts w:ascii="Arial" w:hAnsi="Arial"/>
      <w:sz w:val="22"/>
      <w:lang w:val="en-US" w:eastAsia="en-US" w:bidi="ar-SA"/>
    </w:rPr>
  </w:style>
  <w:style w:type="character" w:customStyle="1" w:styleId="STYLE2LASTONEChar">
    <w:name w:val="STYLE 2 LAST ONE Char"/>
    <w:link w:val="STYLE2LASTONE"/>
    <w:rsid w:val="00492CA5"/>
    <w:rPr>
      <w:rFonts w:ascii="Arial" w:hAnsi="Arial"/>
      <w:b/>
      <w:bCs/>
      <w:color w:val="FFFFFF"/>
      <w:kern w:val="40"/>
      <w:sz w:val="16"/>
      <w:szCs w:val="28"/>
      <w:lang w:val="fr-FR" w:eastAsia="en-US" w:bidi="ar-SA"/>
    </w:rPr>
  </w:style>
  <w:style w:type="paragraph" w:customStyle="1" w:styleId="style30">
    <w:name w:val="style3"/>
    <w:basedOn w:val="Normal"/>
    <w:rsid w:val="004337B7"/>
    <w:pPr>
      <w:spacing w:after="120"/>
      <w:jc w:val="both"/>
    </w:pPr>
    <w:rPr>
      <w:rFonts w:ascii="Arial" w:hAnsi="Arial" w:cs="Arial"/>
      <w:sz w:val="22"/>
      <w:szCs w:val="22"/>
    </w:rPr>
  </w:style>
  <w:style w:type="character" w:customStyle="1" w:styleId="StyleArial10ptChar">
    <w:name w:val="Style Arial 10 pt Char"/>
    <w:link w:val="StyleArial10pt"/>
    <w:rsid w:val="00645F4F"/>
    <w:rPr>
      <w:rFonts w:ascii="Arial" w:hAnsi="Arial"/>
      <w:lang w:val="en-US" w:eastAsia="en-US" w:bidi="ar-SA"/>
    </w:rPr>
  </w:style>
  <w:style w:type="character" w:styleId="CommentReference">
    <w:name w:val="annotation reference"/>
    <w:semiHidden/>
    <w:rsid w:val="00EE6B56"/>
    <w:rPr>
      <w:sz w:val="16"/>
      <w:szCs w:val="16"/>
    </w:rPr>
  </w:style>
  <w:style w:type="paragraph" w:styleId="CommentText">
    <w:name w:val="annotation text"/>
    <w:basedOn w:val="Normal"/>
    <w:semiHidden/>
    <w:rsid w:val="00EE6B56"/>
    <w:rPr>
      <w:sz w:val="20"/>
      <w:szCs w:val="20"/>
    </w:rPr>
  </w:style>
  <w:style w:type="paragraph" w:styleId="CommentSubject">
    <w:name w:val="annotation subject"/>
    <w:basedOn w:val="CommentText"/>
    <w:next w:val="CommentText"/>
    <w:semiHidden/>
    <w:rsid w:val="00EE6B56"/>
    <w:rPr>
      <w:b/>
      <w:bCs/>
    </w:rPr>
  </w:style>
  <w:style w:type="paragraph" w:customStyle="1" w:styleId="StyleSTYLE2LASTONE10ptNotBoldAuto">
    <w:name w:val="Style STYLE 2 LAST ONE + 10 pt Not Bold Auto"/>
    <w:basedOn w:val="Normal"/>
    <w:rsid w:val="006E3D34"/>
    <w:pPr>
      <w:jc w:val="center"/>
    </w:pPr>
    <w:rPr>
      <w:rFonts w:ascii="Arial" w:hAnsi="Arial"/>
      <w:b/>
      <w:bCs/>
    </w:rPr>
  </w:style>
  <w:style w:type="paragraph" w:customStyle="1" w:styleId="Endofdocument-Annex">
    <w:name w:val="[End of document - Annex]"/>
    <w:basedOn w:val="Normal"/>
    <w:rsid w:val="00D256FA"/>
    <w:pPr>
      <w:ind w:left="5534"/>
    </w:pPr>
    <w:rPr>
      <w:rFonts w:ascii="Arial" w:eastAsia="SimSun" w:hAnsi="Arial" w:cs="Arial"/>
      <w:sz w:val="22"/>
      <w:szCs w:val="20"/>
      <w:lang w:eastAsia="zh-CN"/>
    </w:rPr>
  </w:style>
  <w:style w:type="paragraph" w:customStyle="1" w:styleId="ONUME">
    <w:name w:val="ONUM E"/>
    <w:basedOn w:val="BodyText"/>
    <w:rsid w:val="00D256FA"/>
    <w:pPr>
      <w:numPr>
        <w:numId w:val="26"/>
      </w:numPr>
      <w:spacing w:after="220"/>
    </w:pPr>
    <w:rPr>
      <w:rFonts w:eastAsia="SimSun"/>
      <w:sz w:val="22"/>
      <w:szCs w:val="20"/>
      <w:lang w:val="en-US" w:eastAsia="zh-CN"/>
    </w:rPr>
  </w:style>
  <w:style w:type="paragraph" w:styleId="TOC3">
    <w:name w:val="toc 3"/>
    <w:basedOn w:val="Normal"/>
    <w:next w:val="Normal"/>
    <w:autoRedefine/>
    <w:semiHidden/>
    <w:rsid w:val="003928E9"/>
    <w:pPr>
      <w:ind w:left="480"/>
    </w:pPr>
  </w:style>
  <w:style w:type="paragraph" w:customStyle="1" w:styleId="StyleHeading211ptNotBoldNotItalicAllcaps">
    <w:name w:val="Style Heading 2 + 11 pt Not Bold Not Italic All caps"/>
    <w:basedOn w:val="Heading2"/>
    <w:rsid w:val="00203C93"/>
    <w:rPr>
      <w:bCs w:val="0"/>
      <w:i w:val="0"/>
      <w:iCs w:val="0"/>
      <w:caps/>
      <w:sz w:val="22"/>
    </w:rPr>
  </w:style>
  <w:style w:type="character" w:customStyle="1" w:styleId="EmailStyle67">
    <w:name w:val="EmailStyle67"/>
    <w:semiHidden/>
    <w:rsid w:val="00513F6A"/>
    <w:rPr>
      <w:rFonts w:ascii="Arial" w:hAnsi="Arial" w:cs="Arial"/>
      <w:color w:val="000080"/>
      <w:sz w:val="20"/>
      <w:szCs w:val="20"/>
    </w:rPr>
  </w:style>
  <w:style w:type="paragraph" w:styleId="FootnoteText">
    <w:name w:val="footnote text"/>
    <w:basedOn w:val="Normal"/>
    <w:semiHidden/>
    <w:rsid w:val="00197E20"/>
    <w:rPr>
      <w:rFonts w:ascii="Arial" w:hAnsi="Arial" w:cs="Arial"/>
      <w:sz w:val="18"/>
      <w:szCs w:val="20"/>
    </w:rPr>
  </w:style>
  <w:style w:type="character" w:styleId="FootnoteReference">
    <w:name w:val="footnote reference"/>
    <w:semiHidden/>
    <w:rsid w:val="00197E20"/>
    <w:rPr>
      <w:vertAlign w:val="superscript"/>
    </w:rPr>
  </w:style>
  <w:style w:type="paragraph" w:styleId="ListParagraph">
    <w:name w:val="List Paragraph"/>
    <w:basedOn w:val="Normal"/>
    <w:uiPriority w:val="34"/>
    <w:qFormat/>
    <w:rsid w:val="00AD2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5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8.emf"/><Relationship Id="rId39" Type="http://schemas.openxmlformats.org/officeDocument/2006/relationships/image" Target="media/image17.emf"/><Relationship Id="rId21" Type="http://schemas.openxmlformats.org/officeDocument/2006/relationships/image" Target="media/image3.emf"/><Relationship Id="rId34" Type="http://schemas.openxmlformats.org/officeDocument/2006/relationships/image" Target="media/image14.emf"/><Relationship Id="rId42" Type="http://schemas.openxmlformats.org/officeDocument/2006/relationships/image" Target="media/image20.emf"/><Relationship Id="rId47" Type="http://schemas.openxmlformats.org/officeDocument/2006/relationships/image" Target="media/image25.emf"/><Relationship Id="rId50" Type="http://schemas.openxmlformats.org/officeDocument/2006/relationships/footer" Target="footer6.xml"/><Relationship Id="rId55" Type="http://schemas.openxmlformats.org/officeDocument/2006/relationships/image" Target="media/image31.emf"/><Relationship Id="rId63" Type="http://schemas.openxmlformats.org/officeDocument/2006/relationships/image" Target="media/image38.emf"/><Relationship Id="rId68" Type="http://schemas.openxmlformats.org/officeDocument/2006/relationships/image" Target="media/image43.emf"/><Relationship Id="rId76"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image" Target="media/image46.emf"/><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image" Target="media/image11.emf"/><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12.emf"/><Relationship Id="rId37" Type="http://schemas.openxmlformats.org/officeDocument/2006/relationships/header" Target="header10.xml"/><Relationship Id="rId40" Type="http://schemas.openxmlformats.org/officeDocument/2006/relationships/image" Target="media/image18.emf"/><Relationship Id="rId45" Type="http://schemas.openxmlformats.org/officeDocument/2006/relationships/image" Target="media/image23.emf"/><Relationship Id="rId53" Type="http://schemas.openxmlformats.org/officeDocument/2006/relationships/image" Target="media/image29.emf"/><Relationship Id="rId58" Type="http://schemas.openxmlformats.org/officeDocument/2006/relationships/image" Target="media/image34.emf"/><Relationship Id="rId66" Type="http://schemas.openxmlformats.org/officeDocument/2006/relationships/image" Target="media/image41.emf"/><Relationship Id="rId74" Type="http://schemas.openxmlformats.org/officeDocument/2006/relationships/footer" Target="footer7.xml"/><Relationship Id="rId79" Type="http://schemas.openxmlformats.org/officeDocument/2006/relationships/image" Target="media/image52.emf"/><Relationship Id="rId5" Type="http://schemas.openxmlformats.org/officeDocument/2006/relationships/webSettings" Target="webSettings.xml"/><Relationship Id="rId61" Type="http://schemas.openxmlformats.org/officeDocument/2006/relationships/image" Target="media/image36.emf"/><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9.xml"/><Relationship Id="rId44" Type="http://schemas.openxmlformats.org/officeDocument/2006/relationships/image" Target="media/image22.emf"/><Relationship Id="rId52" Type="http://schemas.openxmlformats.org/officeDocument/2006/relationships/image" Target="media/image28.emf"/><Relationship Id="rId60" Type="http://schemas.openxmlformats.org/officeDocument/2006/relationships/hyperlink" Target="http://www.unjspf.org" TargetMode="External"/><Relationship Id="rId65" Type="http://schemas.openxmlformats.org/officeDocument/2006/relationships/image" Target="media/image40.emf"/><Relationship Id="rId73" Type="http://schemas.openxmlformats.org/officeDocument/2006/relationships/image" Target="media/image48.emf"/><Relationship Id="rId78" Type="http://schemas.openxmlformats.org/officeDocument/2006/relationships/image" Target="media/image51.emf"/><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header" Target="header8.xml"/><Relationship Id="rId35" Type="http://schemas.openxmlformats.org/officeDocument/2006/relationships/image" Target="media/image15.emf"/><Relationship Id="rId43" Type="http://schemas.openxmlformats.org/officeDocument/2006/relationships/image" Target="media/image21.emf"/><Relationship Id="rId48" Type="http://schemas.openxmlformats.org/officeDocument/2006/relationships/image" Target="media/image26.emf"/><Relationship Id="rId56" Type="http://schemas.openxmlformats.org/officeDocument/2006/relationships/image" Target="media/image32.emf"/><Relationship Id="rId64" Type="http://schemas.openxmlformats.org/officeDocument/2006/relationships/image" Target="media/image39.emf"/><Relationship Id="rId69" Type="http://schemas.openxmlformats.org/officeDocument/2006/relationships/image" Target="media/image44.emf"/><Relationship Id="rId77" Type="http://schemas.openxmlformats.org/officeDocument/2006/relationships/image" Target="media/image50.emf"/><Relationship Id="rId8" Type="http://schemas.openxmlformats.org/officeDocument/2006/relationships/image" Target="media/image1.jpeg"/><Relationship Id="rId51" Type="http://schemas.openxmlformats.org/officeDocument/2006/relationships/image" Target="media/image27.emf"/><Relationship Id="rId72" Type="http://schemas.openxmlformats.org/officeDocument/2006/relationships/image" Target="media/image47.emf"/><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emf"/><Relationship Id="rId33" Type="http://schemas.openxmlformats.org/officeDocument/2006/relationships/image" Target="media/image13.emf"/><Relationship Id="rId38" Type="http://schemas.openxmlformats.org/officeDocument/2006/relationships/footer" Target="footer5.xml"/><Relationship Id="rId46" Type="http://schemas.openxmlformats.org/officeDocument/2006/relationships/image" Target="media/image24.emf"/><Relationship Id="rId59" Type="http://schemas.openxmlformats.org/officeDocument/2006/relationships/image" Target="media/image35.emf"/><Relationship Id="rId67" Type="http://schemas.openxmlformats.org/officeDocument/2006/relationships/image" Target="media/image42.emf"/><Relationship Id="rId20" Type="http://schemas.openxmlformats.org/officeDocument/2006/relationships/image" Target="media/image2.emf"/><Relationship Id="rId41" Type="http://schemas.openxmlformats.org/officeDocument/2006/relationships/image" Target="media/image19.emf"/><Relationship Id="rId54" Type="http://schemas.openxmlformats.org/officeDocument/2006/relationships/image" Target="media/image30.emf"/><Relationship Id="rId62" Type="http://schemas.openxmlformats.org/officeDocument/2006/relationships/image" Target="media/image37.emf"/><Relationship Id="rId70" Type="http://schemas.openxmlformats.org/officeDocument/2006/relationships/image" Target="media/image45.emf"/><Relationship Id="rId75" Type="http://schemas.openxmlformats.org/officeDocument/2006/relationships/image" Target="media/image49.e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6.emf"/><Relationship Id="rId49" Type="http://schemas.openxmlformats.org/officeDocument/2006/relationships/header" Target="header11.xml"/><Relationship Id="rId57" Type="http://schemas.openxmlformats.org/officeDocument/2006/relationships/image" Target="media/image3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58</Pages>
  <Words>15870</Words>
  <Characters>87273</Characters>
  <Application>Microsoft Office Word</Application>
  <DocSecurity>0</DocSecurity>
  <Lines>727</Lines>
  <Paragraphs>205</Paragraphs>
  <ScaleCrop>false</ScaleCrop>
  <HeadingPairs>
    <vt:vector size="2" baseType="variant">
      <vt:variant>
        <vt:lpstr>Title</vt:lpstr>
      </vt:variant>
      <vt:variant>
        <vt:i4>1</vt:i4>
      </vt:variant>
    </vt:vector>
  </HeadingPairs>
  <TitlesOfParts>
    <vt:vector size="1" baseType="lpstr">
      <vt:lpstr>NOTES TO THE FINANCIAL STATEMENTS</vt:lpstr>
    </vt:vector>
  </TitlesOfParts>
  <Company>WIPO</Company>
  <LinksUpToDate>false</LinksUpToDate>
  <CharactersWithSpaces>102938</CharactersWithSpaces>
  <SharedDoc>false</SharedDoc>
  <HLinks>
    <vt:vector size="6" baseType="variant">
      <vt:variant>
        <vt:i4>3604515</vt:i4>
      </vt:variant>
      <vt:variant>
        <vt:i4>0</vt:i4>
      </vt:variant>
      <vt:variant>
        <vt:i4>0</vt:i4>
      </vt:variant>
      <vt:variant>
        <vt:i4>5</vt:i4>
      </vt:variant>
      <vt:variant>
        <vt:lpwstr>http://www.unjspf.org/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TO THE FINANCIAL STATEMENTS</dc:title>
  <dc:creator>Gotthainer</dc:creator>
  <cp:lastModifiedBy>MITON GENOUD Anne</cp:lastModifiedBy>
  <cp:revision>28</cp:revision>
  <cp:lastPrinted>2013-07-29T10:35:00Z</cp:lastPrinted>
  <dcterms:created xsi:type="dcterms:W3CDTF">2013-07-11T14:04:00Z</dcterms:created>
  <dcterms:modified xsi:type="dcterms:W3CDTF">2013-07-29T10:35:00Z</dcterms:modified>
</cp:coreProperties>
</file>