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0BD" w:rsidRPr="00754790" w:rsidRDefault="00D620BD" w:rsidP="00D620BD">
      <w:pPr>
        <w:pStyle w:val="Heading1"/>
        <w:spacing w:before="0"/>
        <w:jc w:val="center"/>
        <w:rPr>
          <w:color w:val="000000" w:themeColor="text1"/>
        </w:rPr>
      </w:pPr>
      <w:r w:rsidRPr="00754790">
        <w:rPr>
          <w:color w:val="000000" w:themeColor="text1"/>
        </w:rPr>
        <w:t>Integrated Credit Risk Framework</w:t>
      </w:r>
    </w:p>
    <w:p w:rsidR="00D620BD" w:rsidRPr="00754790" w:rsidRDefault="00D620BD" w:rsidP="00D620BD">
      <w:pPr>
        <w:pStyle w:val="Heading1"/>
        <w:spacing w:before="0"/>
        <w:jc w:val="center"/>
        <w:rPr>
          <w:color w:val="000000" w:themeColor="text1"/>
        </w:rPr>
      </w:pPr>
      <w:r w:rsidRPr="00754790">
        <w:rPr>
          <w:color w:val="000000" w:themeColor="text1"/>
        </w:rPr>
        <w:t>Basel III-Aligned Probability of Default (PD) Model</w:t>
      </w:r>
    </w:p>
    <w:p w:rsidR="00D620BD" w:rsidRPr="00754790" w:rsidRDefault="00D620BD" w:rsidP="004B45B4">
      <w:pPr>
        <w:pStyle w:val="Heading2"/>
        <w:jc w:val="center"/>
        <w:rPr>
          <w:color w:val="000000" w:themeColor="text1"/>
        </w:rPr>
      </w:pPr>
      <w:r w:rsidRPr="00754790">
        <w:rPr>
          <w:color w:val="000000" w:themeColor="text1"/>
        </w:rPr>
        <w:t>Model Development Document (MDD)</w:t>
      </w:r>
    </w:p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1. Document Purpose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This document describes the development methodology, validation approach, monitoring framework, and governance controls for the Basel III-aligned Probability of Default (PD) model developed as part of the Integrated Credit Risk Framework.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model estimates borrower default probability for a retail unsecured lending portfolio and serves as the foundation for Expected Loss (EL) estimation, portfolio risk assessment, model validation, and monitoring activities.</w:t>
      </w:r>
    </w:p>
    <w:p w:rsidR="00D620BD" w:rsidRPr="00754790" w:rsidRDefault="00D620BD" w:rsidP="00F327E8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framework follows Basel III Internal Ratings Based (IRB) principles and incorporates model risk management concepts aligned with SR 11-7 guidance.</w:t>
      </w:r>
      <w:r w:rsidR="005D1131">
        <w:rPr>
          <w:color w:val="000000" w:themeColor="text1"/>
        </w:rPr>
        <w:pict>
          <v:rect id="_x0000_i1026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2. Regulatory Context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0"/>
        <w:gridCol w:w="4242"/>
      </w:tblGrid>
      <w:tr w:rsidR="00754790" w:rsidRPr="00754790" w:rsidTr="003644B2">
        <w:tc>
          <w:tcPr>
            <w:tcW w:w="0" w:type="auto"/>
            <w:hideMark/>
          </w:tcPr>
          <w:p w:rsidR="00D620BD" w:rsidRPr="00754790" w:rsidRDefault="00D620B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Framework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754790" w:rsidRPr="00754790" w:rsidTr="003644B2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Basel III IRB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Credit risk estimation and capital assessment</w:t>
            </w:r>
          </w:p>
        </w:tc>
      </w:tr>
      <w:tr w:rsidR="00754790" w:rsidRPr="00754790" w:rsidTr="003644B2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SR 11-7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Model validation, monitoring, governance</w:t>
            </w:r>
          </w:p>
        </w:tc>
      </w:tr>
      <w:tr w:rsidR="00754790" w:rsidRPr="00754790" w:rsidTr="003644B2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RBI Model Risk Guidance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Model lifecycle management and monitoring</w:t>
            </w:r>
          </w:p>
        </w:tc>
      </w:tr>
    </w:tbl>
    <w:p w:rsidR="00D620BD" w:rsidRPr="00754790" w:rsidRDefault="00D620BD" w:rsidP="00F327E8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PD model forms the core credit risk estimation component used within the broader Basel-style credit risk framework.</w:t>
      </w:r>
      <w:r w:rsidR="005D1131">
        <w:rPr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3. Business Objective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objective of the model is to estimate the Probability of Default (PD) for retail credit applicants.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model supports:</w:t>
      </w:r>
    </w:p>
    <w:p w:rsidR="00D620BD" w:rsidRPr="00754790" w:rsidRDefault="00D620BD" w:rsidP="00D620BD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754790">
        <w:rPr>
          <w:color w:val="000000" w:themeColor="text1"/>
        </w:rPr>
        <w:t>Credit risk assessment</w:t>
      </w:r>
    </w:p>
    <w:p w:rsidR="00D620BD" w:rsidRPr="00754790" w:rsidRDefault="00D620BD" w:rsidP="00D620BD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754790">
        <w:rPr>
          <w:color w:val="000000" w:themeColor="text1"/>
        </w:rPr>
        <w:t>Portfolio monitoring</w:t>
      </w:r>
    </w:p>
    <w:p w:rsidR="00D620BD" w:rsidRPr="00754790" w:rsidRDefault="00D620BD" w:rsidP="00D620BD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754790">
        <w:rPr>
          <w:color w:val="000000" w:themeColor="text1"/>
        </w:rPr>
        <w:t>Risk segmentation</w:t>
      </w:r>
    </w:p>
    <w:p w:rsidR="00D620BD" w:rsidRPr="00754790" w:rsidRDefault="00D620BD" w:rsidP="00D620BD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754790">
        <w:rPr>
          <w:color w:val="000000" w:themeColor="text1"/>
        </w:rPr>
        <w:t>Expected Loss estimation</w:t>
      </w:r>
    </w:p>
    <w:p w:rsidR="00D620BD" w:rsidRPr="00754790" w:rsidRDefault="00D620BD" w:rsidP="00D620BD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754790">
        <w:rPr>
          <w:color w:val="000000" w:themeColor="text1"/>
        </w:rPr>
        <w:t>Validation and governance activities</w:t>
      </w:r>
    </w:p>
    <w:p w:rsidR="00D620BD" w:rsidRPr="00754790" w:rsidRDefault="00D620BD" w:rsidP="00D620BD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754790">
        <w:rPr>
          <w:color w:val="000000" w:themeColor="text1"/>
        </w:rPr>
        <w:lastRenderedPageBreak/>
        <w:t>Regulatory-style risk management analysis</w:t>
      </w:r>
    </w:p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28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4. Portfolio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4"/>
        <w:gridCol w:w="3244"/>
      </w:tblGrid>
      <w:tr w:rsidR="00754790" w:rsidRPr="00754790" w:rsidTr="009C3F52">
        <w:tc>
          <w:tcPr>
            <w:tcW w:w="0" w:type="auto"/>
            <w:hideMark/>
          </w:tcPr>
          <w:p w:rsidR="00D620BD" w:rsidRPr="00754790" w:rsidRDefault="00D620B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754790" w:rsidRPr="00754790" w:rsidTr="009C3F52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Portfolio Type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Retail Consumer Lending</w:t>
            </w:r>
          </w:p>
        </w:tc>
      </w:tr>
      <w:tr w:rsidR="00754790" w:rsidRPr="00754790" w:rsidTr="009C3F52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Product Type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Unsecured Personal Loans</w:t>
            </w:r>
          </w:p>
        </w:tc>
      </w:tr>
      <w:tr w:rsidR="00754790" w:rsidRPr="00754790" w:rsidTr="009C3F52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Data Source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Lending Club</w:t>
            </w:r>
          </w:p>
        </w:tc>
      </w:tr>
      <w:tr w:rsidR="00754790" w:rsidRPr="00754790" w:rsidTr="009C3F52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Modeling Target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Probability of Default</w:t>
            </w:r>
          </w:p>
        </w:tc>
      </w:tr>
      <w:tr w:rsidR="00754790" w:rsidRPr="00754790" w:rsidTr="009C3F52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Default Definition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Charged-Off / Defaulted Accounts</w:t>
            </w:r>
          </w:p>
        </w:tc>
      </w:tr>
      <w:tr w:rsidR="00754790" w:rsidRPr="00754790" w:rsidTr="009C3F52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Modeling Framework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Basel III IRB Style Scorecard</w:t>
            </w:r>
          </w:p>
        </w:tc>
      </w:tr>
    </w:tbl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29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5. Data Description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model was developed using Lending Club retail lending data covering the period 2007–2014.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dataset includes:</w:t>
      </w:r>
    </w:p>
    <w:p w:rsidR="00D620BD" w:rsidRPr="00754790" w:rsidRDefault="00D620BD" w:rsidP="00D620BD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754790">
        <w:rPr>
          <w:color w:val="000000" w:themeColor="text1"/>
        </w:rPr>
        <w:t>Borrower characteristics</w:t>
      </w:r>
    </w:p>
    <w:p w:rsidR="00D620BD" w:rsidRPr="00754790" w:rsidRDefault="00D620BD" w:rsidP="00D620BD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754790">
        <w:rPr>
          <w:color w:val="000000" w:themeColor="text1"/>
        </w:rPr>
        <w:t>Loan attributes</w:t>
      </w:r>
    </w:p>
    <w:p w:rsidR="00D620BD" w:rsidRPr="00754790" w:rsidRDefault="00D620BD" w:rsidP="00D620BD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754790">
        <w:rPr>
          <w:color w:val="000000" w:themeColor="text1"/>
        </w:rPr>
        <w:t>Repayment history</w:t>
      </w:r>
    </w:p>
    <w:p w:rsidR="00D620BD" w:rsidRPr="00754790" w:rsidRDefault="00D620BD" w:rsidP="00D620BD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754790">
        <w:rPr>
          <w:color w:val="000000" w:themeColor="text1"/>
        </w:rPr>
        <w:t>Delinquency indicators</w:t>
      </w:r>
    </w:p>
    <w:p w:rsidR="00D620BD" w:rsidRPr="00754790" w:rsidRDefault="00D620BD" w:rsidP="00D620BD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754790">
        <w:rPr>
          <w:color w:val="000000" w:themeColor="text1"/>
        </w:rPr>
        <w:t>Credit behavior variables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development dataset was prepared through data cleaning, preprocessing, feature engineering, and target variable construction.</w:t>
      </w:r>
    </w:p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30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6. Model Development Framework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PD framework follows a traditional Basel-style scorecard methodology.</w:t>
      </w:r>
    </w:p>
    <w:p w:rsidR="009C3F52" w:rsidRDefault="009C3F52" w:rsidP="00D620BD">
      <w:pPr>
        <w:pStyle w:val="NormalWeb"/>
        <w:rPr>
          <w:color w:val="000000" w:themeColor="text1"/>
        </w:rPr>
      </w:pPr>
    </w:p>
    <w:p w:rsidR="009C3F52" w:rsidRDefault="009C3F52" w:rsidP="00D620BD">
      <w:pPr>
        <w:pStyle w:val="NormalWeb"/>
        <w:rPr>
          <w:color w:val="000000" w:themeColor="text1"/>
        </w:rPr>
      </w:pPr>
    </w:p>
    <w:p w:rsidR="009C3F52" w:rsidRDefault="009C3F52" w:rsidP="00D620BD">
      <w:pPr>
        <w:pStyle w:val="NormalWeb"/>
        <w:rPr>
          <w:color w:val="000000" w:themeColor="text1"/>
        </w:rPr>
      </w:pPr>
    </w:p>
    <w:p w:rsidR="009C3F52" w:rsidRDefault="009C3F52" w:rsidP="00D620BD">
      <w:pPr>
        <w:pStyle w:val="NormalWeb"/>
        <w:rPr>
          <w:color w:val="000000" w:themeColor="text1"/>
        </w:rPr>
      </w:pP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lastRenderedPageBreak/>
        <w:t>Model development workflow: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Raw Data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↓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Data Cleaning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↓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Feature Engineering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↓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Binning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↓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Weight of Evidence (</w:t>
      </w:r>
      <w:proofErr w:type="spellStart"/>
      <w:r w:rsidRPr="00754790">
        <w:rPr>
          <w:color w:val="000000" w:themeColor="text1"/>
        </w:rPr>
        <w:t>WoE</w:t>
      </w:r>
      <w:proofErr w:type="spellEnd"/>
      <w:r w:rsidRPr="00754790">
        <w:rPr>
          <w:color w:val="000000" w:themeColor="text1"/>
        </w:rPr>
        <w:t>)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↓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Information Value (IV)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↓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Logistic Regression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↓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Probability of Default Estimation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↓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Calibration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↓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Validation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↓</w:t>
      </w:r>
    </w:p>
    <w:p w:rsidR="00D620BD" w:rsidRPr="00754790" w:rsidRDefault="00D620BD" w:rsidP="009C3F52">
      <w:pPr>
        <w:pStyle w:val="NormalWeb"/>
        <w:jc w:val="center"/>
        <w:rPr>
          <w:color w:val="000000" w:themeColor="text1"/>
        </w:rPr>
      </w:pPr>
      <w:r w:rsidRPr="00754790">
        <w:rPr>
          <w:color w:val="000000" w:themeColor="text1"/>
        </w:rPr>
        <w:t>Monitoring</w:t>
      </w:r>
    </w:p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31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lastRenderedPageBreak/>
        <w:t>7. Feature Engineering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Feature engineering included:</w:t>
      </w:r>
    </w:p>
    <w:p w:rsidR="00D620BD" w:rsidRPr="00754790" w:rsidRDefault="00D620BD" w:rsidP="00D620BD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754790">
        <w:rPr>
          <w:color w:val="000000" w:themeColor="text1"/>
        </w:rPr>
        <w:t>Missing value treatment</w:t>
      </w:r>
    </w:p>
    <w:p w:rsidR="00D620BD" w:rsidRPr="00754790" w:rsidRDefault="00D620BD" w:rsidP="00D620BD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754790">
        <w:rPr>
          <w:color w:val="000000" w:themeColor="text1"/>
        </w:rPr>
        <w:t>Variable transformation</w:t>
      </w:r>
    </w:p>
    <w:p w:rsidR="00D620BD" w:rsidRPr="00754790" w:rsidRDefault="00D620BD" w:rsidP="00D620BD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754790">
        <w:rPr>
          <w:color w:val="000000" w:themeColor="text1"/>
        </w:rPr>
        <w:t>Monotonic binning</w:t>
      </w:r>
    </w:p>
    <w:p w:rsidR="00D620BD" w:rsidRPr="00754790" w:rsidRDefault="00D620BD" w:rsidP="00D620BD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754790">
        <w:rPr>
          <w:color w:val="000000" w:themeColor="text1"/>
        </w:rPr>
        <w:t>Outlier assessment</w:t>
      </w:r>
    </w:p>
    <w:p w:rsidR="00D620BD" w:rsidRPr="00754790" w:rsidRDefault="00D620BD" w:rsidP="00D620BD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754790">
        <w:rPr>
          <w:color w:val="000000" w:themeColor="text1"/>
        </w:rPr>
        <w:t>WoE</w:t>
      </w:r>
      <w:proofErr w:type="spellEnd"/>
      <w:r w:rsidRPr="00754790">
        <w:rPr>
          <w:color w:val="000000" w:themeColor="text1"/>
        </w:rPr>
        <w:t xml:space="preserve"> transformation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 xml:space="preserve">The objective was to improve model stability, interpretability, and regulatory </w:t>
      </w:r>
      <w:proofErr w:type="spellStart"/>
      <w:r w:rsidRPr="00754790">
        <w:rPr>
          <w:color w:val="000000" w:themeColor="text1"/>
        </w:rPr>
        <w:t>explainability</w:t>
      </w:r>
      <w:proofErr w:type="spellEnd"/>
      <w:r w:rsidRPr="00754790">
        <w:rPr>
          <w:color w:val="000000" w:themeColor="text1"/>
        </w:rPr>
        <w:t>.</w:t>
      </w:r>
    </w:p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32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8. Variable Selection Methodology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Variables were evaluated using Information Value (IV).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847"/>
      </w:tblGrid>
      <w:tr w:rsidR="00754790" w:rsidRPr="00754790" w:rsidTr="00007F2B">
        <w:tc>
          <w:tcPr>
            <w:tcW w:w="0" w:type="auto"/>
            <w:hideMark/>
          </w:tcPr>
          <w:p w:rsidR="00D620BD" w:rsidRPr="00754790" w:rsidRDefault="00D620B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IV Range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Interpretation</w:t>
            </w:r>
          </w:p>
        </w:tc>
      </w:tr>
      <w:tr w:rsidR="00754790" w:rsidRPr="00754790" w:rsidTr="00007F2B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&lt; 0.02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Weak Predictor</w:t>
            </w:r>
          </w:p>
        </w:tc>
      </w:tr>
      <w:tr w:rsidR="00754790" w:rsidRPr="00754790" w:rsidTr="00007F2B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0.02 – 0.10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Medium Predictor</w:t>
            </w:r>
          </w:p>
        </w:tc>
      </w:tr>
      <w:tr w:rsidR="00754790" w:rsidRPr="00754790" w:rsidTr="00007F2B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&gt; 0.10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Strong Predictor</w:t>
            </w:r>
          </w:p>
        </w:tc>
      </w:tr>
    </w:tbl>
    <w:p w:rsidR="00D620BD" w:rsidRPr="00754790" w:rsidRDefault="00D620BD" w:rsidP="00D620BD">
      <w:pPr>
        <w:pStyle w:val="NormalWeb"/>
        <w:rPr>
          <w:color w:val="000000" w:themeColor="text1"/>
        </w:rPr>
      </w:pPr>
      <w:proofErr w:type="gramStart"/>
      <w:r w:rsidRPr="00754790">
        <w:rPr>
          <w:color w:val="000000" w:themeColor="text1"/>
        </w:rPr>
        <w:t>Variables with IV greater than 0.02 were considered for inclusion.</w:t>
      </w:r>
      <w:proofErr w:type="gramEnd"/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Additional considerations included:</w:t>
      </w:r>
    </w:p>
    <w:p w:rsidR="00D620BD" w:rsidRPr="00754790" w:rsidRDefault="00D620BD" w:rsidP="00D620BD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754790">
        <w:rPr>
          <w:color w:val="000000" w:themeColor="text1"/>
        </w:rPr>
        <w:t>Business relevance</w:t>
      </w:r>
    </w:p>
    <w:p w:rsidR="00D620BD" w:rsidRPr="00754790" w:rsidRDefault="00D620BD" w:rsidP="00D620BD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754790">
        <w:rPr>
          <w:color w:val="000000" w:themeColor="text1"/>
        </w:rPr>
        <w:t>Monotonicity</w:t>
      </w:r>
    </w:p>
    <w:p w:rsidR="00D620BD" w:rsidRPr="00754790" w:rsidRDefault="00D620BD" w:rsidP="00D620BD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754790">
        <w:rPr>
          <w:color w:val="000000" w:themeColor="text1"/>
        </w:rPr>
        <w:t>Stability</w:t>
      </w:r>
    </w:p>
    <w:p w:rsidR="00D620BD" w:rsidRPr="00754790" w:rsidRDefault="00D620BD" w:rsidP="00D620BD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754790">
        <w:rPr>
          <w:color w:val="000000" w:themeColor="text1"/>
        </w:rPr>
        <w:t>Multi</w:t>
      </w:r>
      <w:r w:rsidR="00007F2B">
        <w:rPr>
          <w:color w:val="000000" w:themeColor="text1"/>
        </w:rPr>
        <w:t>-</w:t>
      </w:r>
      <w:proofErr w:type="spellStart"/>
      <w:r w:rsidRPr="00754790">
        <w:rPr>
          <w:color w:val="000000" w:themeColor="text1"/>
        </w:rPr>
        <w:t>collinearity</w:t>
      </w:r>
      <w:proofErr w:type="spellEnd"/>
      <w:r w:rsidRPr="00754790">
        <w:rPr>
          <w:color w:val="000000" w:themeColor="text1"/>
        </w:rPr>
        <w:t xml:space="preserve"> review</w:t>
      </w:r>
    </w:p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33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9. Modeling Methodology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Probability of Default model was developed using Logistic Regression.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Reasons for model selection:</w:t>
      </w:r>
    </w:p>
    <w:p w:rsidR="00D620BD" w:rsidRPr="00754790" w:rsidRDefault="00D620BD" w:rsidP="00D620BD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754790">
        <w:rPr>
          <w:color w:val="000000" w:themeColor="text1"/>
        </w:rPr>
        <w:t>Regulatory acceptance</w:t>
      </w:r>
    </w:p>
    <w:p w:rsidR="00D620BD" w:rsidRPr="00754790" w:rsidRDefault="00D620BD" w:rsidP="00D620BD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754790">
        <w:rPr>
          <w:color w:val="000000" w:themeColor="text1"/>
        </w:rPr>
        <w:t>High interpretability</w:t>
      </w:r>
    </w:p>
    <w:p w:rsidR="00D620BD" w:rsidRPr="00754790" w:rsidRDefault="00D620BD" w:rsidP="00D620BD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754790">
        <w:rPr>
          <w:color w:val="000000" w:themeColor="text1"/>
        </w:rPr>
        <w:t>Stable behavior</w:t>
      </w:r>
    </w:p>
    <w:p w:rsidR="00D620BD" w:rsidRPr="00754790" w:rsidRDefault="00D620BD" w:rsidP="00D620BD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754790">
        <w:rPr>
          <w:color w:val="000000" w:themeColor="text1"/>
        </w:rPr>
        <w:lastRenderedPageBreak/>
        <w:t>Ease of validation</w:t>
      </w:r>
    </w:p>
    <w:p w:rsidR="00D620BD" w:rsidRPr="00754790" w:rsidRDefault="00D620BD" w:rsidP="00D620BD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754790">
        <w:rPr>
          <w:color w:val="000000" w:themeColor="text1"/>
        </w:rPr>
        <w:t>Explainable outputs</w:t>
      </w:r>
    </w:p>
    <w:p w:rsidR="00D620BD" w:rsidRPr="00754790" w:rsidRDefault="00D620BD" w:rsidP="007924E5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model generates borrower-level default probabilities used for downstream credit risk analysis.</w:t>
      </w:r>
      <w:r w:rsidR="005D1131">
        <w:rPr>
          <w:color w:val="000000" w:themeColor="text1"/>
        </w:rPr>
        <w:pict>
          <v:rect id="_x0000_i1034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10. Champion–Challenger Framework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Multiple algorithms were evaluated.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5"/>
        <w:gridCol w:w="1171"/>
      </w:tblGrid>
      <w:tr w:rsidR="00754790" w:rsidRPr="00754790" w:rsidTr="007924E5">
        <w:tc>
          <w:tcPr>
            <w:tcW w:w="0" w:type="auto"/>
            <w:hideMark/>
          </w:tcPr>
          <w:p w:rsidR="00D620BD" w:rsidRPr="00754790" w:rsidRDefault="00D620B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Model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Role</w:t>
            </w:r>
          </w:p>
        </w:tc>
      </w:tr>
      <w:tr w:rsidR="00754790" w:rsidRPr="00754790" w:rsidTr="007924E5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Logistic Regression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Champion</w:t>
            </w:r>
          </w:p>
        </w:tc>
      </w:tr>
      <w:tr w:rsidR="00754790" w:rsidRPr="00754790" w:rsidTr="007924E5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54790">
              <w:rPr>
                <w:color w:val="000000" w:themeColor="text1"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Challenger</w:t>
            </w:r>
          </w:p>
        </w:tc>
      </w:tr>
      <w:tr w:rsidR="00754790" w:rsidRPr="00754790" w:rsidTr="007924E5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54790">
              <w:rPr>
                <w:color w:val="000000" w:themeColor="text1"/>
              </w:rPr>
              <w:t>LightGBM</w:t>
            </w:r>
            <w:proofErr w:type="spellEnd"/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Challenger</w:t>
            </w:r>
          </w:p>
        </w:tc>
      </w:tr>
      <w:tr w:rsidR="00754790" w:rsidRPr="00754790" w:rsidTr="007924E5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Random Forest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Challenger</w:t>
            </w:r>
          </w:p>
        </w:tc>
      </w:tr>
    </w:tbl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35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11. Champion Selection Rationale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Although challenger models demonstrated stronger predictive performance, Logistic Regression was retained as champion due to:</w:t>
      </w:r>
    </w:p>
    <w:p w:rsidR="00D620BD" w:rsidRPr="00754790" w:rsidRDefault="00D620BD" w:rsidP="00D620BD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754790">
        <w:rPr>
          <w:color w:val="000000" w:themeColor="text1"/>
        </w:rPr>
        <w:t xml:space="preserve">Regulatory </w:t>
      </w:r>
      <w:proofErr w:type="spellStart"/>
      <w:r w:rsidR="007924E5">
        <w:rPr>
          <w:color w:val="000000" w:themeColor="text1"/>
        </w:rPr>
        <w:t>explain</w:t>
      </w:r>
      <w:r w:rsidR="007924E5" w:rsidRPr="00754790">
        <w:rPr>
          <w:color w:val="000000" w:themeColor="text1"/>
        </w:rPr>
        <w:t>ability</w:t>
      </w:r>
      <w:proofErr w:type="spellEnd"/>
    </w:p>
    <w:p w:rsidR="00D620BD" w:rsidRPr="00754790" w:rsidRDefault="00D620BD" w:rsidP="00D620BD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754790">
        <w:rPr>
          <w:color w:val="000000" w:themeColor="text1"/>
        </w:rPr>
        <w:t>Transparent coefficient structure</w:t>
      </w:r>
    </w:p>
    <w:p w:rsidR="00D620BD" w:rsidRPr="00754790" w:rsidRDefault="00D620BD" w:rsidP="00D620BD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754790">
        <w:rPr>
          <w:color w:val="000000" w:themeColor="text1"/>
        </w:rPr>
        <w:t>Scorecard compatibility</w:t>
      </w:r>
    </w:p>
    <w:p w:rsidR="00D620BD" w:rsidRPr="00754790" w:rsidRDefault="00D620BD" w:rsidP="00D620BD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754790">
        <w:rPr>
          <w:color w:val="000000" w:themeColor="text1"/>
        </w:rPr>
        <w:t>Ease of validation</w:t>
      </w:r>
    </w:p>
    <w:p w:rsidR="00D620BD" w:rsidRPr="00754790" w:rsidRDefault="00D620BD" w:rsidP="00D620BD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754790">
        <w:rPr>
          <w:color w:val="000000" w:themeColor="text1"/>
        </w:rPr>
        <w:t>Basel III alignment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final framework prioritizes governance and interpretability over marginal predictive gains.</w:t>
      </w:r>
    </w:p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36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12. Model Performance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1905"/>
      </w:tblGrid>
      <w:tr w:rsidR="00754790" w:rsidRPr="00754790" w:rsidTr="007924E5">
        <w:tc>
          <w:tcPr>
            <w:tcW w:w="0" w:type="auto"/>
            <w:hideMark/>
          </w:tcPr>
          <w:p w:rsidR="00D620BD" w:rsidRPr="00754790" w:rsidRDefault="00D620B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Metric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754790" w:rsidRPr="00754790" w:rsidTr="007924E5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OOT AUC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0.72</w:t>
            </w:r>
          </w:p>
        </w:tc>
      </w:tr>
      <w:tr w:rsidR="00754790" w:rsidRPr="00754790" w:rsidTr="007924E5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 xml:space="preserve">OOT </w:t>
            </w:r>
            <w:proofErr w:type="spellStart"/>
            <w:r w:rsidRPr="00754790">
              <w:rPr>
                <w:color w:val="000000" w:themeColor="text1"/>
              </w:rPr>
              <w:t>Gini</w:t>
            </w:r>
            <w:proofErr w:type="spellEnd"/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0.44</w:t>
            </w:r>
          </w:p>
        </w:tc>
      </w:tr>
      <w:tr w:rsidR="00754790" w:rsidRPr="00754790" w:rsidTr="007924E5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KS Statistic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0.31</w:t>
            </w:r>
          </w:p>
        </w:tc>
      </w:tr>
      <w:tr w:rsidR="00754790" w:rsidRPr="00754790" w:rsidTr="007924E5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Champion Model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Logistic Regression</w:t>
            </w:r>
          </w:p>
        </w:tc>
      </w:tr>
    </w:tbl>
    <w:p w:rsidR="003E1965" w:rsidRDefault="003E1965" w:rsidP="003E1965">
      <w:pPr>
        <w:pStyle w:val="NormalWeb"/>
        <w:rPr>
          <w:color w:val="000000" w:themeColor="text1"/>
        </w:rPr>
      </w:pPr>
    </w:p>
    <w:p w:rsidR="003E1965" w:rsidRDefault="003E1965" w:rsidP="003E1965">
      <w:pPr>
        <w:pStyle w:val="NormalWeb"/>
        <w:rPr>
          <w:color w:val="000000" w:themeColor="text1"/>
        </w:rPr>
      </w:pPr>
    </w:p>
    <w:p w:rsidR="003E1965" w:rsidRPr="003E1965" w:rsidRDefault="003E1965" w:rsidP="003E1965">
      <w:pPr>
        <w:pStyle w:val="NormalWeb"/>
        <w:rPr>
          <w:color w:val="000000" w:themeColor="text1"/>
        </w:rPr>
      </w:pPr>
      <w:r w:rsidRPr="003E1965">
        <w:rPr>
          <w:b/>
          <w:color w:val="000000" w:themeColor="text1"/>
        </w:rPr>
        <w:lastRenderedPageBreak/>
        <w:t>Performance Interpretation</w:t>
      </w:r>
    </w:p>
    <w:p w:rsidR="003E1965" w:rsidRPr="003E1965" w:rsidRDefault="003E1965" w:rsidP="003E1965">
      <w:pPr>
        <w:pStyle w:val="NormalWeb"/>
        <w:rPr>
          <w:color w:val="000000" w:themeColor="text1"/>
        </w:rPr>
      </w:pPr>
      <w:r w:rsidRPr="003E1965">
        <w:rPr>
          <w:color w:val="000000" w:themeColor="text1"/>
        </w:rPr>
        <w:t>The model demonstrates acceptable discriminatory power for a retail unsecured lending portfolio.</w:t>
      </w:r>
    </w:p>
    <w:p w:rsidR="003E1965" w:rsidRDefault="003E1965" w:rsidP="003E1965">
      <w:pPr>
        <w:pStyle w:val="NormalWeb"/>
        <w:rPr>
          <w:color w:val="000000" w:themeColor="text1"/>
        </w:rPr>
      </w:pPr>
      <w:r w:rsidRPr="003E1965">
        <w:rPr>
          <w:color w:val="000000" w:themeColor="text1"/>
        </w:rPr>
        <w:t xml:space="preserve">The observed AUC, </w:t>
      </w:r>
      <w:proofErr w:type="spellStart"/>
      <w:r w:rsidRPr="003E1965">
        <w:rPr>
          <w:color w:val="000000" w:themeColor="text1"/>
        </w:rPr>
        <w:t>Gini</w:t>
      </w:r>
      <w:proofErr w:type="spellEnd"/>
      <w:r w:rsidRPr="003E1965">
        <w:rPr>
          <w:color w:val="000000" w:themeColor="text1"/>
        </w:rPr>
        <w:t xml:space="preserve"> and KS values indicate effective separation between defaulting and non-defaulting borrowers while maintaining regulatory </w:t>
      </w:r>
      <w:proofErr w:type="spellStart"/>
      <w:r w:rsidRPr="003E1965">
        <w:rPr>
          <w:color w:val="000000" w:themeColor="text1"/>
        </w:rPr>
        <w:t>explainability</w:t>
      </w:r>
      <w:proofErr w:type="spellEnd"/>
      <w:r w:rsidRPr="003E1965">
        <w:rPr>
          <w:color w:val="000000" w:themeColor="text1"/>
        </w:rPr>
        <w:t xml:space="preserve"> requirements.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 xml:space="preserve">Overall performance demonstrates acceptable discriminatory power for retail credit risk </w:t>
      </w:r>
      <w:proofErr w:type="gramStart"/>
      <w:r w:rsidRPr="00754790">
        <w:rPr>
          <w:color w:val="000000" w:themeColor="text1"/>
        </w:rPr>
        <w:t>applications</w:t>
      </w:r>
      <w:proofErr w:type="gramEnd"/>
      <w:r w:rsidRPr="00754790">
        <w:rPr>
          <w:color w:val="000000" w:themeColor="text1"/>
        </w:rPr>
        <w:t>.</w:t>
      </w:r>
    </w:p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37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13. Calibration Framework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Calibration was performed to align predicted default rates with observed portfolio behavior.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Calibration assessment included:</w:t>
      </w:r>
    </w:p>
    <w:p w:rsidR="00D620BD" w:rsidRPr="00754790" w:rsidRDefault="00D620BD" w:rsidP="00D620BD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754790">
        <w:rPr>
          <w:color w:val="000000" w:themeColor="text1"/>
        </w:rPr>
        <w:t xml:space="preserve">Predicted </w:t>
      </w:r>
      <w:proofErr w:type="spellStart"/>
      <w:r w:rsidRPr="00754790">
        <w:rPr>
          <w:color w:val="000000" w:themeColor="text1"/>
        </w:rPr>
        <w:t>vs</w:t>
      </w:r>
      <w:proofErr w:type="spellEnd"/>
      <w:r w:rsidRPr="00754790">
        <w:rPr>
          <w:color w:val="000000" w:themeColor="text1"/>
        </w:rPr>
        <w:t xml:space="preserve"> observed default comparison</w:t>
      </w:r>
    </w:p>
    <w:p w:rsidR="00D620BD" w:rsidRPr="00754790" w:rsidRDefault="00D620BD" w:rsidP="00D620BD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754790">
        <w:rPr>
          <w:color w:val="000000" w:themeColor="text1"/>
        </w:rPr>
        <w:t>Calibration bias review</w:t>
      </w:r>
    </w:p>
    <w:p w:rsidR="00D620BD" w:rsidRPr="00754790" w:rsidRDefault="00D620BD" w:rsidP="00D620BD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754790">
        <w:rPr>
          <w:color w:val="000000" w:themeColor="text1"/>
        </w:rPr>
        <w:t>Stability checks</w:t>
      </w:r>
    </w:p>
    <w:p w:rsidR="00D620BD" w:rsidRPr="00754790" w:rsidRDefault="00D620BD" w:rsidP="00E6787F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Calibration bias remained within acceptable limits.</w:t>
      </w:r>
      <w:r w:rsidR="005D1131">
        <w:rPr>
          <w:color w:val="000000" w:themeColor="text1"/>
        </w:rPr>
        <w:pict>
          <v:rect id="_x0000_i1038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14. Validation Framework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Independent validation activities included: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5"/>
        <w:gridCol w:w="2192"/>
      </w:tblGrid>
      <w:tr w:rsidR="00754790" w:rsidRPr="00754790" w:rsidTr="00E6787F">
        <w:tc>
          <w:tcPr>
            <w:tcW w:w="0" w:type="auto"/>
            <w:hideMark/>
          </w:tcPr>
          <w:p w:rsidR="00D620BD" w:rsidRPr="00754790" w:rsidRDefault="00D620B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Validation Area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Coverage</w:t>
            </w:r>
          </w:p>
        </w:tc>
      </w:tr>
      <w:tr w:rsidR="00754790" w:rsidRPr="00754790" w:rsidTr="00E6787F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Discriminatory Power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AUC</w:t>
            </w:r>
          </w:p>
        </w:tc>
      </w:tr>
      <w:tr w:rsidR="00754790" w:rsidRPr="00754790" w:rsidTr="00E6787F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Ranking Power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KS</w:t>
            </w:r>
          </w:p>
        </w:tc>
      </w:tr>
      <w:tr w:rsidR="00754790" w:rsidRPr="00754790" w:rsidTr="00E6787F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Risk Separation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54790">
              <w:rPr>
                <w:color w:val="000000" w:themeColor="text1"/>
              </w:rPr>
              <w:t>Gini</w:t>
            </w:r>
            <w:proofErr w:type="spellEnd"/>
          </w:p>
        </w:tc>
      </w:tr>
      <w:tr w:rsidR="00754790" w:rsidRPr="00754790" w:rsidTr="00E6787F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Calibration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Bias Assessment</w:t>
            </w:r>
          </w:p>
        </w:tc>
      </w:tr>
      <w:tr w:rsidR="00754790" w:rsidRPr="00754790" w:rsidTr="00E6787F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Benchmarking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Champion–Challenger</w:t>
            </w:r>
          </w:p>
        </w:tc>
      </w:tr>
      <w:tr w:rsidR="00754790" w:rsidRPr="00754790" w:rsidTr="00E6787F"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Stability</w:t>
            </w:r>
          </w:p>
        </w:tc>
        <w:tc>
          <w:tcPr>
            <w:tcW w:w="0" w:type="auto"/>
            <w:hideMark/>
          </w:tcPr>
          <w:p w:rsidR="00D620BD" w:rsidRPr="00754790" w:rsidRDefault="00D620BD">
            <w:pPr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Monitoring Review</w:t>
            </w:r>
          </w:p>
        </w:tc>
      </w:tr>
    </w:tbl>
    <w:p w:rsidR="00D620BD" w:rsidRPr="00754790" w:rsidRDefault="00D620BD" w:rsidP="00281446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Validation concluded that the model is conceptually sound and suitable for portfolio risk estimation.</w:t>
      </w:r>
      <w:r w:rsidR="005D1131">
        <w:rPr>
          <w:color w:val="000000" w:themeColor="text1"/>
        </w:rPr>
        <w:pict>
          <v:rect id="_x0000_i1039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lastRenderedPageBreak/>
        <w:t>15. Monitoring Framework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Ongoing monitoring includes: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7"/>
        <w:gridCol w:w="1168"/>
      </w:tblGrid>
      <w:tr w:rsidR="00754790" w:rsidRPr="00754790" w:rsidTr="0078285C"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Metric</w:t>
            </w:r>
          </w:p>
        </w:tc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54790">
              <w:rPr>
                <w:b/>
                <w:bCs/>
                <w:color w:val="000000" w:themeColor="text1"/>
              </w:rPr>
              <w:t>Frequency</w:t>
            </w:r>
          </w:p>
        </w:tc>
      </w:tr>
      <w:tr w:rsidR="00754790" w:rsidRPr="00754790" w:rsidTr="0078285C"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PSI</w:t>
            </w:r>
          </w:p>
        </w:tc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Monthly</w:t>
            </w:r>
          </w:p>
        </w:tc>
      </w:tr>
      <w:tr w:rsidR="00754790" w:rsidRPr="00754790" w:rsidTr="0078285C"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AUC</w:t>
            </w:r>
          </w:p>
        </w:tc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Quarterly</w:t>
            </w:r>
          </w:p>
        </w:tc>
      </w:tr>
      <w:tr w:rsidR="00754790" w:rsidRPr="00754790" w:rsidTr="0078285C"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KS</w:t>
            </w:r>
          </w:p>
        </w:tc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Quarterly</w:t>
            </w:r>
          </w:p>
        </w:tc>
      </w:tr>
      <w:tr w:rsidR="00754790" w:rsidRPr="00754790" w:rsidTr="0078285C"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Calibration Bias</w:t>
            </w:r>
          </w:p>
        </w:tc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Quarterly</w:t>
            </w:r>
          </w:p>
        </w:tc>
      </w:tr>
      <w:tr w:rsidR="00754790" w:rsidRPr="00754790" w:rsidTr="0078285C"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Feature Drift</w:t>
            </w:r>
          </w:p>
        </w:tc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Monthly</w:t>
            </w:r>
          </w:p>
        </w:tc>
      </w:tr>
      <w:tr w:rsidR="00754790" w:rsidRPr="00754790" w:rsidTr="0078285C"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Champion–Challenger Review</w:t>
            </w:r>
          </w:p>
        </w:tc>
        <w:tc>
          <w:tcPr>
            <w:tcW w:w="0" w:type="auto"/>
            <w:hideMark/>
          </w:tcPr>
          <w:p w:rsidR="00D620BD" w:rsidRPr="00754790" w:rsidRDefault="00D620BD" w:rsidP="0078285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54790">
              <w:rPr>
                <w:color w:val="000000" w:themeColor="text1"/>
              </w:rPr>
              <w:t>Annual</w:t>
            </w:r>
          </w:p>
        </w:tc>
      </w:tr>
    </w:tbl>
    <w:p w:rsidR="003E1965" w:rsidRPr="005D1131" w:rsidRDefault="005D1131" w:rsidP="00D620BD">
      <w:pPr>
        <w:pStyle w:val="NormalWeb"/>
        <w:rPr>
          <w:b/>
          <w:color w:val="000000" w:themeColor="text1"/>
        </w:rPr>
      </w:pPr>
      <w:r w:rsidRPr="005D1131">
        <w:rPr>
          <w:b/>
        </w:rPr>
        <w:t>Curre</w:t>
      </w:r>
      <w:bookmarkStart w:id="0" w:name="_GoBack"/>
      <w:bookmarkEnd w:id="0"/>
      <w:r w:rsidRPr="005D1131">
        <w:rPr>
          <w:b/>
        </w:rPr>
        <w:t>nt Monitoring Results (2026)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1006"/>
      </w:tblGrid>
      <w:tr w:rsidR="003E1965" w:rsidRPr="003E1965" w:rsidTr="003E1965">
        <w:tc>
          <w:tcPr>
            <w:tcW w:w="0" w:type="auto"/>
            <w:hideMark/>
          </w:tcPr>
          <w:p w:rsidR="003E1965" w:rsidRPr="003E1965" w:rsidRDefault="003E1965" w:rsidP="003E19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3E1965" w:rsidRPr="003E1965" w:rsidRDefault="003E1965" w:rsidP="003E19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19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E1965" w:rsidRPr="003E1965" w:rsidTr="003E1965">
        <w:tc>
          <w:tcPr>
            <w:tcW w:w="0" w:type="auto"/>
            <w:hideMark/>
          </w:tcPr>
          <w:p w:rsidR="003E1965" w:rsidRPr="003E1965" w:rsidRDefault="003E1965" w:rsidP="003E19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965">
              <w:rPr>
                <w:rFonts w:ascii="Times New Roman" w:eastAsia="Times New Roman" w:hAnsi="Times New Roman" w:cs="Times New Roman"/>
                <w:sz w:val="24"/>
                <w:szCs w:val="24"/>
              </w:rPr>
              <w:t>PSI</w:t>
            </w:r>
          </w:p>
        </w:tc>
        <w:tc>
          <w:tcPr>
            <w:tcW w:w="0" w:type="auto"/>
            <w:hideMark/>
          </w:tcPr>
          <w:p w:rsidR="003E1965" w:rsidRPr="003E1965" w:rsidRDefault="003E1965" w:rsidP="003E19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965">
              <w:rPr>
                <w:rFonts w:ascii="Times New Roman" w:eastAsia="Times New Roman" w:hAnsi="Times New Roman" w:cs="Times New Roman"/>
                <w:sz w:val="24"/>
                <w:szCs w:val="24"/>
              </w:rPr>
              <w:t>0.0152</w:t>
            </w:r>
          </w:p>
        </w:tc>
      </w:tr>
      <w:tr w:rsidR="003E1965" w:rsidRPr="003E1965" w:rsidTr="003E1965">
        <w:tc>
          <w:tcPr>
            <w:tcW w:w="0" w:type="auto"/>
            <w:hideMark/>
          </w:tcPr>
          <w:p w:rsidR="003E1965" w:rsidRPr="003E1965" w:rsidRDefault="003E1965" w:rsidP="003E19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965">
              <w:rPr>
                <w:rFonts w:ascii="Times New Roman" w:eastAsia="Times New Roman" w:hAnsi="Times New Roman" w:cs="Times New Roman"/>
                <w:sz w:val="24"/>
                <w:szCs w:val="24"/>
              </w:rPr>
              <w:t>AUC</w:t>
            </w:r>
          </w:p>
        </w:tc>
        <w:tc>
          <w:tcPr>
            <w:tcW w:w="0" w:type="auto"/>
            <w:hideMark/>
          </w:tcPr>
          <w:p w:rsidR="003E1965" w:rsidRPr="003E1965" w:rsidRDefault="003E1965" w:rsidP="003E19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965">
              <w:rPr>
                <w:rFonts w:ascii="Times New Roman" w:eastAsia="Times New Roman" w:hAnsi="Times New Roman" w:cs="Times New Roman"/>
                <w:sz w:val="24"/>
                <w:szCs w:val="24"/>
              </w:rPr>
              <w:t>0.72</w:t>
            </w:r>
          </w:p>
        </w:tc>
      </w:tr>
      <w:tr w:rsidR="003E1965" w:rsidRPr="003E1965" w:rsidTr="003E1965">
        <w:tc>
          <w:tcPr>
            <w:tcW w:w="0" w:type="auto"/>
            <w:hideMark/>
          </w:tcPr>
          <w:p w:rsidR="003E1965" w:rsidRPr="003E1965" w:rsidRDefault="003E1965" w:rsidP="003E19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965">
              <w:rPr>
                <w:rFonts w:ascii="Times New Roman" w:eastAsia="Times New Roman" w:hAnsi="Times New Roman" w:cs="Times New Roman"/>
                <w:sz w:val="24"/>
                <w:szCs w:val="24"/>
              </w:rPr>
              <w:t>KS</w:t>
            </w:r>
          </w:p>
        </w:tc>
        <w:tc>
          <w:tcPr>
            <w:tcW w:w="0" w:type="auto"/>
            <w:hideMark/>
          </w:tcPr>
          <w:p w:rsidR="003E1965" w:rsidRPr="003E1965" w:rsidRDefault="003E1965" w:rsidP="003E19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965">
              <w:rPr>
                <w:rFonts w:ascii="Times New Roman" w:eastAsia="Times New Roman" w:hAnsi="Times New Roman" w:cs="Times New Roman"/>
                <w:sz w:val="24"/>
                <w:szCs w:val="24"/>
              </w:rPr>
              <w:t>0.31</w:t>
            </w:r>
          </w:p>
        </w:tc>
      </w:tr>
      <w:tr w:rsidR="003E1965" w:rsidRPr="003E1965" w:rsidTr="003E1965">
        <w:tc>
          <w:tcPr>
            <w:tcW w:w="0" w:type="auto"/>
            <w:hideMark/>
          </w:tcPr>
          <w:p w:rsidR="003E1965" w:rsidRPr="003E1965" w:rsidRDefault="003E1965" w:rsidP="003E19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965">
              <w:rPr>
                <w:rFonts w:ascii="Times New Roman" w:eastAsia="Times New Roman" w:hAnsi="Times New Roman" w:cs="Times New Roman"/>
                <w:sz w:val="24"/>
                <w:szCs w:val="24"/>
              </w:rPr>
              <w:t>Calibration Bias</w:t>
            </w:r>
          </w:p>
        </w:tc>
        <w:tc>
          <w:tcPr>
            <w:tcW w:w="0" w:type="auto"/>
            <w:hideMark/>
          </w:tcPr>
          <w:p w:rsidR="003E1965" w:rsidRPr="003E1965" w:rsidRDefault="003E1965" w:rsidP="003E19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965">
              <w:rPr>
                <w:rFonts w:ascii="Times New Roman" w:eastAsia="Times New Roman" w:hAnsi="Times New Roman" w:cs="Times New Roman"/>
                <w:sz w:val="24"/>
                <w:szCs w:val="24"/>
              </w:rPr>
              <w:t>~0.0000</w:t>
            </w:r>
          </w:p>
        </w:tc>
      </w:tr>
      <w:tr w:rsidR="003E1965" w:rsidRPr="003E1965" w:rsidTr="003E1965">
        <w:tc>
          <w:tcPr>
            <w:tcW w:w="0" w:type="auto"/>
            <w:hideMark/>
          </w:tcPr>
          <w:p w:rsidR="003E1965" w:rsidRPr="003E1965" w:rsidRDefault="003E1965" w:rsidP="003E19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965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Status</w:t>
            </w:r>
          </w:p>
        </w:tc>
        <w:tc>
          <w:tcPr>
            <w:tcW w:w="0" w:type="auto"/>
            <w:hideMark/>
          </w:tcPr>
          <w:p w:rsidR="003E1965" w:rsidRPr="003E1965" w:rsidRDefault="003E1965" w:rsidP="003E196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1965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</w:tbl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Monitoring supports early detection of model deterioration and portfolio drift.</w:t>
      </w:r>
    </w:p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40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16. Governance Framework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model operates under a governance-oriented lifecycle framework.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Monitoring threshold breaches trigger:</w:t>
      </w:r>
    </w:p>
    <w:p w:rsidR="00D620BD" w:rsidRPr="00754790" w:rsidRDefault="00D620BD" w:rsidP="00D620BD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754790">
        <w:rPr>
          <w:color w:val="000000" w:themeColor="text1"/>
        </w:rPr>
        <w:t>Drift investigation</w:t>
      </w:r>
    </w:p>
    <w:p w:rsidR="00D620BD" w:rsidRPr="00754790" w:rsidRDefault="00D620BD" w:rsidP="00D620BD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754790">
        <w:rPr>
          <w:color w:val="000000" w:themeColor="text1"/>
        </w:rPr>
        <w:t>Materiality assessment</w:t>
      </w:r>
    </w:p>
    <w:p w:rsidR="00D620BD" w:rsidRPr="00754790" w:rsidRDefault="00D620BD" w:rsidP="00D620BD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754790">
        <w:rPr>
          <w:color w:val="000000" w:themeColor="text1"/>
        </w:rPr>
        <w:t>Challenger model review</w:t>
      </w:r>
    </w:p>
    <w:p w:rsidR="00D620BD" w:rsidRPr="00754790" w:rsidRDefault="00D620BD" w:rsidP="00D620BD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754790">
        <w:rPr>
          <w:color w:val="000000" w:themeColor="text1"/>
        </w:rPr>
        <w:t>Recalibration assessment</w:t>
      </w:r>
    </w:p>
    <w:p w:rsidR="00D620BD" w:rsidRPr="00754790" w:rsidRDefault="00D620BD" w:rsidP="00D620BD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754790">
        <w:rPr>
          <w:color w:val="000000" w:themeColor="text1"/>
        </w:rPr>
        <w:t>Governance escalation where required</w:t>
      </w:r>
    </w:p>
    <w:p w:rsidR="00D620BD" w:rsidRDefault="00D620BD" w:rsidP="00255257">
      <w:pPr>
        <w:pStyle w:val="NormalWeb"/>
        <w:spacing w:before="0" w:beforeAutospacing="0" w:after="0" w:afterAutospacing="0"/>
        <w:rPr>
          <w:color w:val="000000" w:themeColor="text1"/>
        </w:rPr>
      </w:pPr>
      <w:r w:rsidRPr="00754790">
        <w:rPr>
          <w:color w:val="000000" w:themeColor="text1"/>
        </w:rPr>
        <w:t>The framework follows SR 11-7 style monitoring and model risk management principles.</w:t>
      </w:r>
    </w:p>
    <w:p w:rsidR="00222499" w:rsidRPr="00222499" w:rsidRDefault="00222499" w:rsidP="00255257">
      <w:pPr>
        <w:pStyle w:val="NormalWeb"/>
        <w:spacing w:before="0" w:beforeAutospacing="0" w:after="0" w:afterAutospacing="0"/>
        <w:rPr>
          <w:color w:val="000000" w:themeColor="text1"/>
        </w:rPr>
      </w:pPr>
      <w:r w:rsidRPr="00222499">
        <w:rPr>
          <w:color w:val="000000" w:themeColor="text1"/>
        </w:rPr>
        <w:t>Current monitoring results remain within governance thresholds.</w:t>
      </w:r>
    </w:p>
    <w:p w:rsidR="00222499" w:rsidRPr="00222499" w:rsidRDefault="00222499" w:rsidP="00255257">
      <w:pPr>
        <w:pStyle w:val="NormalWeb"/>
        <w:spacing w:before="0" w:beforeAutospacing="0" w:after="0" w:afterAutospacing="0"/>
        <w:rPr>
          <w:color w:val="000000" w:themeColor="text1"/>
        </w:rPr>
      </w:pPr>
      <w:r w:rsidRPr="00222499">
        <w:rPr>
          <w:color w:val="000000" w:themeColor="text1"/>
        </w:rPr>
        <w:t>No recalibration triggers have been breached.</w:t>
      </w:r>
    </w:p>
    <w:p w:rsidR="00222499" w:rsidRPr="00754790" w:rsidRDefault="00222499" w:rsidP="00255257">
      <w:pPr>
        <w:pStyle w:val="NormalWeb"/>
        <w:spacing w:before="0" w:beforeAutospacing="0" w:after="0" w:afterAutospacing="0"/>
        <w:rPr>
          <w:color w:val="000000" w:themeColor="text1"/>
        </w:rPr>
      </w:pPr>
      <w:r w:rsidRPr="00222499">
        <w:rPr>
          <w:color w:val="000000" w:themeColor="text1"/>
        </w:rPr>
        <w:t>No material model impairment indicators have been identified.</w:t>
      </w:r>
    </w:p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41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lastRenderedPageBreak/>
        <w:t>17. Model Risks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Key model risks include:</w:t>
      </w:r>
    </w:p>
    <w:p w:rsidR="00D620BD" w:rsidRPr="00754790" w:rsidRDefault="00D620BD" w:rsidP="00D620BD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754790">
        <w:rPr>
          <w:color w:val="000000" w:themeColor="text1"/>
        </w:rPr>
        <w:t>Portfolio drift</w:t>
      </w:r>
    </w:p>
    <w:p w:rsidR="00D620BD" w:rsidRPr="00754790" w:rsidRDefault="00D620BD" w:rsidP="00D620BD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754790">
        <w:rPr>
          <w:color w:val="000000" w:themeColor="text1"/>
        </w:rPr>
        <w:t>Calibration deterioration</w:t>
      </w:r>
    </w:p>
    <w:p w:rsidR="00D620BD" w:rsidRPr="00754790" w:rsidRDefault="00D620BD" w:rsidP="00D620BD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754790">
        <w:rPr>
          <w:color w:val="000000" w:themeColor="text1"/>
        </w:rPr>
        <w:t>Feature instability</w:t>
      </w:r>
    </w:p>
    <w:p w:rsidR="00D620BD" w:rsidRPr="00754790" w:rsidRDefault="00D620BD" w:rsidP="00D620BD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754790">
        <w:rPr>
          <w:color w:val="000000" w:themeColor="text1"/>
        </w:rPr>
        <w:t>Economic regime changes</w:t>
      </w:r>
    </w:p>
    <w:p w:rsidR="00D620BD" w:rsidRPr="00754790" w:rsidRDefault="00D620BD" w:rsidP="00D620BD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754790">
        <w:rPr>
          <w:color w:val="000000" w:themeColor="text1"/>
        </w:rPr>
        <w:t>Data quality issues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These risks are tracked through the Model Risk Register and Monitoring Plan.</w:t>
      </w:r>
    </w:p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42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18. Limitations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model was developed using publicly available Lending Club data and may not fully represent proprietary banking portfolio behavior.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Limitations include:</w:t>
      </w:r>
    </w:p>
    <w:p w:rsidR="00D620BD" w:rsidRPr="00754790" w:rsidRDefault="00D620BD" w:rsidP="00D620BD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54790">
        <w:rPr>
          <w:color w:val="000000" w:themeColor="text1"/>
        </w:rPr>
        <w:t>Limited macroeconomic variables</w:t>
      </w:r>
    </w:p>
    <w:p w:rsidR="00D620BD" w:rsidRPr="00754790" w:rsidRDefault="00D620BD" w:rsidP="00D620BD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54790">
        <w:rPr>
          <w:color w:val="000000" w:themeColor="text1"/>
        </w:rPr>
        <w:t>Simplified portfolio structure</w:t>
      </w:r>
    </w:p>
    <w:p w:rsidR="00D620BD" w:rsidRPr="00754790" w:rsidRDefault="00D620BD" w:rsidP="00D620BD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54790">
        <w:rPr>
          <w:color w:val="000000" w:themeColor="text1"/>
        </w:rPr>
        <w:t>No production deployment environment</w:t>
      </w:r>
    </w:p>
    <w:p w:rsidR="00D620BD" w:rsidRPr="00754790" w:rsidRDefault="00D620BD" w:rsidP="00D620BD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54790">
        <w:rPr>
          <w:color w:val="000000" w:themeColor="text1"/>
        </w:rPr>
        <w:t>Public dataset constraints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These limitations are acknowledged and documented within governance artifacts.</w:t>
      </w:r>
    </w:p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43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19. Relationship to IFRS9 Framework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Basel PD model serves as the foundation for the IFRS9 Expected Credit Loss framework.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PD outputs are integrated with:</w:t>
      </w:r>
    </w:p>
    <w:p w:rsidR="00D620BD" w:rsidRPr="00754790" w:rsidRDefault="00D620BD" w:rsidP="00D620BD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754790">
        <w:rPr>
          <w:color w:val="000000" w:themeColor="text1"/>
        </w:rPr>
        <w:t>Loss Given Default (LGD)</w:t>
      </w:r>
    </w:p>
    <w:p w:rsidR="00D620BD" w:rsidRPr="00754790" w:rsidRDefault="00D620BD" w:rsidP="00D620BD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754790">
        <w:rPr>
          <w:color w:val="000000" w:themeColor="text1"/>
        </w:rPr>
        <w:t>Exposure at Default (EAD)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proofErr w:type="gramStart"/>
      <w:r w:rsidRPr="00754790">
        <w:rPr>
          <w:color w:val="000000" w:themeColor="text1"/>
        </w:rPr>
        <w:t>to</w:t>
      </w:r>
      <w:proofErr w:type="gramEnd"/>
      <w:r w:rsidRPr="00754790">
        <w:rPr>
          <w:color w:val="000000" w:themeColor="text1"/>
        </w:rPr>
        <w:t xml:space="preserve"> support Expected Loss estimation.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framework is directly extensible to:</w:t>
      </w:r>
    </w:p>
    <w:p w:rsidR="00D620BD" w:rsidRPr="00754790" w:rsidRDefault="00D620BD" w:rsidP="00D620BD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754790">
        <w:rPr>
          <w:color w:val="000000" w:themeColor="text1"/>
        </w:rPr>
        <w:lastRenderedPageBreak/>
        <w:t>Stage 1 ECL</w:t>
      </w:r>
    </w:p>
    <w:p w:rsidR="00D620BD" w:rsidRPr="00754790" w:rsidRDefault="00D620BD" w:rsidP="00D620BD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754790">
        <w:rPr>
          <w:color w:val="000000" w:themeColor="text1"/>
        </w:rPr>
        <w:t>Stage 2 Lifetime ECL</w:t>
      </w:r>
    </w:p>
    <w:p w:rsidR="00D620BD" w:rsidRPr="00754790" w:rsidRDefault="00D620BD" w:rsidP="00D620BD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754790">
        <w:rPr>
          <w:color w:val="000000" w:themeColor="text1"/>
        </w:rPr>
        <w:t>Stage 3 Lifetime ECL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proofErr w:type="gramStart"/>
      <w:r w:rsidRPr="00754790">
        <w:rPr>
          <w:color w:val="000000" w:themeColor="text1"/>
        </w:rPr>
        <w:t>within</w:t>
      </w:r>
      <w:proofErr w:type="gramEnd"/>
      <w:r w:rsidRPr="00754790">
        <w:rPr>
          <w:color w:val="000000" w:themeColor="text1"/>
        </w:rPr>
        <w:t xml:space="preserve"> the IFRS9 implementation.</w:t>
      </w:r>
    </w:p>
    <w:p w:rsidR="00D620BD" w:rsidRPr="00754790" w:rsidRDefault="005D1131" w:rsidP="00D620BD">
      <w:pPr>
        <w:rPr>
          <w:color w:val="000000" w:themeColor="text1"/>
        </w:rPr>
      </w:pPr>
      <w:r>
        <w:rPr>
          <w:color w:val="000000" w:themeColor="text1"/>
        </w:rPr>
        <w:pict>
          <v:rect id="_x0000_i1044" style="width:0;height:1.5pt" o:hralign="center" o:hrstd="t" o:hr="t" fillcolor="#a0a0a0" stroked="f"/>
        </w:pict>
      </w:r>
    </w:p>
    <w:p w:rsidR="00D620BD" w:rsidRPr="00754790" w:rsidRDefault="00D620BD" w:rsidP="00D620BD">
      <w:pPr>
        <w:pStyle w:val="Heading1"/>
        <w:rPr>
          <w:color w:val="000000" w:themeColor="text1"/>
        </w:rPr>
      </w:pPr>
      <w:r w:rsidRPr="00754790">
        <w:rPr>
          <w:color w:val="000000" w:themeColor="text1"/>
        </w:rPr>
        <w:t>20. Conclusion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Basel III-aligned PD model provides a structured and explainable framework for retail credit risk estimation.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r w:rsidRPr="00754790">
        <w:rPr>
          <w:color w:val="000000" w:themeColor="text1"/>
        </w:rPr>
        <w:t>The implementation demonstrates:</w:t>
      </w:r>
    </w:p>
    <w:p w:rsidR="00D620BD" w:rsidRPr="00754790" w:rsidRDefault="00D620BD" w:rsidP="00D620BD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754790">
        <w:rPr>
          <w:color w:val="000000" w:themeColor="text1"/>
        </w:rPr>
        <w:t>Basel-style scorecard development</w:t>
      </w:r>
    </w:p>
    <w:p w:rsidR="00D620BD" w:rsidRPr="00754790" w:rsidRDefault="00D620BD" w:rsidP="00D620BD">
      <w:pPr>
        <w:pStyle w:val="NormalWeb"/>
        <w:numPr>
          <w:ilvl w:val="0"/>
          <w:numId w:val="23"/>
        </w:numPr>
        <w:rPr>
          <w:color w:val="000000" w:themeColor="text1"/>
        </w:rPr>
      </w:pPr>
      <w:proofErr w:type="spellStart"/>
      <w:r w:rsidRPr="00754790">
        <w:rPr>
          <w:color w:val="000000" w:themeColor="text1"/>
        </w:rPr>
        <w:t>WoE</w:t>
      </w:r>
      <w:proofErr w:type="spellEnd"/>
      <w:r w:rsidRPr="00754790">
        <w:rPr>
          <w:color w:val="000000" w:themeColor="text1"/>
        </w:rPr>
        <w:t xml:space="preserve"> and IV methodology</w:t>
      </w:r>
    </w:p>
    <w:p w:rsidR="00D620BD" w:rsidRPr="00754790" w:rsidRDefault="00D620BD" w:rsidP="00D620BD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754790">
        <w:rPr>
          <w:color w:val="000000" w:themeColor="text1"/>
        </w:rPr>
        <w:t>Logistic Regression modeling</w:t>
      </w:r>
    </w:p>
    <w:p w:rsidR="00D620BD" w:rsidRPr="00754790" w:rsidRDefault="00D620BD" w:rsidP="00D620BD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754790">
        <w:rPr>
          <w:color w:val="000000" w:themeColor="text1"/>
        </w:rPr>
        <w:t>Champion–Challenger benchmarking</w:t>
      </w:r>
    </w:p>
    <w:p w:rsidR="00D620BD" w:rsidRPr="00754790" w:rsidRDefault="00D620BD" w:rsidP="00D620BD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754790">
        <w:rPr>
          <w:color w:val="000000" w:themeColor="text1"/>
        </w:rPr>
        <w:t>Validation practices</w:t>
      </w:r>
    </w:p>
    <w:p w:rsidR="00D620BD" w:rsidRPr="00754790" w:rsidRDefault="00D620BD" w:rsidP="00D620BD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754790">
        <w:rPr>
          <w:color w:val="000000" w:themeColor="text1"/>
        </w:rPr>
        <w:t>Monitoring controls</w:t>
      </w:r>
    </w:p>
    <w:p w:rsidR="00D620BD" w:rsidRPr="00754790" w:rsidRDefault="00D620BD" w:rsidP="00D620BD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754790">
        <w:rPr>
          <w:color w:val="000000" w:themeColor="text1"/>
        </w:rPr>
        <w:t>Governance and model risk management concepts</w:t>
      </w:r>
    </w:p>
    <w:p w:rsidR="00D620BD" w:rsidRPr="00754790" w:rsidRDefault="00D620BD" w:rsidP="00D620BD">
      <w:pPr>
        <w:pStyle w:val="NormalWeb"/>
        <w:rPr>
          <w:color w:val="000000" w:themeColor="text1"/>
        </w:rPr>
      </w:pPr>
      <w:proofErr w:type="gramStart"/>
      <w:r w:rsidRPr="00754790">
        <w:rPr>
          <w:color w:val="000000" w:themeColor="text1"/>
        </w:rPr>
        <w:t>across</w:t>
      </w:r>
      <w:proofErr w:type="gramEnd"/>
      <w:r w:rsidRPr="00754790">
        <w:rPr>
          <w:color w:val="000000" w:themeColor="text1"/>
        </w:rPr>
        <w:t xml:space="preserve"> the complete model lifecycle.</w:t>
      </w:r>
    </w:p>
    <w:p w:rsidR="001715CA" w:rsidRPr="00754790" w:rsidRDefault="001715CA" w:rsidP="00D620BD">
      <w:pPr>
        <w:rPr>
          <w:color w:val="000000" w:themeColor="text1"/>
        </w:rPr>
      </w:pPr>
    </w:p>
    <w:sectPr w:rsidR="001715CA" w:rsidRPr="00754790" w:rsidSect="009C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D3CDB"/>
    <w:multiLevelType w:val="multilevel"/>
    <w:tmpl w:val="D98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EF6567"/>
    <w:multiLevelType w:val="hybridMultilevel"/>
    <w:tmpl w:val="D0968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775C1F"/>
    <w:multiLevelType w:val="multilevel"/>
    <w:tmpl w:val="C5A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5A517C"/>
    <w:multiLevelType w:val="multilevel"/>
    <w:tmpl w:val="803E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081E68"/>
    <w:multiLevelType w:val="multilevel"/>
    <w:tmpl w:val="5DC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5E65DC"/>
    <w:multiLevelType w:val="multilevel"/>
    <w:tmpl w:val="FE3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4F3087"/>
    <w:multiLevelType w:val="multilevel"/>
    <w:tmpl w:val="AF4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616A8B"/>
    <w:multiLevelType w:val="hybridMultilevel"/>
    <w:tmpl w:val="0D12E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816E0B"/>
    <w:multiLevelType w:val="multilevel"/>
    <w:tmpl w:val="CED4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F678B8"/>
    <w:multiLevelType w:val="multilevel"/>
    <w:tmpl w:val="D5A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3861B4"/>
    <w:multiLevelType w:val="hybridMultilevel"/>
    <w:tmpl w:val="017A1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0218DD"/>
    <w:multiLevelType w:val="multilevel"/>
    <w:tmpl w:val="2B3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2428C1"/>
    <w:multiLevelType w:val="multilevel"/>
    <w:tmpl w:val="49A0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660C58"/>
    <w:multiLevelType w:val="multilevel"/>
    <w:tmpl w:val="624E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3E5310"/>
    <w:multiLevelType w:val="multilevel"/>
    <w:tmpl w:val="8B06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955C52"/>
    <w:multiLevelType w:val="multilevel"/>
    <w:tmpl w:val="EFC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DB6A84"/>
    <w:multiLevelType w:val="multilevel"/>
    <w:tmpl w:val="31FE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F4745A"/>
    <w:multiLevelType w:val="multilevel"/>
    <w:tmpl w:val="D6D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D244D9"/>
    <w:multiLevelType w:val="multilevel"/>
    <w:tmpl w:val="D78E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AD6E56"/>
    <w:multiLevelType w:val="hybridMultilevel"/>
    <w:tmpl w:val="4E547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051B9A"/>
    <w:multiLevelType w:val="hybridMultilevel"/>
    <w:tmpl w:val="29D2C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7877DD"/>
    <w:multiLevelType w:val="multilevel"/>
    <w:tmpl w:val="6FE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DD2577"/>
    <w:multiLevelType w:val="multilevel"/>
    <w:tmpl w:val="F1E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21"/>
  </w:num>
  <w:num w:numId="5">
    <w:abstractNumId w:val="13"/>
  </w:num>
  <w:num w:numId="6">
    <w:abstractNumId w:val="20"/>
  </w:num>
  <w:num w:numId="7">
    <w:abstractNumId w:val="1"/>
  </w:num>
  <w:num w:numId="8">
    <w:abstractNumId w:val="10"/>
  </w:num>
  <w:num w:numId="9">
    <w:abstractNumId w:val="7"/>
  </w:num>
  <w:num w:numId="10">
    <w:abstractNumId w:val="19"/>
  </w:num>
  <w:num w:numId="11">
    <w:abstractNumId w:val="8"/>
  </w:num>
  <w:num w:numId="12">
    <w:abstractNumId w:val="15"/>
  </w:num>
  <w:num w:numId="13">
    <w:abstractNumId w:val="16"/>
  </w:num>
  <w:num w:numId="14">
    <w:abstractNumId w:val="3"/>
  </w:num>
  <w:num w:numId="15">
    <w:abstractNumId w:val="22"/>
  </w:num>
  <w:num w:numId="16">
    <w:abstractNumId w:val="18"/>
  </w:num>
  <w:num w:numId="17">
    <w:abstractNumId w:val="2"/>
  </w:num>
  <w:num w:numId="18">
    <w:abstractNumId w:val="12"/>
  </w:num>
  <w:num w:numId="19">
    <w:abstractNumId w:val="4"/>
  </w:num>
  <w:num w:numId="20">
    <w:abstractNumId w:val="17"/>
  </w:num>
  <w:num w:numId="21">
    <w:abstractNumId w:val="6"/>
  </w:num>
  <w:num w:numId="22">
    <w:abstractNumId w:val="14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A58"/>
    <w:rsid w:val="00007F2B"/>
    <w:rsid w:val="001715CA"/>
    <w:rsid w:val="00195DE1"/>
    <w:rsid w:val="00222499"/>
    <w:rsid w:val="00255257"/>
    <w:rsid w:val="00281446"/>
    <w:rsid w:val="003644B2"/>
    <w:rsid w:val="003742FD"/>
    <w:rsid w:val="003E1965"/>
    <w:rsid w:val="00437714"/>
    <w:rsid w:val="004519AD"/>
    <w:rsid w:val="004B45B4"/>
    <w:rsid w:val="004B5FDB"/>
    <w:rsid w:val="005D1131"/>
    <w:rsid w:val="00754790"/>
    <w:rsid w:val="0078285C"/>
    <w:rsid w:val="007924E5"/>
    <w:rsid w:val="007D2E14"/>
    <w:rsid w:val="009C15F0"/>
    <w:rsid w:val="009C3F52"/>
    <w:rsid w:val="009E2A58"/>
    <w:rsid w:val="00B94511"/>
    <w:rsid w:val="00D472AF"/>
    <w:rsid w:val="00D620BD"/>
    <w:rsid w:val="00E425FC"/>
    <w:rsid w:val="00E6787F"/>
    <w:rsid w:val="00F327E8"/>
    <w:rsid w:val="00F9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0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0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2A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2A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E2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E2A5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20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0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3644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0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0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2A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2A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E2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E2A5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20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0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3644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0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28</cp:revision>
  <dcterms:created xsi:type="dcterms:W3CDTF">2026-05-03T16:25:00Z</dcterms:created>
  <dcterms:modified xsi:type="dcterms:W3CDTF">2026-05-30T11:26:00Z</dcterms:modified>
</cp:coreProperties>
</file>