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BFB" w:rsidRDefault="00231934" w:rsidP="007F7BFB">
      <w:pPr>
        <w:spacing w:before="100" w:beforeAutospacing="1" w:after="100" w:afterAutospacing="1" w:line="240" w:lineRule="auto"/>
        <w:outlineLvl w:val="1"/>
        <w:rPr>
          <w:rFonts w:ascii="Calibri" w:eastAsia="Times New Roman" w:hAnsi="Calibri" w:cs="Calibri"/>
          <w:b/>
          <w:bCs/>
          <w:sz w:val="48"/>
          <w:szCs w:val="48"/>
        </w:rPr>
      </w:pPr>
      <w:r w:rsidRPr="00E52A13">
        <w:rPr>
          <w:rFonts w:ascii="Calibri" w:eastAsia="Times New Roman" w:hAnsi="Calibri" w:cs="Calibri"/>
          <w:b/>
          <w:bCs/>
          <w:sz w:val="48"/>
          <w:szCs w:val="48"/>
        </w:rPr>
        <w:t>Model Monitoring Summary Report</w:t>
      </w:r>
    </w:p>
    <w:p w:rsidR="00E52A13" w:rsidRPr="007F7BFB" w:rsidRDefault="00E52A13" w:rsidP="007F7BFB">
      <w:pPr>
        <w:spacing w:before="100" w:beforeAutospacing="1" w:after="100" w:afterAutospacing="1" w:line="240" w:lineRule="auto"/>
        <w:outlineLvl w:val="1"/>
        <w:rPr>
          <w:rFonts w:ascii="Calibri" w:eastAsia="Times New Roman" w:hAnsi="Calibri" w:cs="Calibri"/>
          <w:b/>
          <w:bCs/>
          <w:sz w:val="36"/>
          <w:szCs w:val="36"/>
        </w:rPr>
      </w:pPr>
      <w:r w:rsidRPr="00E52A13">
        <w:rPr>
          <w:sz w:val="36"/>
          <w:szCs w:val="36"/>
        </w:rPr>
        <w:t>Integrated Credit Risk Monitoring Framework</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5"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1. Objective</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objective of the monitoring framework is to evaluate ongoing model stability, portfolio drift, calibration consistency, and predictive reliability following model deployment.</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process supports key model risk management principles including:</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Drift detection </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Stability assessment </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Calibration monitoring </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Recalibration assessment </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Governance oversight </w:t>
      </w:r>
    </w:p>
    <w:p w:rsidR="007F7BFB" w:rsidRPr="007F7BFB" w:rsidRDefault="007F7BFB" w:rsidP="007F7BFB">
      <w:pPr>
        <w:numPr>
          <w:ilvl w:val="0"/>
          <w:numId w:val="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Lifecycle monitoring </w:t>
      </w:r>
    </w:p>
    <w:p w:rsid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framework was designed to ensure that the model continues to perform reliably on out-of-time (OOT) populations and remains aligned with portfolio behavior over time.</w:t>
      </w:r>
    </w:p>
    <w:p w:rsidR="00F87DE1" w:rsidRPr="007F7BFB" w:rsidRDefault="00F87DE1" w:rsidP="007F7BFB">
      <w:pPr>
        <w:spacing w:before="100" w:beforeAutospacing="1" w:after="100" w:afterAutospacing="1" w:line="240" w:lineRule="auto"/>
        <w:rPr>
          <w:rFonts w:ascii="Calibri" w:eastAsia="Times New Roman" w:hAnsi="Calibri" w:cs="Calibri"/>
          <w:sz w:val="24"/>
          <w:szCs w:val="24"/>
        </w:rPr>
      </w:pPr>
      <w:r w:rsidRPr="00F87DE1">
        <w:rPr>
          <w:rFonts w:ascii="Calibri" w:eastAsia="Times New Roman" w:hAnsi="Calibri" w:cs="Calibri"/>
          <w:sz w:val="24"/>
          <w:szCs w:val="24"/>
        </w:rPr>
        <w:t>The monitoring process supports ongoing lifecycle management including drift detection, recalibration assessment, performance review, and governance escalation.</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6"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2. Monitoring Framework</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A monitoring framework was established to support continuous evaluation of model performance and portfolio stability following deployment.</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framework includes periodic assessment of:</w:t>
      </w:r>
    </w:p>
    <w:p w:rsidR="007F7BFB" w:rsidRP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Score stability </w:t>
      </w:r>
    </w:p>
    <w:p w:rsidR="007F7BFB" w:rsidRP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Feature stability </w:t>
      </w:r>
    </w:p>
    <w:p w:rsidR="007F7BFB" w:rsidRP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Calibration consistency </w:t>
      </w:r>
    </w:p>
    <w:p w:rsidR="007F7BFB" w:rsidRP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 drift behavior </w:t>
      </w:r>
    </w:p>
    <w:p w:rsidR="007F7BFB" w:rsidRP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Model performance degradation </w:t>
      </w:r>
    </w:p>
    <w:p w:rsidR="007F7BFB" w:rsidRDefault="007F7BFB" w:rsidP="007F7BFB">
      <w:pPr>
        <w:numPr>
          <w:ilvl w:val="0"/>
          <w:numId w:val="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lastRenderedPageBreak/>
        <w:t xml:space="preserve">Threshold-based escalation review </w:t>
      </w:r>
    </w:p>
    <w:p w:rsidR="007F7BFB" w:rsidRPr="007F7BFB" w:rsidRDefault="000931FB" w:rsidP="000931FB">
      <w:pPr>
        <w:spacing w:before="100" w:beforeAutospacing="1" w:after="100" w:afterAutospacing="1" w:line="240" w:lineRule="auto"/>
        <w:rPr>
          <w:rFonts w:ascii="Calibri" w:eastAsia="Times New Roman" w:hAnsi="Calibri" w:cs="Calibri"/>
          <w:sz w:val="24"/>
          <w:szCs w:val="24"/>
        </w:rPr>
      </w:pPr>
      <w:r w:rsidRPr="000931FB">
        <w:rPr>
          <w:rFonts w:ascii="Calibri" w:eastAsia="Times New Roman" w:hAnsi="Calibri" w:cs="Calibri"/>
          <w:sz w:val="24"/>
          <w:szCs w:val="24"/>
        </w:rPr>
        <w:t>Monitoring outputs are archived periodically to support auditability, governance review, and model lifecycle documentation.</w:t>
      </w:r>
      <w:r w:rsidR="00302D0F">
        <w:rPr>
          <w:rFonts w:ascii="Calibri" w:eastAsia="Times New Roman" w:hAnsi="Calibri" w:cs="Calibri"/>
          <w:sz w:val="24"/>
          <w:szCs w:val="24"/>
        </w:rPr>
        <w:pict>
          <v:rect id="_x0000_i1027"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Monitoring Components</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Score Stability Monitoring</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Population Stability Index (PSI) is used to monitor changes in predicted probability distributions over time.</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Feature Stability Monitoring</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Feature-level PSI analysis is used to identify population drift within model input variables.</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Calibration Monitoring</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Predicted probability distributions are periodically compared against observed default behavior to evaluate calibration consistency.</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Performance Monitoring</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Model discriminatory power and ranking capability are periodically reviewed using performance metrics such as AUC and default rate analysis.</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Scenario-Based Monitoring Review</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Periodic monitoring reviews are performed to evaluate model sensitivity under changing borrower and portfolio conditions.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8"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Monitoring Frequency</w:t>
      </w:r>
    </w:p>
    <w:tbl>
      <w:tblPr>
        <w:tblStyle w:val="TableGrid"/>
        <w:tblW w:w="8891" w:type="dxa"/>
        <w:tblLook w:val="04A0" w:firstRow="1" w:lastRow="0" w:firstColumn="1" w:lastColumn="0" w:noHBand="0" w:noVBand="1"/>
      </w:tblPr>
      <w:tblGrid>
        <w:gridCol w:w="5899"/>
        <w:gridCol w:w="2992"/>
      </w:tblGrid>
      <w:tr w:rsidR="007F7BFB" w:rsidRPr="007F7BFB" w:rsidTr="007F7BFB">
        <w:trPr>
          <w:trHeight w:val="357"/>
        </w:trPr>
        <w:tc>
          <w:tcPr>
            <w:tcW w:w="0" w:type="auto"/>
            <w:hideMark/>
          </w:tcPr>
          <w:p w:rsidR="007F7BFB" w:rsidRPr="007F7BFB" w:rsidRDefault="007F7BFB" w:rsidP="007F7BFB">
            <w:pPr>
              <w:jc w:val="center"/>
              <w:rPr>
                <w:rFonts w:ascii="Calibri" w:eastAsia="Times New Roman" w:hAnsi="Calibri" w:cs="Calibri"/>
                <w:b/>
                <w:bCs/>
                <w:sz w:val="24"/>
                <w:szCs w:val="24"/>
              </w:rPr>
            </w:pPr>
            <w:r w:rsidRPr="007F7BFB">
              <w:rPr>
                <w:rFonts w:ascii="Calibri" w:eastAsia="Times New Roman" w:hAnsi="Calibri" w:cs="Calibri"/>
                <w:b/>
                <w:bCs/>
                <w:sz w:val="24"/>
                <w:szCs w:val="24"/>
              </w:rPr>
              <w:t>Monitoring Activity</w:t>
            </w:r>
          </w:p>
        </w:tc>
        <w:tc>
          <w:tcPr>
            <w:tcW w:w="0" w:type="auto"/>
            <w:hideMark/>
          </w:tcPr>
          <w:p w:rsidR="007F7BFB" w:rsidRPr="007F7BFB" w:rsidRDefault="007F7BFB" w:rsidP="007F7BFB">
            <w:pPr>
              <w:jc w:val="center"/>
              <w:rPr>
                <w:rFonts w:ascii="Calibri" w:eastAsia="Times New Roman" w:hAnsi="Calibri" w:cs="Calibri"/>
                <w:b/>
                <w:bCs/>
                <w:sz w:val="24"/>
                <w:szCs w:val="24"/>
              </w:rPr>
            </w:pPr>
            <w:r w:rsidRPr="007F7BFB">
              <w:rPr>
                <w:rFonts w:ascii="Calibri" w:eastAsia="Times New Roman" w:hAnsi="Calibri" w:cs="Calibri"/>
                <w:b/>
                <w:bCs/>
                <w:sz w:val="24"/>
                <w:szCs w:val="24"/>
              </w:rPr>
              <w:t>Frequency</w:t>
            </w:r>
          </w:p>
        </w:tc>
      </w:tr>
      <w:tr w:rsidR="007F7BFB" w:rsidRPr="007F7BFB" w:rsidTr="007F7BFB">
        <w:trPr>
          <w:trHeight w:val="342"/>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Score PSI Monitoring</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Monthly</w:t>
            </w:r>
          </w:p>
        </w:tc>
      </w:tr>
      <w:tr w:rsidR="007F7BFB" w:rsidRPr="007F7BFB" w:rsidTr="007F7BFB">
        <w:trPr>
          <w:trHeight w:val="342"/>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Feature PSI Monitoring</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Monthly</w:t>
            </w:r>
          </w:p>
        </w:tc>
      </w:tr>
      <w:tr w:rsidR="007F7BFB" w:rsidRPr="007F7BFB" w:rsidTr="007F7BFB">
        <w:trPr>
          <w:trHeight w:val="342"/>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Calibration Review</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Quarterly</w:t>
            </w:r>
          </w:p>
        </w:tc>
      </w:tr>
      <w:tr w:rsidR="007F7BFB" w:rsidRPr="007F7BFB" w:rsidTr="007F7BFB">
        <w:trPr>
          <w:trHeight w:val="342"/>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Performance Review</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Quarterly</w:t>
            </w:r>
          </w:p>
        </w:tc>
      </w:tr>
      <w:tr w:rsidR="007F7BFB" w:rsidRPr="007F7BFB" w:rsidTr="007F7BFB">
        <w:trPr>
          <w:trHeight w:val="357"/>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lastRenderedPageBreak/>
              <w:t>Governance Review</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Periodic</w:t>
            </w:r>
          </w:p>
        </w:tc>
      </w:tr>
    </w:tbl>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Monitoring Thresholds</w:t>
      </w:r>
    </w:p>
    <w:tbl>
      <w:tblPr>
        <w:tblStyle w:val="TableGrid"/>
        <w:tblW w:w="8472" w:type="dxa"/>
        <w:tblLook w:val="04A0" w:firstRow="1" w:lastRow="0" w:firstColumn="1" w:lastColumn="0" w:noHBand="0" w:noVBand="1"/>
      </w:tblPr>
      <w:tblGrid>
        <w:gridCol w:w="4351"/>
        <w:gridCol w:w="4121"/>
      </w:tblGrid>
      <w:tr w:rsidR="007F7BFB" w:rsidRPr="007F7BFB" w:rsidTr="007F7BFB">
        <w:trPr>
          <w:trHeight w:val="298"/>
        </w:trPr>
        <w:tc>
          <w:tcPr>
            <w:tcW w:w="0" w:type="auto"/>
            <w:hideMark/>
          </w:tcPr>
          <w:p w:rsidR="007F7BFB" w:rsidRPr="007F7BFB" w:rsidRDefault="007F7BFB" w:rsidP="007F7BFB">
            <w:pPr>
              <w:jc w:val="center"/>
              <w:rPr>
                <w:rFonts w:ascii="Calibri" w:eastAsia="Times New Roman" w:hAnsi="Calibri" w:cs="Calibri"/>
                <w:b/>
                <w:bCs/>
                <w:sz w:val="24"/>
                <w:szCs w:val="24"/>
              </w:rPr>
            </w:pPr>
            <w:r w:rsidRPr="007F7BFB">
              <w:rPr>
                <w:rFonts w:ascii="Calibri" w:eastAsia="Times New Roman" w:hAnsi="Calibri" w:cs="Calibri"/>
                <w:b/>
                <w:bCs/>
                <w:sz w:val="24"/>
                <w:szCs w:val="24"/>
              </w:rPr>
              <w:t>PSI Range</w:t>
            </w:r>
          </w:p>
        </w:tc>
        <w:tc>
          <w:tcPr>
            <w:tcW w:w="0" w:type="auto"/>
            <w:hideMark/>
          </w:tcPr>
          <w:p w:rsidR="007F7BFB" w:rsidRPr="007F7BFB" w:rsidRDefault="007F7BFB" w:rsidP="007F7BFB">
            <w:pPr>
              <w:jc w:val="center"/>
              <w:rPr>
                <w:rFonts w:ascii="Calibri" w:eastAsia="Times New Roman" w:hAnsi="Calibri" w:cs="Calibri"/>
                <w:b/>
                <w:bCs/>
                <w:sz w:val="24"/>
                <w:szCs w:val="24"/>
              </w:rPr>
            </w:pPr>
            <w:r w:rsidRPr="007F7BFB">
              <w:rPr>
                <w:rFonts w:ascii="Calibri" w:eastAsia="Times New Roman" w:hAnsi="Calibri" w:cs="Calibri"/>
                <w:b/>
                <w:bCs/>
                <w:sz w:val="24"/>
                <w:szCs w:val="24"/>
              </w:rPr>
              <w:t>Interpretation</w:t>
            </w:r>
          </w:p>
        </w:tc>
      </w:tr>
      <w:tr w:rsidR="007F7BFB" w:rsidRPr="007F7BFB" w:rsidTr="007F7BFB">
        <w:trPr>
          <w:trHeight w:val="285"/>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PSI &lt; 0.10</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Stable</w:t>
            </w:r>
          </w:p>
        </w:tc>
      </w:tr>
      <w:tr w:rsidR="007F7BFB" w:rsidRPr="007F7BFB" w:rsidTr="007F7BFB">
        <w:trPr>
          <w:trHeight w:val="285"/>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0.10 ≤ PSI &lt; 0.25</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Moderate Drift</w:t>
            </w:r>
          </w:p>
        </w:tc>
      </w:tr>
      <w:tr w:rsidR="007F7BFB" w:rsidRPr="007F7BFB" w:rsidTr="007F7BFB">
        <w:trPr>
          <w:trHeight w:val="298"/>
        </w:trPr>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PSI ≥ 0.25</w:t>
            </w:r>
          </w:p>
        </w:tc>
        <w:tc>
          <w:tcPr>
            <w:tcW w:w="0" w:type="auto"/>
            <w:hideMark/>
          </w:tcPr>
          <w:p w:rsidR="007F7BFB" w:rsidRPr="007F7BFB" w:rsidRDefault="007F7BFB" w:rsidP="007F7BFB">
            <w:pPr>
              <w:jc w:val="center"/>
              <w:rPr>
                <w:rFonts w:ascii="Calibri" w:eastAsia="Times New Roman" w:hAnsi="Calibri" w:cs="Calibri"/>
                <w:sz w:val="24"/>
                <w:szCs w:val="24"/>
              </w:rPr>
            </w:pPr>
            <w:r w:rsidRPr="007F7BFB">
              <w:rPr>
                <w:rFonts w:ascii="Calibri" w:eastAsia="Times New Roman" w:hAnsi="Calibri" w:cs="Calibri"/>
                <w:sz w:val="24"/>
                <w:szCs w:val="24"/>
              </w:rPr>
              <w:t>Significant Drift</w:t>
            </w:r>
          </w:p>
        </w:tc>
      </w:tr>
    </w:tbl>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0"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3. Score Stability Analysis</w:t>
      </w:r>
    </w:p>
    <w:p w:rsid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Score PSI Result</w:t>
      </w:r>
    </w:p>
    <w:tbl>
      <w:tblPr>
        <w:tblStyle w:val="TableGrid"/>
        <w:tblW w:w="5786" w:type="dxa"/>
        <w:tblLook w:val="04A0" w:firstRow="1" w:lastRow="0" w:firstColumn="1" w:lastColumn="0" w:noHBand="0" w:noVBand="1"/>
      </w:tblPr>
      <w:tblGrid>
        <w:gridCol w:w="2964"/>
        <w:gridCol w:w="1524"/>
        <w:gridCol w:w="1298"/>
      </w:tblGrid>
      <w:tr w:rsidR="00AA7FE1" w:rsidRPr="00AA7FE1" w:rsidTr="00AA7FE1">
        <w:trPr>
          <w:trHeight w:val="288"/>
        </w:trPr>
        <w:tc>
          <w:tcPr>
            <w:tcW w:w="0" w:type="auto"/>
            <w:hideMark/>
          </w:tcPr>
          <w:p w:rsidR="00AA7FE1" w:rsidRPr="00AA7FE1" w:rsidRDefault="00AA7FE1" w:rsidP="00AA7FE1">
            <w:pPr>
              <w:jc w:val="center"/>
              <w:rPr>
                <w:rFonts w:ascii="Times New Roman" w:eastAsia="Times New Roman" w:hAnsi="Times New Roman" w:cs="Times New Roman"/>
                <w:b/>
                <w:bCs/>
                <w:sz w:val="24"/>
                <w:szCs w:val="24"/>
              </w:rPr>
            </w:pPr>
            <w:r w:rsidRPr="00AA7FE1">
              <w:rPr>
                <w:rFonts w:ascii="Times New Roman" w:eastAsia="Times New Roman" w:hAnsi="Times New Roman" w:cs="Times New Roman"/>
                <w:b/>
                <w:bCs/>
                <w:sz w:val="24"/>
                <w:szCs w:val="24"/>
              </w:rPr>
              <w:t>Metric</w:t>
            </w:r>
          </w:p>
        </w:tc>
        <w:tc>
          <w:tcPr>
            <w:tcW w:w="0" w:type="auto"/>
            <w:hideMark/>
          </w:tcPr>
          <w:p w:rsidR="00AA7FE1" w:rsidRPr="00AA7FE1" w:rsidRDefault="00AA7FE1" w:rsidP="00AA7FE1">
            <w:pPr>
              <w:jc w:val="center"/>
              <w:rPr>
                <w:rFonts w:ascii="Times New Roman" w:eastAsia="Times New Roman" w:hAnsi="Times New Roman" w:cs="Times New Roman"/>
                <w:b/>
                <w:bCs/>
                <w:sz w:val="24"/>
                <w:szCs w:val="24"/>
              </w:rPr>
            </w:pPr>
            <w:r w:rsidRPr="00AA7FE1">
              <w:rPr>
                <w:rFonts w:ascii="Times New Roman" w:eastAsia="Times New Roman" w:hAnsi="Times New Roman" w:cs="Times New Roman"/>
                <w:b/>
                <w:bCs/>
                <w:sz w:val="24"/>
                <w:szCs w:val="24"/>
              </w:rPr>
              <w:t>Result</w:t>
            </w:r>
          </w:p>
        </w:tc>
        <w:tc>
          <w:tcPr>
            <w:tcW w:w="0" w:type="auto"/>
            <w:hideMark/>
          </w:tcPr>
          <w:p w:rsidR="00AA7FE1" w:rsidRPr="00AA7FE1" w:rsidRDefault="00AA7FE1" w:rsidP="00AA7FE1">
            <w:pPr>
              <w:jc w:val="center"/>
              <w:rPr>
                <w:rFonts w:ascii="Times New Roman" w:eastAsia="Times New Roman" w:hAnsi="Times New Roman" w:cs="Times New Roman"/>
                <w:b/>
                <w:bCs/>
                <w:sz w:val="24"/>
                <w:szCs w:val="24"/>
              </w:rPr>
            </w:pPr>
            <w:r w:rsidRPr="00AA7FE1">
              <w:rPr>
                <w:rFonts w:ascii="Times New Roman" w:eastAsia="Times New Roman" w:hAnsi="Times New Roman" w:cs="Times New Roman"/>
                <w:b/>
                <w:bCs/>
                <w:sz w:val="24"/>
                <w:szCs w:val="24"/>
              </w:rPr>
              <w:t>Status</w:t>
            </w:r>
          </w:p>
        </w:tc>
      </w:tr>
      <w:tr w:rsidR="00AA7FE1" w:rsidRPr="00AA7FE1" w:rsidTr="00AA7FE1">
        <w:trPr>
          <w:trHeight w:val="301"/>
        </w:trPr>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Score PSI</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0.0439</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Stable</w:t>
            </w:r>
          </w:p>
        </w:tc>
      </w:tr>
      <w:tr w:rsidR="00AA7FE1" w:rsidRPr="00AA7FE1" w:rsidTr="00AA7FE1">
        <w:trPr>
          <w:trHeight w:val="301"/>
        </w:trPr>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AUC</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0.72</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Stable</w:t>
            </w:r>
          </w:p>
        </w:tc>
      </w:tr>
      <w:tr w:rsidR="00AA7FE1" w:rsidRPr="00AA7FE1" w:rsidTr="00AA7FE1">
        <w:trPr>
          <w:trHeight w:val="301"/>
        </w:trPr>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KS</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0.31</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Stable</w:t>
            </w:r>
          </w:p>
        </w:tc>
      </w:tr>
      <w:tr w:rsidR="00AA7FE1" w:rsidRPr="00AA7FE1" w:rsidTr="00AA7FE1">
        <w:trPr>
          <w:trHeight w:val="301"/>
        </w:trPr>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Calibration Bias</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~0.0000</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Stable</w:t>
            </w:r>
          </w:p>
        </w:tc>
      </w:tr>
      <w:tr w:rsidR="00AA7FE1" w:rsidRPr="00AA7FE1" w:rsidTr="00AA7FE1">
        <w:trPr>
          <w:trHeight w:val="301"/>
        </w:trPr>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Monitoring Status</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r w:rsidRPr="00AA7FE1">
              <w:rPr>
                <w:rFonts w:ascii="Times New Roman" w:eastAsia="Times New Roman" w:hAnsi="Times New Roman" w:cs="Times New Roman"/>
                <w:sz w:val="24"/>
                <w:szCs w:val="24"/>
              </w:rPr>
              <w:t>Stable</w:t>
            </w:r>
          </w:p>
        </w:tc>
        <w:tc>
          <w:tcPr>
            <w:tcW w:w="0" w:type="auto"/>
            <w:hideMark/>
          </w:tcPr>
          <w:p w:rsidR="00AA7FE1" w:rsidRPr="00AA7FE1" w:rsidRDefault="00AA7FE1" w:rsidP="00AA7FE1">
            <w:pPr>
              <w:jc w:val="center"/>
              <w:rPr>
                <w:rFonts w:ascii="Times New Roman" w:eastAsia="Times New Roman" w:hAnsi="Times New Roman" w:cs="Times New Roman"/>
                <w:sz w:val="24"/>
                <w:szCs w:val="24"/>
              </w:rPr>
            </w:pPr>
          </w:p>
        </w:tc>
      </w:tr>
    </w:tbl>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1"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Interpretation</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Population Stability Index (PSI) for predicted probabilities remained below the established monitoring threshold of 0.10.</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results indicate:</w:t>
      </w:r>
    </w:p>
    <w:p w:rsidR="007F7BFB" w:rsidRPr="007F7BFB" w:rsidRDefault="007F7BFB" w:rsidP="007F7BFB">
      <w:pPr>
        <w:numPr>
          <w:ilvl w:val="0"/>
          <w:numId w:val="3"/>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Stable score distribution behavior </w:t>
      </w:r>
    </w:p>
    <w:p w:rsidR="007F7BFB" w:rsidRPr="007F7BFB" w:rsidRDefault="007F7BFB" w:rsidP="007F7BFB">
      <w:pPr>
        <w:numPr>
          <w:ilvl w:val="0"/>
          <w:numId w:val="3"/>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No material shift in portfolio-level prediction patterns </w:t>
      </w:r>
    </w:p>
    <w:p w:rsidR="007F7BFB" w:rsidRPr="007F7BFB" w:rsidRDefault="007F7BFB" w:rsidP="007F7BFB">
      <w:pPr>
        <w:numPr>
          <w:ilvl w:val="0"/>
          <w:numId w:val="3"/>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Consistent model scoring behavior across development and OOT populations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low PSI value suggests that the model remains stable under the monitored portfolio conditions.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2" style="width:0;height:1.5pt" o:hralign="center" o:hrstd="t" o:hr="t" fillcolor="#a0a0a0" stroked="f"/>
        </w:pict>
      </w:r>
    </w:p>
    <w:p w:rsidR="00270F99" w:rsidRDefault="00270F99" w:rsidP="007F7BFB">
      <w:pPr>
        <w:spacing w:before="100" w:beforeAutospacing="1" w:after="100" w:afterAutospacing="1" w:line="240" w:lineRule="auto"/>
        <w:outlineLvl w:val="1"/>
        <w:rPr>
          <w:rFonts w:ascii="Calibri" w:eastAsia="Times New Roman" w:hAnsi="Calibri" w:cs="Calibri"/>
          <w:b/>
          <w:bCs/>
          <w:sz w:val="36"/>
          <w:szCs w:val="36"/>
        </w:rPr>
      </w:pP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Conclusion</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analysis indicates that the overall model score distribution remains stable with no immediate recalibration requirement identified.</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3" style="width:0;height:1.5pt" o:hralign="center" o:hrstd="t" o:hr="t" fillcolor="#a0a0a0" stroked="f"/>
        </w:pict>
      </w:r>
    </w:p>
    <w:p w:rsid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4. Feature-Level Stability Analysis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Feature-level PSI analysis was performed to evaluate distribution shifts across model input variables between development and OOT populations.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4"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Stable Features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Most model variables demonstrated PSI values below 0.10, indicating stable population behavior with no material drift observed.</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majority of model input distributions remained consistent across monitored populations.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5"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Significant Drift Variables</w: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Initial List Status (PSI = 0.33)</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Significant drift was observed in the distribution of initial loan listing status between development and OOT datasets.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Possible contributing factors include:</w:t>
      </w:r>
    </w:p>
    <w:p w:rsidR="007F7BFB" w:rsidRPr="007F7BFB" w:rsidRDefault="007F7BFB" w:rsidP="007F7BFB">
      <w:pPr>
        <w:numPr>
          <w:ilvl w:val="0"/>
          <w:numId w:val="4"/>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Changes in loan origination practices </w:t>
      </w:r>
    </w:p>
    <w:p w:rsidR="007F7BFB" w:rsidRPr="007F7BFB" w:rsidRDefault="007F7BFB" w:rsidP="007F7BFB">
      <w:pPr>
        <w:numPr>
          <w:ilvl w:val="0"/>
          <w:numId w:val="4"/>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Platform listing policy changes </w:t>
      </w:r>
    </w:p>
    <w:p w:rsidR="007F7BFB" w:rsidRPr="007F7BFB" w:rsidRDefault="007F7BFB" w:rsidP="007F7BFB">
      <w:pPr>
        <w:numPr>
          <w:ilvl w:val="0"/>
          <w:numId w:val="4"/>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Borrower acquisition strategy changes </w:t>
      </w:r>
    </w:p>
    <w:p w:rsidR="007F7BFB" w:rsidRPr="007F7BFB" w:rsidRDefault="007F7BFB" w:rsidP="007F7BFB">
      <w:pPr>
        <w:numPr>
          <w:ilvl w:val="0"/>
          <w:numId w:val="4"/>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 composition variation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lastRenderedPageBreak/>
        <w:t>Despite the observed drift, the variable maintained economically consistent directional behavior within the final model.</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6" style="width:0;height:1.5pt" o:hralign="center" o:hrstd="t" o:hr="t" fillcolor="#a0a0a0" stroked="f"/>
        </w:pict>
      </w:r>
    </w:p>
    <w:p w:rsidR="007F7BFB" w:rsidRPr="007F7BFB" w:rsidRDefault="007F7BFB" w:rsidP="007F7BFB">
      <w:pPr>
        <w:spacing w:before="100" w:beforeAutospacing="1" w:after="100" w:afterAutospacing="1" w:line="240" w:lineRule="auto"/>
        <w:outlineLvl w:val="2"/>
        <w:rPr>
          <w:rFonts w:ascii="Calibri" w:eastAsia="Times New Roman" w:hAnsi="Calibri" w:cs="Calibri"/>
          <w:b/>
          <w:bCs/>
          <w:sz w:val="27"/>
          <w:szCs w:val="27"/>
        </w:rPr>
      </w:pPr>
      <w:r w:rsidRPr="007F7BFB">
        <w:rPr>
          <w:rFonts w:ascii="Calibri" w:eastAsia="Times New Roman" w:hAnsi="Calibri" w:cs="Calibri"/>
          <w:b/>
          <w:bCs/>
          <w:sz w:val="27"/>
          <w:szCs w:val="27"/>
        </w:rPr>
        <w:t>Purpose (PSI = 3.13)</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Significant drift was observed in the loan purpose distribution between development and OOT datasets.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Possible contributing factors include:</w:t>
      </w:r>
    </w:p>
    <w:p w:rsidR="007F7BFB" w:rsidRPr="007F7BFB" w:rsidRDefault="007F7BFB" w:rsidP="007F7BFB">
      <w:pPr>
        <w:numPr>
          <w:ilvl w:val="0"/>
          <w:numId w:val="5"/>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Changes in borrower loan usage behavior </w:t>
      </w:r>
    </w:p>
    <w:p w:rsidR="007F7BFB" w:rsidRPr="007F7BFB" w:rsidRDefault="007F7BFB" w:rsidP="007F7BFB">
      <w:pPr>
        <w:numPr>
          <w:ilvl w:val="0"/>
          <w:numId w:val="5"/>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Lending strategy modifications </w:t>
      </w:r>
    </w:p>
    <w:p w:rsidR="007F7BFB" w:rsidRPr="007F7BFB" w:rsidRDefault="007F7BFB" w:rsidP="007F7BFB">
      <w:pPr>
        <w:numPr>
          <w:ilvl w:val="0"/>
          <w:numId w:val="5"/>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Product mix variation </w:t>
      </w:r>
    </w:p>
    <w:p w:rsidR="007F7BFB" w:rsidRPr="007F7BFB" w:rsidRDefault="007F7BFB" w:rsidP="007F7BFB">
      <w:pPr>
        <w:numPr>
          <w:ilvl w:val="0"/>
          <w:numId w:val="5"/>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Macroeconomic environment changes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Although material drift was identified in this feature, the overall score PSI remained stable, indicating that portfolio-level prediction behavior was not materially impacted.</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7"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Feature Stability Interpretation</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Although isolated feature drift was identified in select variables, the overall score distribution remained stable.</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This suggests that:</w:t>
      </w:r>
    </w:p>
    <w:p w:rsidR="007F7BFB" w:rsidRPr="007F7BFB" w:rsidRDefault="007F7BFB" w:rsidP="007F7BFB">
      <w:pPr>
        <w:numPr>
          <w:ilvl w:val="0"/>
          <w:numId w:val="6"/>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The model remains reasonably robust to underlying population shifts </w:t>
      </w:r>
    </w:p>
    <w:p w:rsidR="007F7BFB" w:rsidRPr="007F7BFB" w:rsidRDefault="007F7BFB" w:rsidP="007F7BFB">
      <w:pPr>
        <w:numPr>
          <w:ilvl w:val="0"/>
          <w:numId w:val="6"/>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Portfolio-level prediction behavior has not materially deteriorated </w:t>
      </w:r>
    </w:p>
    <w:p w:rsidR="007F7BFB" w:rsidRPr="007F7BFB" w:rsidRDefault="007F7BFB" w:rsidP="007F7BFB">
      <w:pPr>
        <w:numPr>
          <w:ilvl w:val="0"/>
          <w:numId w:val="6"/>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Drift impact remains manageable under current monitoring conditions </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8" style="width:0;height:1.5pt" o:hralign="center" o:hrstd="t" o:hr="t" fillcolor="#a0a0a0" stroked="f"/>
        </w:pict>
      </w:r>
    </w:p>
    <w:p w:rsidR="00300D49" w:rsidRDefault="00300D49" w:rsidP="007F7BFB">
      <w:pPr>
        <w:spacing w:before="100" w:beforeAutospacing="1" w:after="100" w:afterAutospacing="1" w:line="240" w:lineRule="auto"/>
        <w:outlineLvl w:val="0"/>
        <w:rPr>
          <w:b/>
          <w:sz w:val="40"/>
          <w:szCs w:val="40"/>
        </w:rPr>
      </w:pPr>
    </w:p>
    <w:p w:rsidR="00300D49" w:rsidRDefault="00300D49" w:rsidP="007F7BFB">
      <w:pPr>
        <w:spacing w:before="100" w:beforeAutospacing="1" w:after="100" w:afterAutospacing="1" w:line="240" w:lineRule="auto"/>
        <w:outlineLvl w:val="0"/>
        <w:rPr>
          <w:b/>
          <w:sz w:val="40"/>
          <w:szCs w:val="40"/>
        </w:rPr>
      </w:pPr>
    </w:p>
    <w:p w:rsidR="00300D49" w:rsidRDefault="00300D49" w:rsidP="007F7BFB">
      <w:pPr>
        <w:spacing w:before="100" w:beforeAutospacing="1" w:after="100" w:afterAutospacing="1" w:line="240" w:lineRule="auto"/>
        <w:outlineLvl w:val="0"/>
        <w:rPr>
          <w:b/>
          <w:sz w:val="40"/>
          <w:szCs w:val="40"/>
        </w:rPr>
      </w:pPr>
    </w:p>
    <w:p w:rsidR="00CC7606" w:rsidRPr="00CC7606" w:rsidRDefault="00CC7606" w:rsidP="007F7BFB">
      <w:pPr>
        <w:spacing w:before="100" w:beforeAutospacing="1" w:after="100" w:afterAutospacing="1" w:line="240" w:lineRule="auto"/>
        <w:outlineLvl w:val="0"/>
        <w:rPr>
          <w:rFonts w:ascii="Calibri" w:eastAsia="Times New Roman" w:hAnsi="Calibri" w:cs="Calibri"/>
          <w:b/>
          <w:bCs/>
          <w:kern w:val="36"/>
          <w:sz w:val="40"/>
          <w:szCs w:val="40"/>
        </w:rPr>
      </w:pPr>
      <w:r w:rsidRPr="00CC7606">
        <w:rPr>
          <w:b/>
          <w:sz w:val="40"/>
          <w:szCs w:val="40"/>
        </w:rPr>
        <w:lastRenderedPageBreak/>
        <w:t>4A. Champion–Challenger Monitoring</w:t>
      </w:r>
    </w:p>
    <w:p w:rsidR="00300D49" w:rsidRPr="00300D49" w:rsidRDefault="00300D49" w:rsidP="00300D49">
      <w:pPr>
        <w:spacing w:before="100" w:beforeAutospacing="1" w:after="100" w:afterAutospacing="1" w:line="240" w:lineRule="auto"/>
        <w:outlineLvl w:val="0"/>
        <w:rPr>
          <w:rFonts w:ascii="Calibri" w:eastAsia="Times New Roman" w:hAnsi="Calibri" w:cs="Calibri"/>
          <w:bCs/>
          <w:kern w:val="36"/>
          <w:sz w:val="24"/>
          <w:szCs w:val="24"/>
        </w:rPr>
      </w:pPr>
      <w:r w:rsidRPr="00300D49">
        <w:rPr>
          <w:rFonts w:ascii="Calibri" w:eastAsia="Times New Roman" w:hAnsi="Calibri" w:cs="Calibri"/>
          <w:bCs/>
          <w:kern w:val="36"/>
          <w:sz w:val="24"/>
          <w:szCs w:val="24"/>
        </w:rPr>
        <w:t>Champion–challenger monitoring was performed to assess whether alternative machine learning models materially outperformed the approved Logistic Regression champion model.</w:t>
      </w:r>
    </w:p>
    <w:p w:rsidR="00300D49" w:rsidRPr="00300D49" w:rsidRDefault="00300D49" w:rsidP="00300D49">
      <w:pPr>
        <w:spacing w:before="100" w:beforeAutospacing="1" w:after="100" w:afterAutospacing="1" w:line="240" w:lineRule="auto"/>
        <w:outlineLvl w:val="0"/>
        <w:rPr>
          <w:rFonts w:ascii="Calibri" w:eastAsia="Times New Roman" w:hAnsi="Calibri" w:cs="Calibri"/>
          <w:bCs/>
          <w:kern w:val="36"/>
          <w:sz w:val="24"/>
          <w:szCs w:val="24"/>
        </w:rPr>
      </w:pPr>
      <w:r w:rsidRPr="00300D49">
        <w:rPr>
          <w:rFonts w:ascii="Calibri" w:eastAsia="Times New Roman" w:hAnsi="Calibri" w:cs="Calibri"/>
          <w:bCs/>
          <w:kern w:val="36"/>
          <w:sz w:val="24"/>
          <w:szCs w:val="24"/>
        </w:rPr>
        <w:t xml:space="preserve">Although challenger models demonstrated stronger predictive performance, Logistic Regression remained the preferred champion due to regulatory </w:t>
      </w:r>
      <w:proofErr w:type="spellStart"/>
      <w:r w:rsidRPr="00300D49">
        <w:rPr>
          <w:rFonts w:ascii="Calibri" w:eastAsia="Times New Roman" w:hAnsi="Calibri" w:cs="Calibri"/>
          <w:bCs/>
          <w:kern w:val="36"/>
          <w:sz w:val="24"/>
          <w:szCs w:val="24"/>
        </w:rPr>
        <w:t>explainability</w:t>
      </w:r>
      <w:proofErr w:type="spellEnd"/>
      <w:r w:rsidRPr="00300D49">
        <w:rPr>
          <w:rFonts w:ascii="Calibri" w:eastAsia="Times New Roman" w:hAnsi="Calibri" w:cs="Calibri"/>
          <w:bCs/>
          <w:kern w:val="36"/>
          <w:sz w:val="24"/>
          <w:szCs w:val="24"/>
        </w:rPr>
        <w:t>, transparency, and governance requirements.</w:t>
      </w:r>
    </w:p>
    <w:p w:rsidR="00CC7606" w:rsidRDefault="00300D49" w:rsidP="00300D49">
      <w:pPr>
        <w:spacing w:before="100" w:beforeAutospacing="1" w:after="100" w:afterAutospacing="1" w:line="240" w:lineRule="auto"/>
        <w:outlineLvl w:val="0"/>
        <w:rPr>
          <w:rFonts w:ascii="Calibri" w:eastAsia="Times New Roman" w:hAnsi="Calibri" w:cs="Calibri"/>
          <w:bCs/>
          <w:kern w:val="36"/>
          <w:sz w:val="24"/>
          <w:szCs w:val="24"/>
        </w:rPr>
      </w:pPr>
      <w:r w:rsidRPr="00300D49">
        <w:rPr>
          <w:rFonts w:ascii="Calibri" w:eastAsia="Times New Roman" w:hAnsi="Calibri" w:cs="Calibri"/>
          <w:bCs/>
          <w:kern w:val="36"/>
          <w:sz w:val="24"/>
          <w:szCs w:val="24"/>
        </w:rPr>
        <w:t>No challenger replacement recommendation was identified.</w:t>
      </w:r>
    </w:p>
    <w:p w:rsidR="00BB623C" w:rsidRPr="00300D49" w:rsidRDefault="00BB623C" w:rsidP="00300D49">
      <w:pPr>
        <w:spacing w:before="100" w:beforeAutospacing="1" w:after="100" w:afterAutospacing="1" w:line="240" w:lineRule="auto"/>
        <w:outlineLvl w:val="0"/>
        <w:rPr>
          <w:rFonts w:ascii="Calibri" w:eastAsia="Times New Roman" w:hAnsi="Calibri" w:cs="Calibri"/>
          <w:bCs/>
          <w:kern w:val="36"/>
          <w:sz w:val="24"/>
          <w:szCs w:val="24"/>
        </w:rPr>
      </w:pPr>
      <w:r>
        <w:rPr>
          <w:rFonts w:ascii="Calibri" w:eastAsia="Times New Roman" w:hAnsi="Calibri" w:cs="Calibri"/>
          <w:sz w:val="24"/>
          <w:szCs w:val="24"/>
        </w:rPr>
        <w:pict>
          <v:rect id="_x0000_i1046"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5. Calibration and Performance Monitoring</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Calibration monitoring is performed periodically to ensure alignment between predicted default probabilities and observed portfolio behavior.</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framework includes periodic evaluation of:</w:t>
      </w:r>
    </w:p>
    <w:p w:rsidR="007F7BFB" w:rsidRPr="007F7BFB" w:rsidRDefault="007F7BFB" w:rsidP="007F7BFB">
      <w:pPr>
        <w:numPr>
          <w:ilvl w:val="0"/>
          <w:numId w:val="7"/>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Predicted PD </w:t>
      </w:r>
      <w:proofErr w:type="spellStart"/>
      <w:r w:rsidRPr="007F7BFB">
        <w:rPr>
          <w:rFonts w:ascii="Calibri" w:eastAsia="Times New Roman" w:hAnsi="Calibri" w:cs="Calibri"/>
          <w:sz w:val="24"/>
          <w:szCs w:val="24"/>
        </w:rPr>
        <w:t>vs</w:t>
      </w:r>
      <w:proofErr w:type="spellEnd"/>
      <w:r w:rsidRPr="007F7BFB">
        <w:rPr>
          <w:rFonts w:ascii="Calibri" w:eastAsia="Times New Roman" w:hAnsi="Calibri" w:cs="Calibri"/>
          <w:sz w:val="24"/>
          <w:szCs w:val="24"/>
        </w:rPr>
        <w:t xml:space="preserve"> observed default rates </w:t>
      </w:r>
    </w:p>
    <w:p w:rsidR="007F7BFB" w:rsidRPr="007F7BFB" w:rsidRDefault="007F7BFB" w:rsidP="007F7BFB">
      <w:pPr>
        <w:numPr>
          <w:ilvl w:val="0"/>
          <w:numId w:val="7"/>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Probability alignment stability </w:t>
      </w:r>
    </w:p>
    <w:p w:rsidR="007F7BFB" w:rsidRPr="007F7BFB" w:rsidRDefault="007F7BFB" w:rsidP="007F7BFB">
      <w:pPr>
        <w:numPr>
          <w:ilvl w:val="0"/>
          <w:numId w:val="7"/>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Ranking consistency </w:t>
      </w:r>
    </w:p>
    <w:p w:rsidR="007F7BFB" w:rsidRPr="007F7BFB" w:rsidRDefault="007F7BFB" w:rsidP="007F7BFB">
      <w:pPr>
        <w:numPr>
          <w:ilvl w:val="0"/>
          <w:numId w:val="7"/>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Model discriminatory power </w:t>
      </w:r>
    </w:p>
    <w:p w:rsidR="007F7BFB" w:rsidRPr="007F7BFB" w:rsidRDefault="007F7BFB" w:rsidP="007F7BFB">
      <w:pPr>
        <w:numPr>
          <w:ilvl w:val="0"/>
          <w:numId w:val="7"/>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Portfolio-level performance behavior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Performance monitoring activities also include periodic review of:</w:t>
      </w:r>
    </w:p>
    <w:p w:rsidR="007F7BFB" w:rsidRPr="007F7BFB" w:rsidRDefault="007F7BFB" w:rsidP="007F7BFB">
      <w:pPr>
        <w:numPr>
          <w:ilvl w:val="0"/>
          <w:numId w:val="8"/>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AUC stability </w:t>
      </w:r>
    </w:p>
    <w:p w:rsidR="007F7BFB" w:rsidRPr="007F7BFB" w:rsidRDefault="007F7BFB" w:rsidP="007F7BFB">
      <w:pPr>
        <w:numPr>
          <w:ilvl w:val="0"/>
          <w:numId w:val="8"/>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Default rate trends </w:t>
      </w:r>
    </w:p>
    <w:p w:rsidR="007F7BFB" w:rsidRPr="007F7BFB" w:rsidRDefault="007F7BFB" w:rsidP="007F7BFB">
      <w:pPr>
        <w:numPr>
          <w:ilvl w:val="0"/>
          <w:numId w:val="8"/>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 composition changes </w:t>
      </w:r>
    </w:p>
    <w:p w:rsidR="007F7BFB" w:rsidRPr="007F7BFB" w:rsidRDefault="007F7BFB" w:rsidP="007F7BFB">
      <w:pPr>
        <w:numPr>
          <w:ilvl w:val="0"/>
          <w:numId w:val="8"/>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Segment-level behavior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process supports early identification of model degradation or calibration deterioration.</w:t>
      </w:r>
    </w:p>
    <w:p w:rsid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9" style="width:0;height:1.5pt" o:hralign="center" o:hrstd="t" o:hr="t" fillcolor="#a0a0a0" stroked="f"/>
        </w:pict>
      </w:r>
    </w:p>
    <w:p w:rsidR="00BB623C" w:rsidRPr="00BB623C" w:rsidRDefault="00BB623C" w:rsidP="007F7BFB">
      <w:pPr>
        <w:spacing w:after="0" w:line="240" w:lineRule="auto"/>
        <w:rPr>
          <w:rFonts w:ascii="Calibri" w:eastAsia="Times New Roman" w:hAnsi="Calibri" w:cs="Calibri"/>
          <w:b/>
          <w:sz w:val="40"/>
          <w:szCs w:val="40"/>
        </w:rPr>
      </w:pPr>
    </w:p>
    <w:p w:rsidR="00BB623C" w:rsidRDefault="00BB623C" w:rsidP="007F7BFB">
      <w:pPr>
        <w:spacing w:after="0" w:line="240" w:lineRule="auto"/>
        <w:rPr>
          <w:b/>
          <w:sz w:val="40"/>
          <w:szCs w:val="40"/>
        </w:rPr>
      </w:pPr>
    </w:p>
    <w:p w:rsidR="00BB623C" w:rsidRDefault="00BB623C" w:rsidP="007F7BFB">
      <w:pPr>
        <w:spacing w:after="0" w:line="240" w:lineRule="auto"/>
        <w:rPr>
          <w:b/>
          <w:sz w:val="40"/>
          <w:szCs w:val="40"/>
        </w:rPr>
      </w:pPr>
    </w:p>
    <w:p w:rsidR="00BB623C" w:rsidRDefault="00BB623C" w:rsidP="007F7BFB">
      <w:pPr>
        <w:spacing w:after="0" w:line="240" w:lineRule="auto"/>
        <w:rPr>
          <w:b/>
          <w:sz w:val="40"/>
          <w:szCs w:val="40"/>
        </w:rPr>
      </w:pPr>
      <w:r w:rsidRPr="00BB623C">
        <w:rPr>
          <w:b/>
          <w:sz w:val="40"/>
          <w:szCs w:val="40"/>
        </w:rPr>
        <w:lastRenderedPageBreak/>
        <w:t>5A. Governance Monitoring Assessment</w:t>
      </w:r>
    </w:p>
    <w:p w:rsidR="00C534E3" w:rsidRDefault="00C534E3" w:rsidP="007F7BFB">
      <w:pPr>
        <w:spacing w:after="0" w:line="240" w:lineRule="auto"/>
        <w:rPr>
          <w:b/>
          <w:sz w:val="40"/>
          <w:szCs w:val="40"/>
        </w:rPr>
      </w:pPr>
    </w:p>
    <w:tbl>
      <w:tblPr>
        <w:tblStyle w:val="TableGrid"/>
        <w:tblW w:w="0" w:type="auto"/>
        <w:tblLook w:val="04A0" w:firstRow="1" w:lastRow="0" w:firstColumn="1" w:lastColumn="0" w:noHBand="0" w:noVBand="1"/>
      </w:tblPr>
      <w:tblGrid>
        <w:gridCol w:w="2550"/>
        <w:gridCol w:w="3336"/>
        <w:gridCol w:w="1296"/>
      </w:tblGrid>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b/>
                <w:bCs/>
                <w:sz w:val="24"/>
                <w:szCs w:val="24"/>
              </w:rPr>
            </w:pPr>
            <w:r w:rsidRPr="00A15852">
              <w:rPr>
                <w:rFonts w:ascii="Times New Roman" w:eastAsia="Times New Roman" w:hAnsi="Times New Roman" w:cs="Times New Roman"/>
                <w:b/>
                <w:bCs/>
                <w:sz w:val="24"/>
                <w:szCs w:val="24"/>
              </w:rPr>
              <w:t>Assessment Area</w:t>
            </w:r>
          </w:p>
        </w:tc>
        <w:tc>
          <w:tcPr>
            <w:tcW w:w="0" w:type="auto"/>
            <w:hideMark/>
          </w:tcPr>
          <w:p w:rsidR="00A15852" w:rsidRPr="00A15852" w:rsidRDefault="00A15852" w:rsidP="00A15852">
            <w:pPr>
              <w:jc w:val="center"/>
              <w:rPr>
                <w:rFonts w:ascii="Times New Roman" w:eastAsia="Times New Roman" w:hAnsi="Times New Roman" w:cs="Times New Roman"/>
                <w:b/>
                <w:bCs/>
                <w:sz w:val="24"/>
                <w:szCs w:val="24"/>
              </w:rPr>
            </w:pPr>
            <w:r w:rsidRPr="00A15852">
              <w:rPr>
                <w:rFonts w:ascii="Times New Roman" w:eastAsia="Times New Roman" w:hAnsi="Times New Roman" w:cs="Times New Roman"/>
                <w:b/>
                <w:bCs/>
                <w:sz w:val="24"/>
                <w:szCs w:val="24"/>
              </w:rPr>
              <w:t>Result</w:t>
            </w:r>
          </w:p>
        </w:tc>
        <w:tc>
          <w:tcPr>
            <w:tcW w:w="0" w:type="auto"/>
            <w:hideMark/>
          </w:tcPr>
          <w:p w:rsidR="00A15852" w:rsidRPr="00A15852" w:rsidRDefault="00A15852" w:rsidP="00A15852">
            <w:pPr>
              <w:jc w:val="center"/>
              <w:rPr>
                <w:rFonts w:ascii="Times New Roman" w:eastAsia="Times New Roman" w:hAnsi="Times New Roman" w:cs="Times New Roman"/>
                <w:b/>
                <w:bCs/>
                <w:sz w:val="24"/>
                <w:szCs w:val="24"/>
              </w:rPr>
            </w:pPr>
            <w:r w:rsidRPr="00A15852">
              <w:rPr>
                <w:rFonts w:ascii="Times New Roman" w:eastAsia="Times New Roman" w:hAnsi="Times New Roman" w:cs="Times New Roman"/>
                <w:b/>
                <w:bCs/>
                <w:sz w:val="24"/>
                <w:szCs w:val="24"/>
              </w:rPr>
              <w:t>Status</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Portfolio Drift</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PSI = 0.0439</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Stable</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Calibration Drift</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Bias ≈ 0.0000</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Stable</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Model Performance</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AUC = 0.72, KS = 0.31</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Stable</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Champion Model Status</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Logistic Regression Retained</w:t>
            </w:r>
          </w:p>
        </w:tc>
        <w:tc>
          <w:tcPr>
            <w:tcW w:w="0" w:type="auto"/>
            <w:hideMark/>
          </w:tcPr>
          <w:p w:rsidR="00A15852" w:rsidRPr="00A15852" w:rsidRDefault="00302D0F" w:rsidP="00A1585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Approved</w:t>
            </w:r>
            <w:bookmarkStart w:id="0" w:name="_GoBack"/>
            <w:bookmarkEnd w:id="0"/>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Model Impairment</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No Indicators Identified</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Stable</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Recalibration Trigger</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Threshold Not Breached</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Stable</w:t>
            </w:r>
          </w:p>
        </w:tc>
      </w:tr>
      <w:tr w:rsidR="00A15852" w:rsidRPr="00A15852" w:rsidTr="00A15852">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Governance Status</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Monitoring Thresholds Satisfied</w:t>
            </w:r>
          </w:p>
        </w:tc>
        <w:tc>
          <w:tcPr>
            <w:tcW w:w="0" w:type="auto"/>
            <w:hideMark/>
          </w:tcPr>
          <w:p w:rsidR="00A15852" w:rsidRPr="00A15852" w:rsidRDefault="00A15852" w:rsidP="00A15852">
            <w:pPr>
              <w:jc w:val="center"/>
              <w:rPr>
                <w:rFonts w:ascii="Times New Roman" w:eastAsia="Times New Roman" w:hAnsi="Times New Roman" w:cs="Times New Roman"/>
                <w:sz w:val="24"/>
                <w:szCs w:val="24"/>
              </w:rPr>
            </w:pPr>
            <w:r w:rsidRPr="00A15852">
              <w:rPr>
                <w:rFonts w:ascii="Times New Roman" w:eastAsia="Times New Roman" w:hAnsi="Times New Roman" w:cs="Times New Roman"/>
                <w:sz w:val="24"/>
                <w:szCs w:val="24"/>
              </w:rPr>
              <w:t>Acceptable</w:t>
            </w:r>
          </w:p>
        </w:tc>
      </w:tr>
    </w:tbl>
    <w:p w:rsidR="00302D0F" w:rsidRDefault="00302D0F" w:rsidP="007F7BFB">
      <w:pPr>
        <w:spacing w:after="0" w:line="240" w:lineRule="auto"/>
      </w:pPr>
    </w:p>
    <w:p w:rsidR="00C534E3" w:rsidRPr="00BB623C" w:rsidRDefault="00E4746B" w:rsidP="007F7BFB">
      <w:pPr>
        <w:spacing w:after="0" w:line="240" w:lineRule="auto"/>
        <w:rPr>
          <w:rFonts w:ascii="Calibri" w:eastAsia="Times New Roman" w:hAnsi="Calibri" w:cs="Calibri"/>
          <w:b/>
          <w:sz w:val="40"/>
          <w:szCs w:val="40"/>
        </w:rPr>
      </w:pPr>
      <w:r>
        <w:t>Governance assessment concluded that monitoring indicators remained within established thresholds. No material deterioration, impairment indicators, or recalibration triggers were identified. The approved Logistic Regression champion model remains fit for purpose under current portfolio conditions.</w: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6. Monitoring Interpretation and Key Insights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analysis produced the following key observations:</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Overall score stability remained within acceptable thresholds </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Most model variables demonstrated stable population behavior </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Isolated feature drift was identified in select variables </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Portfolio-level prediction behavior remained stable </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No material model deterioration was identified </w:t>
      </w:r>
    </w:p>
    <w:p w:rsidR="007F7BFB" w:rsidRP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Calibration behavior remained reasonably aligned </w:t>
      </w:r>
    </w:p>
    <w:p w:rsidR="007F7BFB" w:rsidRDefault="007F7BFB" w:rsidP="007F7BFB">
      <w:pPr>
        <w:numPr>
          <w:ilvl w:val="0"/>
          <w:numId w:val="9"/>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Drift impact remained manageable under monitored conditions </w:t>
      </w:r>
    </w:p>
    <w:p w:rsidR="00AB7D92" w:rsidRPr="00AB7D92" w:rsidRDefault="00AB7D92" w:rsidP="00AB7D92">
      <w:pPr>
        <w:numPr>
          <w:ilvl w:val="0"/>
          <w:numId w:val="9"/>
        </w:numPr>
        <w:spacing w:before="100" w:beforeAutospacing="1" w:after="100" w:afterAutospacing="1" w:line="240" w:lineRule="auto"/>
        <w:rPr>
          <w:rFonts w:ascii="Calibri" w:eastAsia="Times New Roman" w:hAnsi="Calibri" w:cs="Calibri"/>
          <w:sz w:val="24"/>
          <w:szCs w:val="24"/>
        </w:rPr>
      </w:pPr>
      <w:r w:rsidRPr="00AB7D92">
        <w:rPr>
          <w:rFonts w:ascii="Calibri" w:eastAsia="Times New Roman" w:hAnsi="Calibri" w:cs="Calibri"/>
          <w:sz w:val="24"/>
          <w:szCs w:val="24"/>
        </w:rPr>
        <w:t>No material model impairment indicators were identified.</w:t>
      </w:r>
    </w:p>
    <w:p w:rsidR="00AB7D92" w:rsidRPr="00AB7D92" w:rsidRDefault="00AB7D92" w:rsidP="00AB7D92">
      <w:pPr>
        <w:numPr>
          <w:ilvl w:val="0"/>
          <w:numId w:val="9"/>
        </w:numPr>
        <w:spacing w:before="100" w:beforeAutospacing="1" w:after="100" w:afterAutospacing="1" w:line="240" w:lineRule="auto"/>
        <w:rPr>
          <w:rFonts w:ascii="Calibri" w:eastAsia="Times New Roman" w:hAnsi="Calibri" w:cs="Calibri"/>
          <w:sz w:val="24"/>
          <w:szCs w:val="24"/>
        </w:rPr>
      </w:pPr>
      <w:r w:rsidRPr="00AB7D92">
        <w:rPr>
          <w:rFonts w:ascii="Calibri" w:eastAsia="Times New Roman" w:hAnsi="Calibri" w:cs="Calibri"/>
          <w:sz w:val="24"/>
          <w:szCs w:val="24"/>
        </w:rPr>
        <w:t>Current monitoring results remain within predefined governance thresholds.</w:t>
      </w:r>
    </w:p>
    <w:p w:rsidR="00AB7D92" w:rsidRPr="007F7BFB" w:rsidRDefault="00AB7D92" w:rsidP="00AB7D92">
      <w:pPr>
        <w:numPr>
          <w:ilvl w:val="0"/>
          <w:numId w:val="9"/>
        </w:numPr>
        <w:spacing w:before="100" w:beforeAutospacing="1" w:after="100" w:afterAutospacing="1" w:line="240" w:lineRule="auto"/>
        <w:rPr>
          <w:rFonts w:ascii="Calibri" w:eastAsia="Times New Roman" w:hAnsi="Calibri" w:cs="Calibri"/>
          <w:sz w:val="24"/>
          <w:szCs w:val="24"/>
        </w:rPr>
      </w:pPr>
      <w:r w:rsidRPr="00AB7D92">
        <w:rPr>
          <w:rFonts w:ascii="Calibri" w:eastAsia="Times New Roman" w:hAnsi="Calibri" w:cs="Calibri"/>
          <w:sz w:val="24"/>
          <w:szCs w:val="24"/>
        </w:rPr>
        <w:t>No immediate redevelopment or challenger replacement activity is required.</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results suggest that the model continues to operate within acceptable stability and governance thresholds.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0"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7. Action Framework</w:t>
      </w:r>
    </w:p>
    <w:p w:rsid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following escalation framework is used to support monitoring governance and model risk management review.</w:t>
      </w:r>
    </w:p>
    <w:p w:rsidR="008A5821" w:rsidRDefault="008A5821" w:rsidP="007F7BFB">
      <w:pPr>
        <w:spacing w:before="100" w:beforeAutospacing="1" w:after="100" w:afterAutospacing="1" w:line="240" w:lineRule="auto"/>
        <w:rPr>
          <w:rFonts w:ascii="Calibri" w:eastAsia="Times New Roman" w:hAnsi="Calibri" w:cs="Calibri"/>
          <w:sz w:val="24"/>
          <w:szCs w:val="24"/>
        </w:rPr>
      </w:pPr>
    </w:p>
    <w:p w:rsidR="008A5821" w:rsidRDefault="008A5821" w:rsidP="007F7BFB">
      <w:pPr>
        <w:spacing w:before="100" w:beforeAutospacing="1" w:after="100" w:afterAutospacing="1" w:line="240" w:lineRule="auto"/>
        <w:rPr>
          <w:rFonts w:ascii="Calibri" w:eastAsia="Times New Roman" w:hAnsi="Calibri" w:cs="Calibri"/>
          <w:sz w:val="24"/>
          <w:szCs w:val="24"/>
        </w:rPr>
      </w:pPr>
    </w:p>
    <w:tbl>
      <w:tblPr>
        <w:tblStyle w:val="TableGrid"/>
        <w:tblW w:w="5691" w:type="dxa"/>
        <w:tblLook w:val="04A0" w:firstRow="1" w:lastRow="0" w:firstColumn="1" w:lastColumn="0" w:noHBand="0" w:noVBand="1"/>
      </w:tblPr>
      <w:tblGrid>
        <w:gridCol w:w="2331"/>
        <w:gridCol w:w="3360"/>
      </w:tblGrid>
      <w:tr w:rsidR="008A5821" w:rsidRPr="008A5821" w:rsidTr="008A5821">
        <w:trPr>
          <w:trHeight w:val="377"/>
        </w:trPr>
        <w:tc>
          <w:tcPr>
            <w:tcW w:w="0" w:type="auto"/>
            <w:hideMark/>
          </w:tcPr>
          <w:p w:rsidR="008A5821" w:rsidRPr="008A5821" w:rsidRDefault="008A5821" w:rsidP="008A5821">
            <w:pPr>
              <w:jc w:val="center"/>
              <w:rPr>
                <w:rFonts w:ascii="Times New Roman" w:eastAsia="Times New Roman" w:hAnsi="Times New Roman" w:cs="Times New Roman"/>
                <w:b/>
                <w:bCs/>
                <w:sz w:val="24"/>
                <w:szCs w:val="24"/>
              </w:rPr>
            </w:pPr>
            <w:r w:rsidRPr="008A5821">
              <w:rPr>
                <w:rFonts w:ascii="Times New Roman" w:eastAsia="Times New Roman" w:hAnsi="Times New Roman" w:cs="Times New Roman"/>
                <w:b/>
                <w:bCs/>
                <w:sz w:val="24"/>
                <w:szCs w:val="24"/>
              </w:rPr>
              <w:t>Observation</w:t>
            </w:r>
          </w:p>
        </w:tc>
        <w:tc>
          <w:tcPr>
            <w:tcW w:w="0" w:type="auto"/>
            <w:hideMark/>
          </w:tcPr>
          <w:p w:rsidR="008A5821" w:rsidRPr="008A5821" w:rsidRDefault="008A5821" w:rsidP="008A5821">
            <w:pPr>
              <w:jc w:val="center"/>
              <w:rPr>
                <w:rFonts w:ascii="Times New Roman" w:eastAsia="Times New Roman" w:hAnsi="Times New Roman" w:cs="Times New Roman"/>
                <w:b/>
                <w:bCs/>
                <w:sz w:val="24"/>
                <w:szCs w:val="24"/>
              </w:rPr>
            </w:pPr>
            <w:r w:rsidRPr="008A5821">
              <w:rPr>
                <w:rFonts w:ascii="Times New Roman" w:eastAsia="Times New Roman" w:hAnsi="Times New Roman" w:cs="Times New Roman"/>
                <w:b/>
                <w:bCs/>
                <w:sz w:val="24"/>
                <w:szCs w:val="24"/>
              </w:rPr>
              <w:t>Recommended Action</w:t>
            </w:r>
          </w:p>
        </w:tc>
      </w:tr>
      <w:tr w:rsidR="008A5821" w:rsidRPr="008A5821" w:rsidTr="008A5821">
        <w:trPr>
          <w:trHeight w:val="377"/>
        </w:trPr>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PSI &gt; 0.25</w:t>
            </w:r>
          </w:p>
        </w:tc>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Redevelopment Assessment</w:t>
            </w:r>
          </w:p>
        </w:tc>
      </w:tr>
      <w:tr w:rsidR="008A5821" w:rsidRPr="008A5821" w:rsidTr="008A5821">
        <w:trPr>
          <w:trHeight w:val="377"/>
        </w:trPr>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Calibration Bias</w:t>
            </w:r>
          </w:p>
        </w:tc>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Recalibration Review</w:t>
            </w:r>
          </w:p>
        </w:tc>
      </w:tr>
      <w:tr w:rsidR="008A5821" w:rsidRPr="008A5821" w:rsidTr="008A5821">
        <w:trPr>
          <w:trHeight w:val="361"/>
        </w:trPr>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KS Deterioration</w:t>
            </w:r>
          </w:p>
        </w:tc>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Validation Review</w:t>
            </w:r>
          </w:p>
        </w:tc>
      </w:tr>
      <w:tr w:rsidR="008A5821" w:rsidRPr="008A5821" w:rsidTr="008A5821">
        <w:trPr>
          <w:trHeight w:val="377"/>
        </w:trPr>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Persistent Drift</w:t>
            </w:r>
          </w:p>
        </w:tc>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Governance Escalation</w:t>
            </w:r>
          </w:p>
        </w:tc>
      </w:tr>
      <w:tr w:rsidR="008A5821" w:rsidRPr="008A5821" w:rsidTr="008A5821">
        <w:trPr>
          <w:trHeight w:val="395"/>
        </w:trPr>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Model Impairment</w:t>
            </w:r>
          </w:p>
        </w:tc>
        <w:tc>
          <w:tcPr>
            <w:tcW w:w="0" w:type="auto"/>
            <w:hideMark/>
          </w:tcPr>
          <w:p w:rsidR="008A5821" w:rsidRPr="008A5821" w:rsidRDefault="008A5821" w:rsidP="008A5821">
            <w:pPr>
              <w:jc w:val="center"/>
              <w:rPr>
                <w:rFonts w:ascii="Times New Roman" w:eastAsia="Times New Roman" w:hAnsi="Times New Roman" w:cs="Times New Roman"/>
                <w:sz w:val="24"/>
                <w:szCs w:val="24"/>
              </w:rPr>
            </w:pPr>
            <w:r w:rsidRPr="008A5821">
              <w:rPr>
                <w:rFonts w:ascii="Times New Roman" w:eastAsia="Times New Roman" w:hAnsi="Times New Roman" w:cs="Times New Roman"/>
                <w:sz w:val="24"/>
                <w:szCs w:val="24"/>
              </w:rPr>
              <w:t>Redevelopment Assessment</w:t>
            </w:r>
          </w:p>
        </w:tc>
      </w:tr>
    </w:tbl>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1"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Governance Escalation</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Models exceeding predefined monitoring thresholds would require:</w:t>
      </w:r>
    </w:p>
    <w:p w:rsidR="007F7BFB" w:rsidRPr="007F7BFB" w:rsidRDefault="007F7BFB" w:rsidP="007F7BFB">
      <w:pPr>
        <w:numPr>
          <w:ilvl w:val="0"/>
          <w:numId w:val="10"/>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Escalation review </w:t>
      </w:r>
    </w:p>
    <w:p w:rsidR="007F7BFB" w:rsidRPr="007F7BFB" w:rsidRDefault="007F7BFB" w:rsidP="007F7BFB">
      <w:pPr>
        <w:numPr>
          <w:ilvl w:val="0"/>
          <w:numId w:val="10"/>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Root cause assessment </w:t>
      </w:r>
    </w:p>
    <w:p w:rsidR="007F7BFB" w:rsidRPr="007F7BFB" w:rsidRDefault="007F7BFB" w:rsidP="007F7BFB">
      <w:pPr>
        <w:numPr>
          <w:ilvl w:val="0"/>
          <w:numId w:val="10"/>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Recalibration evaluation </w:t>
      </w:r>
    </w:p>
    <w:p w:rsidR="007F7BFB" w:rsidRPr="007F7BFB" w:rsidRDefault="007F7BFB" w:rsidP="007F7BFB">
      <w:pPr>
        <w:numPr>
          <w:ilvl w:val="0"/>
          <w:numId w:val="10"/>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Redevelopment consideration </w:t>
      </w:r>
    </w:p>
    <w:p w:rsidR="007F7BFB" w:rsidRPr="007F7BFB" w:rsidRDefault="007F7BFB" w:rsidP="007F7BFB">
      <w:pPr>
        <w:numPr>
          <w:ilvl w:val="0"/>
          <w:numId w:val="10"/>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Governance documentation review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severity of action depends on materiality, persistence of drift, and overall impact on portfolio prediction behavior.</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2"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8. Limitations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framework includes several practical limitations:</w:t>
      </w:r>
    </w:p>
    <w:p w:rsidR="007F7BFB" w:rsidRPr="007F7BFB" w:rsidRDefault="007F7BFB" w:rsidP="007F7BFB">
      <w:pPr>
        <w:numPr>
          <w:ilvl w:val="0"/>
          <w:numId w:val="1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PSI measures population drift but does not directly measure model performance deterioration. </w:t>
      </w:r>
    </w:p>
    <w:p w:rsidR="007F7BFB" w:rsidRPr="007F7BFB" w:rsidRDefault="007F7BFB" w:rsidP="007F7BFB">
      <w:pPr>
        <w:numPr>
          <w:ilvl w:val="0"/>
          <w:numId w:val="1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Monitoring conclusions are based on historical OOT observations and may not fully represent future macroeconomic regime changes. </w:t>
      </w:r>
    </w:p>
    <w:p w:rsidR="007F7BFB" w:rsidRPr="007F7BFB" w:rsidRDefault="007F7BFB" w:rsidP="007F7BFB">
      <w:pPr>
        <w:numPr>
          <w:ilvl w:val="0"/>
          <w:numId w:val="1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Public Lending Club data may not fully represent proprietary banking portfolio behavior. </w:t>
      </w:r>
    </w:p>
    <w:p w:rsidR="007F7BFB" w:rsidRPr="007F7BFB" w:rsidRDefault="007F7BFB" w:rsidP="007F7BFB">
      <w:pPr>
        <w:numPr>
          <w:ilvl w:val="0"/>
          <w:numId w:val="1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Certain portfolio and behavioral variables commonly available in production environments were unavailable within the dataset. </w:t>
      </w:r>
    </w:p>
    <w:p w:rsidR="007F7BFB" w:rsidRPr="007F7BFB" w:rsidRDefault="007F7BFB" w:rsidP="007F7BFB">
      <w:pPr>
        <w:numPr>
          <w:ilvl w:val="0"/>
          <w:numId w:val="11"/>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Monitoring outcomes may vary under significantly different economic conditions. </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Despite these limitations, the monitoring framework demonstrates practical alignment with model risk monitoring and governance principles.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lastRenderedPageBreak/>
        <w:pict>
          <v:rect id="_x0000_i1043"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9. Monitoring Conclusion</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analysis indicates that the model remains stable on the out-of-time population, with low overall score PSI and acceptable feature-level stability across most variables.</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Although isolated feature drift was identified in select variables, overall score behavior remained stable, suggesting that portfolio-level prediction performance has not materially deteriorated.</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Based on current monitoring observations, no immediate recalibration or redevelopment action is required.</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Continued periodic monitoring is recommended to support:</w:t>
      </w:r>
    </w:p>
    <w:p w:rsidR="007F7BFB" w:rsidRPr="007F7BFB" w:rsidRDefault="007F7BFB" w:rsidP="007F7BFB">
      <w:pPr>
        <w:numPr>
          <w:ilvl w:val="0"/>
          <w:numId w:val="1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Ongoing model stability </w:t>
      </w:r>
    </w:p>
    <w:p w:rsidR="007F7BFB" w:rsidRPr="007F7BFB" w:rsidRDefault="007F7BFB" w:rsidP="007F7BFB">
      <w:pPr>
        <w:numPr>
          <w:ilvl w:val="0"/>
          <w:numId w:val="1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Drift assessment </w:t>
      </w:r>
    </w:p>
    <w:p w:rsidR="007F7BFB" w:rsidRPr="007F7BFB" w:rsidRDefault="007F7BFB" w:rsidP="007F7BFB">
      <w:pPr>
        <w:numPr>
          <w:ilvl w:val="0"/>
          <w:numId w:val="1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Calibration consistency </w:t>
      </w:r>
    </w:p>
    <w:p w:rsidR="007F7BFB" w:rsidRPr="007F7BFB" w:rsidRDefault="007F7BFB" w:rsidP="007F7BFB">
      <w:pPr>
        <w:numPr>
          <w:ilvl w:val="0"/>
          <w:numId w:val="1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Governance oversight </w:t>
      </w:r>
    </w:p>
    <w:p w:rsidR="007F7BFB" w:rsidRPr="007F7BFB" w:rsidRDefault="007F7BFB" w:rsidP="007F7BFB">
      <w:pPr>
        <w:numPr>
          <w:ilvl w:val="0"/>
          <w:numId w:val="12"/>
        </w:num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 xml:space="preserve">Lifecycle management </w:t>
      </w:r>
    </w:p>
    <w:p w:rsidR="007F7BFB" w:rsidRDefault="007F7BFB" w:rsidP="007F7BFB">
      <w:pPr>
        <w:spacing w:before="100" w:beforeAutospacing="1" w:after="100" w:afterAutospacing="1" w:line="240" w:lineRule="auto"/>
        <w:rPr>
          <w:rFonts w:ascii="Calibri" w:eastAsia="Times New Roman" w:hAnsi="Calibri" w:cs="Calibri"/>
          <w:sz w:val="24"/>
          <w:szCs w:val="24"/>
        </w:rPr>
      </w:pPr>
      <w:r w:rsidRPr="007F7BFB">
        <w:rPr>
          <w:rFonts w:ascii="Calibri" w:eastAsia="Times New Roman" w:hAnsi="Calibri" w:cs="Calibri"/>
          <w:sz w:val="24"/>
          <w:szCs w:val="24"/>
        </w:rPr>
        <w:t>The monitoring framework demonstrates practical implementation of model risk monitoring principles including stability assessment, drift analysis, recalibration review, and governance-oriented oversight.</w:t>
      </w:r>
    </w:p>
    <w:p w:rsidR="00E81FBD" w:rsidRPr="00E81FBD" w:rsidRDefault="00E81FBD" w:rsidP="00E81FBD">
      <w:pPr>
        <w:spacing w:before="100" w:beforeAutospacing="1" w:after="100" w:afterAutospacing="1" w:line="240" w:lineRule="auto"/>
        <w:rPr>
          <w:rFonts w:ascii="Calibri" w:eastAsia="Times New Roman" w:hAnsi="Calibri" w:cs="Calibri"/>
          <w:sz w:val="24"/>
          <w:szCs w:val="24"/>
        </w:rPr>
      </w:pPr>
      <w:r w:rsidRPr="00E81FBD">
        <w:rPr>
          <w:rFonts w:ascii="Calibri" w:eastAsia="Times New Roman" w:hAnsi="Calibri" w:cs="Calibri"/>
          <w:sz w:val="24"/>
          <w:szCs w:val="24"/>
        </w:rPr>
        <w:t>Independent monitoring activities identified no material deterioration in model performance, calibration, or governance status.</w:t>
      </w:r>
    </w:p>
    <w:p w:rsidR="00E81FBD" w:rsidRPr="007F7BFB" w:rsidRDefault="00E81FBD" w:rsidP="00E81FBD">
      <w:pPr>
        <w:spacing w:before="100" w:beforeAutospacing="1" w:after="100" w:afterAutospacing="1" w:line="240" w:lineRule="auto"/>
        <w:rPr>
          <w:rFonts w:ascii="Calibri" w:eastAsia="Times New Roman" w:hAnsi="Calibri" w:cs="Calibri"/>
          <w:sz w:val="24"/>
          <w:szCs w:val="24"/>
        </w:rPr>
      </w:pPr>
      <w:r w:rsidRPr="00E81FBD">
        <w:rPr>
          <w:rFonts w:ascii="Calibri" w:eastAsia="Times New Roman" w:hAnsi="Calibri" w:cs="Calibri"/>
          <w:sz w:val="24"/>
          <w:szCs w:val="24"/>
        </w:rPr>
        <w:t>The approved Logistic Regression champion model remains fit for purpose under current portfolio conditions.</w:t>
      </w:r>
    </w:p>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4" style="width:0;height:1.5pt" o:hralign="center" o:hrstd="t" o:hr="t" fillcolor="#a0a0a0" stroked="f"/>
        </w:pict>
      </w:r>
    </w:p>
    <w:p w:rsidR="007F7BFB" w:rsidRPr="007F7BFB" w:rsidRDefault="007F7BFB" w:rsidP="007F7BFB">
      <w:pPr>
        <w:spacing w:before="100" w:beforeAutospacing="1" w:after="100" w:afterAutospacing="1" w:line="240" w:lineRule="auto"/>
        <w:outlineLvl w:val="0"/>
        <w:rPr>
          <w:rFonts w:ascii="Calibri" w:eastAsia="Times New Roman" w:hAnsi="Calibri" w:cs="Calibri"/>
          <w:b/>
          <w:bCs/>
          <w:kern w:val="36"/>
          <w:sz w:val="48"/>
          <w:szCs w:val="48"/>
        </w:rPr>
      </w:pPr>
      <w:r w:rsidRPr="007F7BFB">
        <w:rPr>
          <w:rFonts w:ascii="Calibri" w:eastAsia="Times New Roman" w:hAnsi="Calibri" w:cs="Calibri"/>
          <w:b/>
          <w:bCs/>
          <w:kern w:val="36"/>
          <w:sz w:val="48"/>
          <w:szCs w:val="48"/>
        </w:rPr>
        <w:t>10. Appendix</w: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10.1 Abbreviations</w:t>
      </w:r>
    </w:p>
    <w:tbl>
      <w:tblPr>
        <w:tblStyle w:val="TableGrid"/>
        <w:tblW w:w="9004" w:type="dxa"/>
        <w:tblLook w:val="04A0" w:firstRow="1" w:lastRow="0" w:firstColumn="1" w:lastColumn="0" w:noHBand="0" w:noVBand="1"/>
      </w:tblPr>
      <w:tblGrid>
        <w:gridCol w:w="1926"/>
        <w:gridCol w:w="7078"/>
      </w:tblGrid>
      <w:tr w:rsidR="007F7BFB" w:rsidRPr="007F7BFB" w:rsidTr="002866F2">
        <w:trPr>
          <w:trHeight w:val="306"/>
        </w:trPr>
        <w:tc>
          <w:tcPr>
            <w:tcW w:w="0" w:type="auto"/>
            <w:hideMark/>
          </w:tcPr>
          <w:p w:rsidR="007F7BFB" w:rsidRPr="007F7BFB" w:rsidRDefault="007F7BFB" w:rsidP="002866F2">
            <w:pPr>
              <w:jc w:val="center"/>
              <w:rPr>
                <w:rFonts w:ascii="Calibri" w:eastAsia="Times New Roman" w:hAnsi="Calibri" w:cs="Calibri"/>
                <w:b/>
                <w:bCs/>
                <w:sz w:val="24"/>
                <w:szCs w:val="24"/>
              </w:rPr>
            </w:pPr>
            <w:r w:rsidRPr="007F7BFB">
              <w:rPr>
                <w:rFonts w:ascii="Calibri" w:eastAsia="Times New Roman" w:hAnsi="Calibri" w:cs="Calibri"/>
                <w:b/>
                <w:bCs/>
                <w:sz w:val="24"/>
                <w:szCs w:val="24"/>
              </w:rPr>
              <w:t>Term</w:t>
            </w:r>
          </w:p>
        </w:tc>
        <w:tc>
          <w:tcPr>
            <w:tcW w:w="0" w:type="auto"/>
            <w:hideMark/>
          </w:tcPr>
          <w:p w:rsidR="007F7BFB" w:rsidRPr="007F7BFB" w:rsidRDefault="007F7BFB" w:rsidP="002866F2">
            <w:pPr>
              <w:jc w:val="center"/>
              <w:rPr>
                <w:rFonts w:ascii="Calibri" w:eastAsia="Times New Roman" w:hAnsi="Calibri" w:cs="Calibri"/>
                <w:b/>
                <w:bCs/>
                <w:sz w:val="24"/>
                <w:szCs w:val="24"/>
              </w:rPr>
            </w:pPr>
            <w:r w:rsidRPr="007F7BFB">
              <w:rPr>
                <w:rFonts w:ascii="Calibri" w:eastAsia="Times New Roman" w:hAnsi="Calibri" w:cs="Calibri"/>
                <w:b/>
                <w:bCs/>
                <w:sz w:val="24"/>
                <w:szCs w:val="24"/>
              </w:rPr>
              <w:t>Meaning</w:t>
            </w:r>
          </w:p>
        </w:tc>
      </w:tr>
      <w:tr w:rsidR="007F7BFB" w:rsidRPr="007F7BFB" w:rsidTr="002866F2">
        <w:trPr>
          <w:trHeight w:val="293"/>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PSI</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Population Stability Index</w:t>
            </w:r>
          </w:p>
        </w:tc>
      </w:tr>
      <w:tr w:rsidR="007F7BFB" w:rsidRPr="007F7BFB" w:rsidTr="002866F2">
        <w:trPr>
          <w:trHeight w:val="293"/>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PD</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Probability of Default</w:t>
            </w:r>
          </w:p>
        </w:tc>
      </w:tr>
      <w:tr w:rsidR="007F7BFB" w:rsidRPr="007F7BFB" w:rsidTr="002866F2">
        <w:trPr>
          <w:trHeight w:val="293"/>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OOT</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Out-of-Time</w:t>
            </w:r>
          </w:p>
        </w:tc>
      </w:tr>
      <w:tr w:rsidR="007F7BFB" w:rsidRPr="007F7BFB" w:rsidTr="002866F2">
        <w:trPr>
          <w:trHeight w:val="293"/>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lastRenderedPageBreak/>
              <w:t>AUC</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Area Under Curve</w:t>
            </w:r>
          </w:p>
        </w:tc>
      </w:tr>
      <w:tr w:rsidR="007F7BFB" w:rsidRPr="007F7BFB" w:rsidTr="002866F2">
        <w:trPr>
          <w:trHeight w:val="306"/>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LGD</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Loss Given Default</w:t>
            </w:r>
          </w:p>
        </w:tc>
      </w:tr>
      <w:tr w:rsidR="007F7BFB" w:rsidRPr="007F7BFB" w:rsidTr="002866F2">
        <w:trPr>
          <w:trHeight w:val="293"/>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EAD</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Exposure at Default</w:t>
            </w:r>
          </w:p>
        </w:tc>
      </w:tr>
      <w:tr w:rsidR="007F7BFB" w:rsidRPr="007F7BFB" w:rsidTr="002866F2">
        <w:trPr>
          <w:trHeight w:val="306"/>
        </w:trPr>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EL</w:t>
            </w:r>
          </w:p>
        </w:tc>
        <w:tc>
          <w:tcPr>
            <w:tcW w:w="0" w:type="auto"/>
            <w:hideMark/>
          </w:tcPr>
          <w:p w:rsidR="007F7BFB" w:rsidRPr="007F7BFB" w:rsidRDefault="007F7BFB" w:rsidP="002866F2">
            <w:pPr>
              <w:jc w:val="center"/>
              <w:rPr>
                <w:rFonts w:ascii="Calibri" w:eastAsia="Times New Roman" w:hAnsi="Calibri" w:cs="Calibri"/>
                <w:sz w:val="24"/>
                <w:szCs w:val="24"/>
              </w:rPr>
            </w:pPr>
            <w:r w:rsidRPr="007F7BFB">
              <w:rPr>
                <w:rFonts w:ascii="Calibri" w:eastAsia="Times New Roman" w:hAnsi="Calibri" w:cs="Calibri"/>
                <w:sz w:val="24"/>
                <w:szCs w:val="24"/>
              </w:rPr>
              <w:t>Expected Loss</w:t>
            </w:r>
          </w:p>
        </w:tc>
      </w:tr>
    </w:tbl>
    <w:p w:rsidR="007F7BFB" w:rsidRPr="007F7BFB" w:rsidRDefault="00302D0F" w:rsidP="007F7BFB">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5" style="width:0;height:1.5pt" o:hralign="center" o:hrstd="t" o:hr="t" fillcolor="#a0a0a0" stroked="f"/>
        </w:pict>
      </w:r>
    </w:p>
    <w:p w:rsidR="007F7BFB" w:rsidRPr="007F7BFB" w:rsidRDefault="007F7BFB" w:rsidP="007F7BFB">
      <w:pPr>
        <w:spacing w:before="100" w:beforeAutospacing="1" w:after="100" w:afterAutospacing="1" w:line="240" w:lineRule="auto"/>
        <w:outlineLvl w:val="1"/>
        <w:rPr>
          <w:rFonts w:ascii="Calibri" w:eastAsia="Times New Roman" w:hAnsi="Calibri" w:cs="Calibri"/>
          <w:b/>
          <w:bCs/>
          <w:sz w:val="36"/>
          <w:szCs w:val="36"/>
        </w:rPr>
      </w:pPr>
      <w:r w:rsidRPr="007F7BFB">
        <w:rPr>
          <w:rFonts w:ascii="Calibri" w:eastAsia="Times New Roman" w:hAnsi="Calibri" w:cs="Calibri"/>
          <w:b/>
          <w:bCs/>
          <w:sz w:val="36"/>
          <w:szCs w:val="36"/>
        </w:rPr>
        <w:t>10.2 Monitoring Thresholds</w:t>
      </w:r>
    </w:p>
    <w:tbl>
      <w:tblPr>
        <w:tblStyle w:val="TableGrid"/>
        <w:tblW w:w="8498" w:type="dxa"/>
        <w:tblLook w:val="04A0" w:firstRow="1" w:lastRow="0" w:firstColumn="1" w:lastColumn="0" w:noHBand="0" w:noVBand="1"/>
      </w:tblPr>
      <w:tblGrid>
        <w:gridCol w:w="4364"/>
        <w:gridCol w:w="4134"/>
      </w:tblGrid>
      <w:tr w:rsidR="007F7BFB" w:rsidRPr="007F7BFB" w:rsidTr="00230B9F">
        <w:trPr>
          <w:trHeight w:val="356"/>
        </w:trPr>
        <w:tc>
          <w:tcPr>
            <w:tcW w:w="0" w:type="auto"/>
            <w:hideMark/>
          </w:tcPr>
          <w:p w:rsidR="007F7BFB" w:rsidRPr="007F7BFB" w:rsidRDefault="007F7BFB" w:rsidP="00230B9F">
            <w:pPr>
              <w:jc w:val="center"/>
              <w:rPr>
                <w:rFonts w:ascii="Calibri" w:eastAsia="Times New Roman" w:hAnsi="Calibri" w:cs="Calibri"/>
                <w:b/>
                <w:bCs/>
                <w:sz w:val="24"/>
                <w:szCs w:val="24"/>
              </w:rPr>
            </w:pPr>
            <w:r w:rsidRPr="007F7BFB">
              <w:rPr>
                <w:rFonts w:ascii="Calibri" w:eastAsia="Times New Roman" w:hAnsi="Calibri" w:cs="Calibri"/>
                <w:b/>
                <w:bCs/>
                <w:sz w:val="24"/>
                <w:szCs w:val="24"/>
              </w:rPr>
              <w:t>PSI Value</w:t>
            </w:r>
          </w:p>
        </w:tc>
        <w:tc>
          <w:tcPr>
            <w:tcW w:w="0" w:type="auto"/>
            <w:hideMark/>
          </w:tcPr>
          <w:p w:rsidR="007F7BFB" w:rsidRPr="007F7BFB" w:rsidRDefault="007F7BFB" w:rsidP="00230B9F">
            <w:pPr>
              <w:jc w:val="center"/>
              <w:rPr>
                <w:rFonts w:ascii="Calibri" w:eastAsia="Times New Roman" w:hAnsi="Calibri" w:cs="Calibri"/>
                <w:b/>
                <w:bCs/>
                <w:sz w:val="24"/>
                <w:szCs w:val="24"/>
              </w:rPr>
            </w:pPr>
            <w:r w:rsidRPr="007F7BFB">
              <w:rPr>
                <w:rFonts w:ascii="Calibri" w:eastAsia="Times New Roman" w:hAnsi="Calibri" w:cs="Calibri"/>
                <w:b/>
                <w:bCs/>
                <w:sz w:val="24"/>
                <w:szCs w:val="24"/>
              </w:rPr>
              <w:t>Interpretation</w:t>
            </w:r>
          </w:p>
        </w:tc>
      </w:tr>
      <w:tr w:rsidR="007F7BFB" w:rsidRPr="007F7BFB" w:rsidTr="00230B9F">
        <w:trPr>
          <w:trHeight w:val="372"/>
        </w:trPr>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PSI &lt; 0.10</w:t>
            </w:r>
          </w:p>
        </w:tc>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Stable</w:t>
            </w:r>
          </w:p>
        </w:tc>
      </w:tr>
      <w:tr w:rsidR="007F7BFB" w:rsidRPr="007F7BFB" w:rsidTr="00230B9F">
        <w:trPr>
          <w:trHeight w:val="356"/>
        </w:trPr>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0.10 ≤ PSI &lt; 0.25</w:t>
            </w:r>
          </w:p>
        </w:tc>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Moderate Drift</w:t>
            </w:r>
          </w:p>
        </w:tc>
      </w:tr>
      <w:tr w:rsidR="007F7BFB" w:rsidRPr="007F7BFB" w:rsidTr="00230B9F">
        <w:trPr>
          <w:trHeight w:val="372"/>
        </w:trPr>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PSI ≥ 0.25</w:t>
            </w:r>
          </w:p>
        </w:tc>
        <w:tc>
          <w:tcPr>
            <w:tcW w:w="0" w:type="auto"/>
            <w:hideMark/>
          </w:tcPr>
          <w:p w:rsidR="007F7BFB" w:rsidRPr="007F7BFB" w:rsidRDefault="007F7BFB" w:rsidP="00230B9F">
            <w:pPr>
              <w:jc w:val="center"/>
              <w:rPr>
                <w:rFonts w:ascii="Calibri" w:eastAsia="Times New Roman" w:hAnsi="Calibri" w:cs="Calibri"/>
                <w:sz w:val="24"/>
                <w:szCs w:val="24"/>
              </w:rPr>
            </w:pPr>
            <w:r w:rsidRPr="007F7BFB">
              <w:rPr>
                <w:rFonts w:ascii="Calibri" w:eastAsia="Times New Roman" w:hAnsi="Calibri" w:cs="Calibri"/>
                <w:sz w:val="24"/>
                <w:szCs w:val="24"/>
              </w:rPr>
              <w:t>Significant Drift</w:t>
            </w:r>
          </w:p>
        </w:tc>
      </w:tr>
    </w:tbl>
    <w:p w:rsidR="007F7BFB" w:rsidRPr="007F7BFB" w:rsidRDefault="007F7BFB" w:rsidP="007F7BFB">
      <w:pPr>
        <w:pBdr>
          <w:bottom w:val="single" w:sz="6" w:space="1" w:color="auto"/>
        </w:pBdr>
        <w:spacing w:after="0" w:line="240" w:lineRule="auto"/>
        <w:jc w:val="center"/>
        <w:rPr>
          <w:rFonts w:ascii="Calibri" w:eastAsia="Times New Roman" w:hAnsi="Calibri" w:cs="Calibri"/>
          <w:vanish/>
          <w:sz w:val="16"/>
          <w:szCs w:val="16"/>
        </w:rPr>
      </w:pPr>
      <w:r w:rsidRPr="007F7BFB">
        <w:rPr>
          <w:rFonts w:ascii="Calibri" w:eastAsia="Times New Roman" w:hAnsi="Calibri" w:cs="Calibri"/>
          <w:vanish/>
          <w:sz w:val="16"/>
          <w:szCs w:val="16"/>
        </w:rPr>
        <w:t>Top of Form</w:t>
      </w:r>
    </w:p>
    <w:p w:rsidR="007F7BFB" w:rsidRPr="007F7BFB" w:rsidRDefault="007F7BFB" w:rsidP="007F7BFB">
      <w:pPr>
        <w:spacing w:before="100" w:beforeAutospacing="1" w:after="100" w:afterAutospacing="1" w:line="240" w:lineRule="auto"/>
        <w:rPr>
          <w:rFonts w:ascii="Calibri" w:eastAsia="Times New Roman" w:hAnsi="Calibri" w:cs="Calibri"/>
          <w:sz w:val="24"/>
          <w:szCs w:val="24"/>
        </w:rPr>
      </w:pPr>
    </w:p>
    <w:p w:rsidR="007F7BFB" w:rsidRPr="007F7BFB" w:rsidRDefault="007F7BFB" w:rsidP="007F7BFB">
      <w:pPr>
        <w:pBdr>
          <w:top w:val="single" w:sz="6" w:space="1" w:color="auto"/>
        </w:pBdr>
        <w:spacing w:after="0" w:line="240" w:lineRule="auto"/>
        <w:jc w:val="center"/>
        <w:rPr>
          <w:rFonts w:ascii="Calibri" w:eastAsia="Times New Roman" w:hAnsi="Calibri" w:cs="Calibri"/>
          <w:vanish/>
          <w:sz w:val="16"/>
          <w:szCs w:val="16"/>
        </w:rPr>
      </w:pPr>
      <w:r w:rsidRPr="007F7BFB">
        <w:rPr>
          <w:rFonts w:ascii="Calibri" w:eastAsia="Times New Roman" w:hAnsi="Calibri" w:cs="Calibri"/>
          <w:vanish/>
          <w:sz w:val="16"/>
          <w:szCs w:val="16"/>
        </w:rPr>
        <w:t>Bottom of Form</w:t>
      </w:r>
    </w:p>
    <w:p w:rsidR="00B94511" w:rsidRPr="007F7BFB" w:rsidRDefault="00B94511">
      <w:pPr>
        <w:rPr>
          <w:rFonts w:ascii="Calibri" w:hAnsi="Calibri" w:cs="Calibri"/>
        </w:rPr>
      </w:pPr>
    </w:p>
    <w:sectPr w:rsidR="00B94511" w:rsidRPr="007F7BFB" w:rsidSect="009C1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B0F96"/>
    <w:multiLevelType w:val="multilevel"/>
    <w:tmpl w:val="669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822DD"/>
    <w:multiLevelType w:val="multilevel"/>
    <w:tmpl w:val="6BC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50B26"/>
    <w:multiLevelType w:val="multilevel"/>
    <w:tmpl w:val="AAE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95088A"/>
    <w:multiLevelType w:val="multilevel"/>
    <w:tmpl w:val="794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B7652"/>
    <w:multiLevelType w:val="multilevel"/>
    <w:tmpl w:val="FE7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886671"/>
    <w:multiLevelType w:val="multilevel"/>
    <w:tmpl w:val="896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5868FD"/>
    <w:multiLevelType w:val="multilevel"/>
    <w:tmpl w:val="F9C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B5392"/>
    <w:multiLevelType w:val="multilevel"/>
    <w:tmpl w:val="8A4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F1725E"/>
    <w:multiLevelType w:val="multilevel"/>
    <w:tmpl w:val="8A4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78075F"/>
    <w:multiLevelType w:val="multilevel"/>
    <w:tmpl w:val="F74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DC5F44"/>
    <w:multiLevelType w:val="multilevel"/>
    <w:tmpl w:val="E3A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3B3F96"/>
    <w:multiLevelType w:val="multilevel"/>
    <w:tmpl w:val="2CC0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6"/>
  </w:num>
  <w:num w:numId="5">
    <w:abstractNumId w:val="0"/>
  </w:num>
  <w:num w:numId="6">
    <w:abstractNumId w:val="10"/>
  </w:num>
  <w:num w:numId="7">
    <w:abstractNumId w:val="5"/>
  </w:num>
  <w:num w:numId="8">
    <w:abstractNumId w:val="1"/>
  </w:num>
  <w:num w:numId="9">
    <w:abstractNumId w:val="2"/>
  </w:num>
  <w:num w:numId="10">
    <w:abstractNumId w:val="3"/>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BFB"/>
    <w:rsid w:val="000931FB"/>
    <w:rsid w:val="00197E8E"/>
    <w:rsid w:val="00207F17"/>
    <w:rsid w:val="00230B9F"/>
    <w:rsid w:val="00231934"/>
    <w:rsid w:val="00270F99"/>
    <w:rsid w:val="002866F2"/>
    <w:rsid w:val="00300D49"/>
    <w:rsid w:val="00302D0F"/>
    <w:rsid w:val="00405D02"/>
    <w:rsid w:val="004A3609"/>
    <w:rsid w:val="00713AEB"/>
    <w:rsid w:val="007F7BFB"/>
    <w:rsid w:val="008A5821"/>
    <w:rsid w:val="0095787B"/>
    <w:rsid w:val="009C15F0"/>
    <w:rsid w:val="00A15852"/>
    <w:rsid w:val="00AA7FE1"/>
    <w:rsid w:val="00AB7D92"/>
    <w:rsid w:val="00B94511"/>
    <w:rsid w:val="00BB623C"/>
    <w:rsid w:val="00C534E3"/>
    <w:rsid w:val="00CC7606"/>
    <w:rsid w:val="00D4475E"/>
    <w:rsid w:val="00E4746B"/>
    <w:rsid w:val="00E52A13"/>
    <w:rsid w:val="00E81FBD"/>
    <w:rsid w:val="00F8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F7B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7B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7B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7B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7B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7BF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F7BF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7BFB"/>
    <w:rPr>
      <w:rFonts w:ascii="Arial" w:eastAsia="Times New Roman" w:hAnsi="Arial" w:cs="Arial"/>
      <w:vanish/>
      <w:sz w:val="16"/>
      <w:szCs w:val="16"/>
    </w:rPr>
  </w:style>
  <w:style w:type="paragraph" w:customStyle="1" w:styleId="placeholder">
    <w:name w:val="placeholder"/>
    <w:basedOn w:val="Normal"/>
    <w:rsid w:val="007F7BF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F7BF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7BFB"/>
    <w:rPr>
      <w:rFonts w:ascii="Arial" w:eastAsia="Times New Roman" w:hAnsi="Arial" w:cs="Arial"/>
      <w:vanish/>
      <w:sz w:val="16"/>
      <w:szCs w:val="16"/>
    </w:rPr>
  </w:style>
  <w:style w:type="table" w:styleId="TableGrid">
    <w:name w:val="Table Grid"/>
    <w:basedOn w:val="TableNormal"/>
    <w:uiPriority w:val="59"/>
    <w:rsid w:val="007F7B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F7B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7B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7B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7B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7B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7BF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F7BF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7BFB"/>
    <w:rPr>
      <w:rFonts w:ascii="Arial" w:eastAsia="Times New Roman" w:hAnsi="Arial" w:cs="Arial"/>
      <w:vanish/>
      <w:sz w:val="16"/>
      <w:szCs w:val="16"/>
    </w:rPr>
  </w:style>
  <w:style w:type="paragraph" w:customStyle="1" w:styleId="placeholder">
    <w:name w:val="placeholder"/>
    <w:basedOn w:val="Normal"/>
    <w:rsid w:val="007F7BF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F7BF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7BFB"/>
    <w:rPr>
      <w:rFonts w:ascii="Arial" w:eastAsia="Times New Roman" w:hAnsi="Arial" w:cs="Arial"/>
      <w:vanish/>
      <w:sz w:val="16"/>
      <w:szCs w:val="16"/>
    </w:rPr>
  </w:style>
  <w:style w:type="table" w:styleId="TableGrid">
    <w:name w:val="Table Grid"/>
    <w:basedOn w:val="TableNormal"/>
    <w:uiPriority w:val="59"/>
    <w:rsid w:val="007F7B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841678">
      <w:bodyDiv w:val="1"/>
      <w:marLeft w:val="0"/>
      <w:marRight w:val="0"/>
      <w:marTop w:val="0"/>
      <w:marBottom w:val="0"/>
      <w:divBdr>
        <w:top w:val="none" w:sz="0" w:space="0" w:color="auto"/>
        <w:left w:val="none" w:sz="0" w:space="0" w:color="auto"/>
        <w:bottom w:val="none" w:sz="0" w:space="0" w:color="auto"/>
        <w:right w:val="none" w:sz="0" w:space="0" w:color="auto"/>
      </w:divBdr>
    </w:div>
    <w:div w:id="609435105">
      <w:bodyDiv w:val="1"/>
      <w:marLeft w:val="0"/>
      <w:marRight w:val="0"/>
      <w:marTop w:val="0"/>
      <w:marBottom w:val="0"/>
      <w:divBdr>
        <w:top w:val="none" w:sz="0" w:space="0" w:color="auto"/>
        <w:left w:val="none" w:sz="0" w:space="0" w:color="auto"/>
        <w:bottom w:val="none" w:sz="0" w:space="0" w:color="auto"/>
        <w:right w:val="none" w:sz="0" w:space="0" w:color="auto"/>
      </w:divBdr>
    </w:div>
    <w:div w:id="868183902">
      <w:bodyDiv w:val="1"/>
      <w:marLeft w:val="0"/>
      <w:marRight w:val="0"/>
      <w:marTop w:val="0"/>
      <w:marBottom w:val="0"/>
      <w:divBdr>
        <w:top w:val="none" w:sz="0" w:space="0" w:color="auto"/>
        <w:left w:val="none" w:sz="0" w:space="0" w:color="auto"/>
        <w:bottom w:val="none" w:sz="0" w:space="0" w:color="auto"/>
        <w:right w:val="none" w:sz="0" w:space="0" w:color="auto"/>
      </w:divBdr>
    </w:div>
    <w:div w:id="1170481609">
      <w:bodyDiv w:val="1"/>
      <w:marLeft w:val="0"/>
      <w:marRight w:val="0"/>
      <w:marTop w:val="0"/>
      <w:marBottom w:val="0"/>
      <w:divBdr>
        <w:top w:val="none" w:sz="0" w:space="0" w:color="auto"/>
        <w:left w:val="none" w:sz="0" w:space="0" w:color="auto"/>
        <w:bottom w:val="none" w:sz="0" w:space="0" w:color="auto"/>
        <w:right w:val="none" w:sz="0" w:space="0" w:color="auto"/>
      </w:divBdr>
    </w:div>
    <w:div w:id="1297569101">
      <w:bodyDiv w:val="1"/>
      <w:marLeft w:val="0"/>
      <w:marRight w:val="0"/>
      <w:marTop w:val="0"/>
      <w:marBottom w:val="0"/>
      <w:divBdr>
        <w:top w:val="none" w:sz="0" w:space="0" w:color="auto"/>
        <w:left w:val="none" w:sz="0" w:space="0" w:color="auto"/>
        <w:bottom w:val="none" w:sz="0" w:space="0" w:color="auto"/>
        <w:right w:val="none" w:sz="0" w:space="0" w:color="auto"/>
      </w:divBdr>
    </w:div>
    <w:div w:id="1799912151">
      <w:bodyDiv w:val="1"/>
      <w:marLeft w:val="0"/>
      <w:marRight w:val="0"/>
      <w:marTop w:val="0"/>
      <w:marBottom w:val="0"/>
      <w:divBdr>
        <w:top w:val="none" w:sz="0" w:space="0" w:color="auto"/>
        <w:left w:val="none" w:sz="0" w:space="0" w:color="auto"/>
        <w:bottom w:val="none" w:sz="0" w:space="0" w:color="auto"/>
        <w:right w:val="none" w:sz="0" w:space="0" w:color="auto"/>
      </w:divBdr>
      <w:divsChild>
        <w:div w:id="1427917098">
          <w:marLeft w:val="0"/>
          <w:marRight w:val="0"/>
          <w:marTop w:val="0"/>
          <w:marBottom w:val="0"/>
          <w:divBdr>
            <w:top w:val="none" w:sz="0" w:space="0" w:color="auto"/>
            <w:left w:val="none" w:sz="0" w:space="0" w:color="auto"/>
            <w:bottom w:val="none" w:sz="0" w:space="0" w:color="auto"/>
            <w:right w:val="none" w:sz="0" w:space="0" w:color="auto"/>
          </w:divBdr>
          <w:divsChild>
            <w:div w:id="65617119">
              <w:marLeft w:val="0"/>
              <w:marRight w:val="0"/>
              <w:marTop w:val="0"/>
              <w:marBottom w:val="0"/>
              <w:divBdr>
                <w:top w:val="none" w:sz="0" w:space="0" w:color="auto"/>
                <w:left w:val="none" w:sz="0" w:space="0" w:color="auto"/>
                <w:bottom w:val="none" w:sz="0" w:space="0" w:color="auto"/>
                <w:right w:val="none" w:sz="0" w:space="0" w:color="auto"/>
              </w:divBdr>
              <w:divsChild>
                <w:div w:id="813064342">
                  <w:marLeft w:val="0"/>
                  <w:marRight w:val="0"/>
                  <w:marTop w:val="0"/>
                  <w:marBottom w:val="0"/>
                  <w:divBdr>
                    <w:top w:val="none" w:sz="0" w:space="0" w:color="auto"/>
                    <w:left w:val="none" w:sz="0" w:space="0" w:color="auto"/>
                    <w:bottom w:val="none" w:sz="0" w:space="0" w:color="auto"/>
                    <w:right w:val="none" w:sz="0" w:space="0" w:color="auto"/>
                  </w:divBdr>
                  <w:divsChild>
                    <w:div w:id="2140762605">
                      <w:marLeft w:val="0"/>
                      <w:marRight w:val="0"/>
                      <w:marTop w:val="0"/>
                      <w:marBottom w:val="0"/>
                      <w:divBdr>
                        <w:top w:val="none" w:sz="0" w:space="0" w:color="auto"/>
                        <w:left w:val="none" w:sz="0" w:space="0" w:color="auto"/>
                        <w:bottom w:val="none" w:sz="0" w:space="0" w:color="auto"/>
                        <w:right w:val="none" w:sz="0" w:space="0" w:color="auto"/>
                      </w:divBdr>
                      <w:divsChild>
                        <w:div w:id="1321806127">
                          <w:marLeft w:val="0"/>
                          <w:marRight w:val="0"/>
                          <w:marTop w:val="0"/>
                          <w:marBottom w:val="0"/>
                          <w:divBdr>
                            <w:top w:val="none" w:sz="0" w:space="0" w:color="auto"/>
                            <w:left w:val="none" w:sz="0" w:space="0" w:color="auto"/>
                            <w:bottom w:val="none" w:sz="0" w:space="0" w:color="auto"/>
                            <w:right w:val="none" w:sz="0" w:space="0" w:color="auto"/>
                          </w:divBdr>
                          <w:divsChild>
                            <w:div w:id="834538092">
                              <w:marLeft w:val="0"/>
                              <w:marRight w:val="0"/>
                              <w:marTop w:val="0"/>
                              <w:marBottom w:val="0"/>
                              <w:divBdr>
                                <w:top w:val="none" w:sz="0" w:space="0" w:color="auto"/>
                                <w:left w:val="none" w:sz="0" w:space="0" w:color="auto"/>
                                <w:bottom w:val="none" w:sz="0" w:space="0" w:color="auto"/>
                                <w:right w:val="none" w:sz="0" w:space="0" w:color="auto"/>
                              </w:divBdr>
                              <w:divsChild>
                                <w:div w:id="1368917707">
                                  <w:marLeft w:val="0"/>
                                  <w:marRight w:val="0"/>
                                  <w:marTop w:val="0"/>
                                  <w:marBottom w:val="0"/>
                                  <w:divBdr>
                                    <w:top w:val="none" w:sz="0" w:space="0" w:color="auto"/>
                                    <w:left w:val="none" w:sz="0" w:space="0" w:color="auto"/>
                                    <w:bottom w:val="none" w:sz="0" w:space="0" w:color="auto"/>
                                    <w:right w:val="none" w:sz="0" w:space="0" w:color="auto"/>
                                  </w:divBdr>
                                  <w:divsChild>
                                    <w:div w:id="937256699">
                                      <w:marLeft w:val="0"/>
                                      <w:marRight w:val="0"/>
                                      <w:marTop w:val="0"/>
                                      <w:marBottom w:val="0"/>
                                      <w:divBdr>
                                        <w:top w:val="none" w:sz="0" w:space="0" w:color="auto"/>
                                        <w:left w:val="none" w:sz="0" w:space="0" w:color="auto"/>
                                        <w:bottom w:val="none" w:sz="0" w:space="0" w:color="auto"/>
                                        <w:right w:val="none" w:sz="0" w:space="0" w:color="auto"/>
                                      </w:divBdr>
                                      <w:divsChild>
                                        <w:div w:id="2075352989">
                                          <w:marLeft w:val="0"/>
                                          <w:marRight w:val="0"/>
                                          <w:marTop w:val="0"/>
                                          <w:marBottom w:val="0"/>
                                          <w:divBdr>
                                            <w:top w:val="none" w:sz="0" w:space="0" w:color="auto"/>
                                            <w:left w:val="none" w:sz="0" w:space="0" w:color="auto"/>
                                            <w:bottom w:val="none" w:sz="0" w:space="0" w:color="auto"/>
                                            <w:right w:val="none" w:sz="0" w:space="0" w:color="auto"/>
                                          </w:divBdr>
                                          <w:divsChild>
                                            <w:div w:id="1168787294">
                                              <w:marLeft w:val="0"/>
                                              <w:marRight w:val="0"/>
                                              <w:marTop w:val="0"/>
                                              <w:marBottom w:val="0"/>
                                              <w:divBdr>
                                                <w:top w:val="none" w:sz="0" w:space="0" w:color="auto"/>
                                                <w:left w:val="none" w:sz="0" w:space="0" w:color="auto"/>
                                                <w:bottom w:val="none" w:sz="0" w:space="0" w:color="auto"/>
                                                <w:right w:val="none" w:sz="0" w:space="0" w:color="auto"/>
                                              </w:divBdr>
                                              <w:divsChild>
                                                <w:div w:id="1341078090">
                                                  <w:marLeft w:val="0"/>
                                                  <w:marRight w:val="0"/>
                                                  <w:marTop w:val="0"/>
                                                  <w:marBottom w:val="0"/>
                                                  <w:divBdr>
                                                    <w:top w:val="none" w:sz="0" w:space="0" w:color="auto"/>
                                                    <w:left w:val="none" w:sz="0" w:space="0" w:color="auto"/>
                                                    <w:bottom w:val="none" w:sz="0" w:space="0" w:color="auto"/>
                                                    <w:right w:val="none" w:sz="0" w:space="0" w:color="auto"/>
                                                  </w:divBdr>
                                                  <w:divsChild>
                                                    <w:div w:id="128791100">
                                                      <w:marLeft w:val="0"/>
                                                      <w:marRight w:val="0"/>
                                                      <w:marTop w:val="0"/>
                                                      <w:marBottom w:val="0"/>
                                                      <w:divBdr>
                                                        <w:top w:val="none" w:sz="0" w:space="0" w:color="auto"/>
                                                        <w:left w:val="none" w:sz="0" w:space="0" w:color="auto"/>
                                                        <w:bottom w:val="none" w:sz="0" w:space="0" w:color="auto"/>
                                                        <w:right w:val="none" w:sz="0" w:space="0" w:color="auto"/>
                                                      </w:divBdr>
                                                      <w:divsChild>
                                                        <w:div w:id="579798600">
                                                          <w:marLeft w:val="0"/>
                                                          <w:marRight w:val="0"/>
                                                          <w:marTop w:val="0"/>
                                                          <w:marBottom w:val="0"/>
                                                          <w:divBdr>
                                                            <w:top w:val="none" w:sz="0" w:space="0" w:color="auto"/>
                                                            <w:left w:val="none" w:sz="0" w:space="0" w:color="auto"/>
                                                            <w:bottom w:val="none" w:sz="0" w:space="0" w:color="auto"/>
                                                            <w:right w:val="none" w:sz="0" w:space="0" w:color="auto"/>
                                                          </w:divBdr>
                                                          <w:divsChild>
                                                            <w:div w:id="259723629">
                                                              <w:marLeft w:val="0"/>
                                                              <w:marRight w:val="0"/>
                                                              <w:marTop w:val="0"/>
                                                              <w:marBottom w:val="0"/>
                                                              <w:divBdr>
                                                                <w:top w:val="none" w:sz="0" w:space="0" w:color="auto"/>
                                                                <w:left w:val="none" w:sz="0" w:space="0" w:color="auto"/>
                                                                <w:bottom w:val="none" w:sz="0" w:space="0" w:color="auto"/>
                                                                <w:right w:val="none" w:sz="0" w:space="0" w:color="auto"/>
                                                              </w:divBdr>
                                                              <w:divsChild>
                                                                <w:div w:id="75708660">
                                                                  <w:marLeft w:val="0"/>
                                                                  <w:marRight w:val="0"/>
                                                                  <w:marTop w:val="0"/>
                                                                  <w:marBottom w:val="0"/>
                                                                  <w:divBdr>
                                                                    <w:top w:val="none" w:sz="0" w:space="0" w:color="auto"/>
                                                                    <w:left w:val="none" w:sz="0" w:space="0" w:color="auto"/>
                                                                    <w:bottom w:val="none" w:sz="0" w:space="0" w:color="auto"/>
                                                                    <w:right w:val="none" w:sz="0" w:space="0" w:color="auto"/>
                                                                  </w:divBdr>
                                                                  <w:divsChild>
                                                                    <w:div w:id="1556743815">
                                                                      <w:marLeft w:val="0"/>
                                                                      <w:marRight w:val="0"/>
                                                                      <w:marTop w:val="0"/>
                                                                      <w:marBottom w:val="0"/>
                                                                      <w:divBdr>
                                                                        <w:top w:val="none" w:sz="0" w:space="0" w:color="auto"/>
                                                                        <w:left w:val="none" w:sz="0" w:space="0" w:color="auto"/>
                                                                        <w:bottom w:val="none" w:sz="0" w:space="0" w:color="auto"/>
                                                                        <w:right w:val="none" w:sz="0" w:space="0" w:color="auto"/>
                                                                      </w:divBdr>
                                                                      <w:divsChild>
                                                                        <w:div w:id="1937245774">
                                                                          <w:marLeft w:val="0"/>
                                                                          <w:marRight w:val="0"/>
                                                                          <w:marTop w:val="0"/>
                                                                          <w:marBottom w:val="0"/>
                                                                          <w:divBdr>
                                                                            <w:top w:val="none" w:sz="0" w:space="0" w:color="auto"/>
                                                                            <w:left w:val="none" w:sz="0" w:space="0" w:color="auto"/>
                                                                            <w:bottom w:val="none" w:sz="0" w:space="0" w:color="auto"/>
                                                                            <w:right w:val="none" w:sz="0" w:space="0" w:color="auto"/>
                                                                          </w:divBdr>
                                                                          <w:divsChild>
                                                                            <w:div w:id="788857266">
                                                                              <w:marLeft w:val="0"/>
                                                                              <w:marRight w:val="0"/>
                                                                              <w:marTop w:val="0"/>
                                                                              <w:marBottom w:val="0"/>
                                                                              <w:divBdr>
                                                                                <w:top w:val="none" w:sz="0" w:space="0" w:color="auto"/>
                                                                                <w:left w:val="none" w:sz="0" w:space="0" w:color="auto"/>
                                                                                <w:bottom w:val="none" w:sz="0" w:space="0" w:color="auto"/>
                                                                                <w:right w:val="none" w:sz="0" w:space="0" w:color="auto"/>
                                                                              </w:divBdr>
                                                                              <w:divsChild>
                                                                                <w:div w:id="1478456266">
                                                                                  <w:marLeft w:val="0"/>
                                                                                  <w:marRight w:val="0"/>
                                                                                  <w:marTop w:val="0"/>
                                                                                  <w:marBottom w:val="0"/>
                                                                                  <w:divBdr>
                                                                                    <w:top w:val="none" w:sz="0" w:space="0" w:color="auto"/>
                                                                                    <w:left w:val="none" w:sz="0" w:space="0" w:color="auto"/>
                                                                                    <w:bottom w:val="none" w:sz="0" w:space="0" w:color="auto"/>
                                                                                    <w:right w:val="none" w:sz="0" w:space="0" w:color="auto"/>
                                                                                  </w:divBdr>
                                                                                </w:div>
                                                                              </w:divsChild>
                                                                            </w:div>
                                                                            <w:div w:id="2145346449">
                                                                              <w:marLeft w:val="0"/>
                                                                              <w:marRight w:val="0"/>
                                                                              <w:marTop w:val="0"/>
                                                                              <w:marBottom w:val="0"/>
                                                                              <w:divBdr>
                                                                                <w:top w:val="none" w:sz="0" w:space="0" w:color="auto"/>
                                                                                <w:left w:val="none" w:sz="0" w:space="0" w:color="auto"/>
                                                                                <w:bottom w:val="none" w:sz="0" w:space="0" w:color="auto"/>
                                                                                <w:right w:val="none" w:sz="0" w:space="0" w:color="auto"/>
                                                                              </w:divBdr>
                                                                              <w:divsChild>
                                                                                <w:div w:id="1640068998">
                                                                                  <w:marLeft w:val="0"/>
                                                                                  <w:marRight w:val="0"/>
                                                                                  <w:marTop w:val="0"/>
                                                                                  <w:marBottom w:val="0"/>
                                                                                  <w:divBdr>
                                                                                    <w:top w:val="none" w:sz="0" w:space="0" w:color="auto"/>
                                                                                    <w:left w:val="none" w:sz="0" w:space="0" w:color="auto"/>
                                                                                    <w:bottom w:val="none" w:sz="0" w:space="0" w:color="auto"/>
                                                                                    <w:right w:val="none" w:sz="0" w:space="0" w:color="auto"/>
                                                                                  </w:divBdr>
                                                                                </w:div>
                                                                              </w:divsChild>
                                                                            </w:div>
                                                                            <w:div w:id="1606306301">
                                                                              <w:marLeft w:val="0"/>
                                                                              <w:marRight w:val="0"/>
                                                                              <w:marTop w:val="0"/>
                                                                              <w:marBottom w:val="0"/>
                                                                              <w:divBdr>
                                                                                <w:top w:val="none" w:sz="0" w:space="0" w:color="auto"/>
                                                                                <w:left w:val="none" w:sz="0" w:space="0" w:color="auto"/>
                                                                                <w:bottom w:val="none" w:sz="0" w:space="0" w:color="auto"/>
                                                                                <w:right w:val="none" w:sz="0" w:space="0" w:color="auto"/>
                                                                              </w:divBdr>
                                                                              <w:divsChild>
                                                                                <w:div w:id="886375867">
                                                                                  <w:marLeft w:val="0"/>
                                                                                  <w:marRight w:val="0"/>
                                                                                  <w:marTop w:val="0"/>
                                                                                  <w:marBottom w:val="0"/>
                                                                                  <w:divBdr>
                                                                                    <w:top w:val="none" w:sz="0" w:space="0" w:color="auto"/>
                                                                                    <w:left w:val="none" w:sz="0" w:space="0" w:color="auto"/>
                                                                                    <w:bottom w:val="none" w:sz="0" w:space="0" w:color="auto"/>
                                                                                    <w:right w:val="none" w:sz="0" w:space="0" w:color="auto"/>
                                                                                  </w:divBdr>
                                                                                </w:div>
                                                                              </w:divsChild>
                                                                            </w:div>
                                                                            <w:div w:id="422188778">
                                                                              <w:marLeft w:val="0"/>
                                                                              <w:marRight w:val="0"/>
                                                                              <w:marTop w:val="0"/>
                                                                              <w:marBottom w:val="0"/>
                                                                              <w:divBdr>
                                                                                <w:top w:val="none" w:sz="0" w:space="0" w:color="auto"/>
                                                                                <w:left w:val="none" w:sz="0" w:space="0" w:color="auto"/>
                                                                                <w:bottom w:val="none" w:sz="0" w:space="0" w:color="auto"/>
                                                                                <w:right w:val="none" w:sz="0" w:space="0" w:color="auto"/>
                                                                              </w:divBdr>
                                                                              <w:divsChild>
                                                                                <w:div w:id="323557899">
                                                                                  <w:marLeft w:val="0"/>
                                                                                  <w:marRight w:val="0"/>
                                                                                  <w:marTop w:val="0"/>
                                                                                  <w:marBottom w:val="0"/>
                                                                                  <w:divBdr>
                                                                                    <w:top w:val="none" w:sz="0" w:space="0" w:color="auto"/>
                                                                                    <w:left w:val="none" w:sz="0" w:space="0" w:color="auto"/>
                                                                                    <w:bottom w:val="none" w:sz="0" w:space="0" w:color="auto"/>
                                                                                    <w:right w:val="none" w:sz="0" w:space="0" w:color="auto"/>
                                                                                  </w:divBdr>
                                                                                </w:div>
                                                                              </w:divsChild>
                                                                            </w:div>
                                                                            <w:div w:id="1378311283">
                                                                              <w:marLeft w:val="0"/>
                                                                              <w:marRight w:val="0"/>
                                                                              <w:marTop w:val="0"/>
                                                                              <w:marBottom w:val="0"/>
                                                                              <w:divBdr>
                                                                                <w:top w:val="none" w:sz="0" w:space="0" w:color="auto"/>
                                                                                <w:left w:val="none" w:sz="0" w:space="0" w:color="auto"/>
                                                                                <w:bottom w:val="none" w:sz="0" w:space="0" w:color="auto"/>
                                                                                <w:right w:val="none" w:sz="0" w:space="0" w:color="auto"/>
                                                                              </w:divBdr>
                                                                              <w:divsChild>
                                                                                <w:div w:id="784931654">
                                                                                  <w:marLeft w:val="0"/>
                                                                                  <w:marRight w:val="0"/>
                                                                                  <w:marTop w:val="0"/>
                                                                                  <w:marBottom w:val="0"/>
                                                                                  <w:divBdr>
                                                                                    <w:top w:val="none" w:sz="0" w:space="0" w:color="auto"/>
                                                                                    <w:left w:val="none" w:sz="0" w:space="0" w:color="auto"/>
                                                                                    <w:bottom w:val="none" w:sz="0" w:space="0" w:color="auto"/>
                                                                                    <w:right w:val="none" w:sz="0" w:space="0" w:color="auto"/>
                                                                                  </w:divBdr>
                                                                                </w:div>
                                                                              </w:divsChild>
                                                                            </w:div>
                                                                            <w:div w:id="831213036">
                                                                              <w:marLeft w:val="0"/>
                                                                              <w:marRight w:val="0"/>
                                                                              <w:marTop w:val="0"/>
                                                                              <w:marBottom w:val="0"/>
                                                                              <w:divBdr>
                                                                                <w:top w:val="none" w:sz="0" w:space="0" w:color="auto"/>
                                                                                <w:left w:val="none" w:sz="0" w:space="0" w:color="auto"/>
                                                                                <w:bottom w:val="none" w:sz="0" w:space="0" w:color="auto"/>
                                                                                <w:right w:val="none" w:sz="0" w:space="0" w:color="auto"/>
                                                                              </w:divBdr>
                                                                              <w:divsChild>
                                                                                <w:div w:id="6786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5795056">
                                          <w:marLeft w:val="0"/>
                                          <w:marRight w:val="0"/>
                                          <w:marTop w:val="0"/>
                                          <w:marBottom w:val="0"/>
                                          <w:divBdr>
                                            <w:top w:val="none" w:sz="0" w:space="0" w:color="auto"/>
                                            <w:left w:val="none" w:sz="0" w:space="0" w:color="auto"/>
                                            <w:bottom w:val="none" w:sz="0" w:space="0" w:color="auto"/>
                                            <w:right w:val="none" w:sz="0" w:space="0" w:color="auto"/>
                                          </w:divBdr>
                                          <w:divsChild>
                                            <w:div w:id="1954169147">
                                              <w:marLeft w:val="0"/>
                                              <w:marRight w:val="0"/>
                                              <w:marTop w:val="0"/>
                                              <w:marBottom w:val="0"/>
                                              <w:divBdr>
                                                <w:top w:val="none" w:sz="0" w:space="0" w:color="auto"/>
                                                <w:left w:val="none" w:sz="0" w:space="0" w:color="auto"/>
                                                <w:bottom w:val="none" w:sz="0" w:space="0" w:color="auto"/>
                                                <w:right w:val="none" w:sz="0" w:space="0" w:color="auto"/>
                                              </w:divBdr>
                                              <w:divsChild>
                                                <w:div w:id="1517621849">
                                                  <w:marLeft w:val="0"/>
                                                  <w:marRight w:val="0"/>
                                                  <w:marTop w:val="0"/>
                                                  <w:marBottom w:val="0"/>
                                                  <w:divBdr>
                                                    <w:top w:val="none" w:sz="0" w:space="0" w:color="auto"/>
                                                    <w:left w:val="none" w:sz="0" w:space="0" w:color="auto"/>
                                                    <w:bottom w:val="none" w:sz="0" w:space="0" w:color="auto"/>
                                                    <w:right w:val="none" w:sz="0" w:space="0" w:color="auto"/>
                                                  </w:divBdr>
                                                  <w:divsChild>
                                                    <w:div w:id="1537306781">
                                                      <w:marLeft w:val="0"/>
                                                      <w:marRight w:val="0"/>
                                                      <w:marTop w:val="0"/>
                                                      <w:marBottom w:val="0"/>
                                                      <w:divBdr>
                                                        <w:top w:val="none" w:sz="0" w:space="0" w:color="auto"/>
                                                        <w:left w:val="none" w:sz="0" w:space="0" w:color="auto"/>
                                                        <w:bottom w:val="none" w:sz="0" w:space="0" w:color="auto"/>
                                                        <w:right w:val="none" w:sz="0" w:space="0" w:color="auto"/>
                                                      </w:divBdr>
                                                      <w:divsChild>
                                                        <w:div w:id="1522278328">
                                                          <w:marLeft w:val="0"/>
                                                          <w:marRight w:val="0"/>
                                                          <w:marTop w:val="0"/>
                                                          <w:marBottom w:val="0"/>
                                                          <w:divBdr>
                                                            <w:top w:val="none" w:sz="0" w:space="0" w:color="auto"/>
                                                            <w:left w:val="none" w:sz="0" w:space="0" w:color="auto"/>
                                                            <w:bottom w:val="none" w:sz="0" w:space="0" w:color="auto"/>
                                                            <w:right w:val="none" w:sz="0" w:space="0" w:color="auto"/>
                                                          </w:divBdr>
                                                          <w:divsChild>
                                                            <w:div w:id="277105188">
                                                              <w:marLeft w:val="0"/>
                                                              <w:marRight w:val="0"/>
                                                              <w:marTop w:val="0"/>
                                                              <w:marBottom w:val="0"/>
                                                              <w:divBdr>
                                                                <w:top w:val="none" w:sz="0" w:space="0" w:color="auto"/>
                                                                <w:left w:val="none" w:sz="0" w:space="0" w:color="auto"/>
                                                                <w:bottom w:val="none" w:sz="0" w:space="0" w:color="auto"/>
                                                                <w:right w:val="none" w:sz="0" w:space="0" w:color="auto"/>
                                                              </w:divBdr>
                                                              <w:divsChild>
                                                                <w:div w:id="321858527">
                                                                  <w:marLeft w:val="0"/>
                                                                  <w:marRight w:val="0"/>
                                                                  <w:marTop w:val="0"/>
                                                                  <w:marBottom w:val="0"/>
                                                                  <w:divBdr>
                                                                    <w:top w:val="none" w:sz="0" w:space="0" w:color="auto"/>
                                                                    <w:left w:val="none" w:sz="0" w:space="0" w:color="auto"/>
                                                                    <w:bottom w:val="none" w:sz="0" w:space="0" w:color="auto"/>
                                                                    <w:right w:val="none" w:sz="0" w:space="0" w:color="auto"/>
                                                                  </w:divBdr>
                                                                  <w:divsChild>
                                                                    <w:div w:id="500042913">
                                                                      <w:marLeft w:val="0"/>
                                                                      <w:marRight w:val="0"/>
                                                                      <w:marTop w:val="0"/>
                                                                      <w:marBottom w:val="0"/>
                                                                      <w:divBdr>
                                                                        <w:top w:val="none" w:sz="0" w:space="0" w:color="auto"/>
                                                                        <w:left w:val="none" w:sz="0" w:space="0" w:color="auto"/>
                                                                        <w:bottom w:val="none" w:sz="0" w:space="0" w:color="auto"/>
                                                                        <w:right w:val="none" w:sz="0" w:space="0" w:color="auto"/>
                                                                      </w:divBdr>
                                                                      <w:divsChild>
                                                                        <w:div w:id="2090155380">
                                                                          <w:marLeft w:val="0"/>
                                                                          <w:marRight w:val="0"/>
                                                                          <w:marTop w:val="0"/>
                                                                          <w:marBottom w:val="0"/>
                                                                          <w:divBdr>
                                                                            <w:top w:val="none" w:sz="0" w:space="0" w:color="auto"/>
                                                                            <w:left w:val="none" w:sz="0" w:space="0" w:color="auto"/>
                                                                            <w:bottom w:val="none" w:sz="0" w:space="0" w:color="auto"/>
                                                                            <w:right w:val="none" w:sz="0" w:space="0" w:color="auto"/>
                                                                          </w:divBdr>
                                                                          <w:divsChild>
                                                                            <w:div w:id="30422894">
                                                                              <w:marLeft w:val="0"/>
                                                                              <w:marRight w:val="0"/>
                                                                              <w:marTop w:val="0"/>
                                                                              <w:marBottom w:val="0"/>
                                                                              <w:divBdr>
                                                                                <w:top w:val="none" w:sz="0" w:space="0" w:color="auto"/>
                                                                                <w:left w:val="none" w:sz="0" w:space="0" w:color="auto"/>
                                                                                <w:bottom w:val="none" w:sz="0" w:space="0" w:color="auto"/>
                                                                                <w:right w:val="none" w:sz="0" w:space="0" w:color="auto"/>
                                                                              </w:divBdr>
                                                                              <w:divsChild>
                                                                                <w:div w:id="1268198633">
                                                                                  <w:marLeft w:val="0"/>
                                                                                  <w:marRight w:val="0"/>
                                                                                  <w:marTop w:val="0"/>
                                                                                  <w:marBottom w:val="0"/>
                                                                                  <w:divBdr>
                                                                                    <w:top w:val="none" w:sz="0" w:space="0" w:color="auto"/>
                                                                                    <w:left w:val="none" w:sz="0" w:space="0" w:color="auto"/>
                                                                                    <w:bottom w:val="none" w:sz="0" w:space="0" w:color="auto"/>
                                                                                    <w:right w:val="none" w:sz="0" w:space="0" w:color="auto"/>
                                                                                  </w:divBdr>
                                                                                  <w:divsChild>
                                                                                    <w:div w:id="4914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215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1580</Words>
  <Characters>9012</Characters>
  <Application>Microsoft Office Word</Application>
  <DocSecurity>0</DocSecurity>
  <Lines>75</Lines>
  <Paragraphs>21</Paragraphs>
  <ScaleCrop>false</ScaleCrop>
  <Company/>
  <LinksUpToDate>false</LinksUpToDate>
  <CharactersWithSpaces>10571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27</cp:revision>
  <dcterms:created xsi:type="dcterms:W3CDTF">2026-05-11T07:16:00Z</dcterms:created>
  <dcterms:modified xsi:type="dcterms:W3CDTF">2026-05-30T17:06:00Z</dcterms:modified>
</cp:coreProperties>
</file>