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IFRS 9 Governance &amp; Model Risk Management Note</w: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sz w:val="32"/>
          <w:szCs w:val="32"/>
        </w:rPr>
        <w:t>1. Purpose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This document defines governance controls, model risk management practices, monitoring thresholds, impairment assessment criteria, and escalation procedures for the IFRS 9 Expected Credit Loss framework.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The objective is to ensure the model remains reliable, explainable, monitored, and compliant with IFRS 9, SR 11-7 principles, and internal model governance expectations.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 Model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4196"/>
      </w:tblGrid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Model Name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IFRS 9 Expected Credit Loss Framework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Model Type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Credit Risk / Provisioning Model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Retail Unsecured Lending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PD, LGD, EAD, ECL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IFRS 9 / </w:t>
            </w:r>
            <w:proofErr w:type="spellStart"/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Ind</w:t>
            </w:r>
            <w:proofErr w:type="spellEnd"/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109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Standard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SR 11-7 aligned</w:t>
            </w:r>
          </w:p>
        </w:tc>
      </w:tr>
    </w:tbl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 Model Risk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2150"/>
      </w:tblGrid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Area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Regulatory Risk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Reporting Risk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Model Complexity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Requirement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Annual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Requirement</w:t>
            </w:r>
          </w:p>
        </w:tc>
        <w:tc>
          <w:tcPr>
            <w:tcW w:w="0" w:type="auto"/>
            <w:hideMark/>
          </w:tcPr>
          <w:p w:rsidR="002C0007" w:rsidRPr="002C0007" w:rsidRDefault="002C0007" w:rsidP="006A388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Monthly / Quarterly</w:t>
            </w:r>
          </w:p>
        </w:tc>
      </w:tr>
    </w:tbl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Overall Model Risk Rating: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MEDIUM-HIGH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 Governance Roles</w: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sz w:val="28"/>
          <w:szCs w:val="32"/>
        </w:rPr>
        <w:t>Model Owner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C0007" w:rsidRPr="002C0007" w:rsidRDefault="002C0007" w:rsidP="002C0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lastRenderedPageBreak/>
        <w:t>Model performance ownership</w:t>
      </w:r>
    </w:p>
    <w:p w:rsidR="002C0007" w:rsidRPr="002C0007" w:rsidRDefault="002C0007" w:rsidP="002C0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Monitoring review</w:t>
      </w:r>
    </w:p>
    <w:p w:rsidR="002C0007" w:rsidRPr="002C0007" w:rsidRDefault="002C0007" w:rsidP="002C0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Escalation initiation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C0007">
        <w:rPr>
          <w:rFonts w:ascii="Times New Roman" w:eastAsia="Times New Roman" w:hAnsi="Times New Roman" w:cs="Times New Roman"/>
          <w:b/>
          <w:bCs/>
          <w:sz w:val="28"/>
          <w:szCs w:val="28"/>
        </w:rPr>
        <w:t>Model Developer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C0007" w:rsidRPr="002C0007" w:rsidRDefault="002C0007" w:rsidP="002C0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Model development</w:t>
      </w:r>
    </w:p>
    <w:p w:rsidR="002C0007" w:rsidRPr="002C0007" w:rsidRDefault="002C0007" w:rsidP="002C0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Recalibration implementation</w:t>
      </w:r>
    </w:p>
    <w:p w:rsidR="002C0007" w:rsidRPr="002C0007" w:rsidRDefault="002C0007" w:rsidP="002C0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Methodology maintenance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C0007">
        <w:rPr>
          <w:rFonts w:ascii="Times New Roman" w:eastAsia="Times New Roman" w:hAnsi="Times New Roman" w:cs="Times New Roman"/>
          <w:b/>
          <w:bCs/>
          <w:sz w:val="28"/>
          <w:szCs w:val="28"/>
        </w:rPr>
        <w:t>Independent Validator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C0007" w:rsidRPr="002C0007" w:rsidRDefault="002C0007" w:rsidP="002C0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Challenge methodology</w:t>
      </w:r>
    </w:p>
    <w:p w:rsidR="002C0007" w:rsidRPr="002C0007" w:rsidRDefault="002C0007" w:rsidP="002C0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Review assumptions</w:t>
      </w:r>
    </w:p>
    <w:p w:rsidR="002C0007" w:rsidRPr="002C0007" w:rsidRDefault="002C0007" w:rsidP="002C0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Verify monitoring outputs</w:t>
      </w:r>
    </w:p>
    <w:p w:rsidR="002C0007" w:rsidRPr="002C0007" w:rsidRDefault="002C0007" w:rsidP="002C0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Assess model fitness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C0007">
        <w:rPr>
          <w:rFonts w:ascii="Times New Roman" w:eastAsia="Times New Roman" w:hAnsi="Times New Roman" w:cs="Times New Roman"/>
          <w:b/>
          <w:bCs/>
          <w:sz w:val="28"/>
          <w:szCs w:val="28"/>
        </w:rPr>
        <w:t>Governance Committee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C0007" w:rsidRPr="002C0007" w:rsidRDefault="002C0007" w:rsidP="002C0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Materiality review</w:t>
      </w:r>
    </w:p>
    <w:p w:rsidR="002C0007" w:rsidRPr="002C0007" w:rsidRDefault="002C0007" w:rsidP="002C0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Impairment determination</w:t>
      </w:r>
    </w:p>
    <w:p w:rsidR="002C0007" w:rsidRPr="002C0007" w:rsidRDefault="002C0007" w:rsidP="002C0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Recalibration approval</w:t>
      </w:r>
    </w:p>
    <w:p w:rsidR="002C0007" w:rsidRPr="002C0007" w:rsidRDefault="002C0007" w:rsidP="002C0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Model approval decisions</w:t>
      </w:r>
    </w:p>
    <w:p w:rsidR="006A3881" w:rsidRDefault="002C0007" w:rsidP="006A38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 Monitoring Thresholds</w:t>
      </w:r>
    </w:p>
    <w:p w:rsidR="006A3881" w:rsidRDefault="006A3881" w:rsidP="006A388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2C0007" w:rsidRDefault="002C0007" w:rsidP="006A388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C0007">
        <w:rPr>
          <w:rFonts w:ascii="Times New Roman" w:eastAsia="Times New Roman" w:hAnsi="Times New Roman" w:cs="Times New Roman"/>
          <w:b/>
          <w:bCs/>
          <w:sz w:val="28"/>
          <w:szCs w:val="28"/>
        </w:rPr>
        <w:t>PSI Thresholds</w:t>
      </w:r>
    </w:p>
    <w:p w:rsidR="006A3881" w:rsidRPr="002C0007" w:rsidRDefault="006A3881" w:rsidP="006A388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796"/>
      </w:tblGrid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PSI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&lt;0.10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0.10-0.25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Drift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&gt;0.25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Significant Drift</w:t>
            </w:r>
          </w:p>
        </w:tc>
      </w:tr>
    </w:tbl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sz w:val="32"/>
          <w:szCs w:val="32"/>
        </w:rPr>
        <w:t>PD Drift 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216"/>
      </w:tblGrid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Drift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&lt;10%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10%-25%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&gt;25%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Escalation</w:t>
            </w:r>
          </w:p>
        </w:tc>
      </w:tr>
    </w:tbl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sz w:val="32"/>
          <w:szCs w:val="32"/>
        </w:rPr>
        <w:t>ECL Drift Thresholds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216"/>
      </w:tblGrid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Drift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&lt;10%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10%-25%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</w:tr>
      <w:tr w:rsidR="002C0007" w:rsidRPr="002C0007" w:rsidTr="006A3881"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&gt;25%</w:t>
            </w:r>
          </w:p>
        </w:tc>
        <w:tc>
          <w:tcPr>
            <w:tcW w:w="0" w:type="auto"/>
            <w:hideMark/>
          </w:tcPr>
          <w:p w:rsidR="002C0007" w:rsidRPr="002C0007" w:rsidRDefault="002C0007" w:rsidP="002C00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0007">
              <w:rPr>
                <w:rFonts w:ascii="Times New Roman" w:eastAsia="Times New Roman" w:hAnsi="Times New Roman" w:cs="Times New Roman"/>
                <w:sz w:val="24"/>
                <w:szCs w:val="24"/>
              </w:rPr>
              <w:t>Escalation</w:t>
            </w:r>
          </w:p>
        </w:tc>
      </w:tr>
    </w:tbl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 Materiality Assessment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A monitoring breach does not automatically imply model impairment.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Materiality assessment considers:</w:t>
      </w:r>
    </w:p>
    <w:p w:rsidR="002C0007" w:rsidRPr="002C0007" w:rsidRDefault="002C0007" w:rsidP="002C0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Magnitude of deterioration</w:t>
      </w:r>
    </w:p>
    <w:p w:rsidR="002C0007" w:rsidRPr="002C0007" w:rsidRDefault="002C0007" w:rsidP="002C0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Persistence of deterioration</w:t>
      </w:r>
    </w:p>
    <w:p w:rsidR="002C0007" w:rsidRPr="002C0007" w:rsidRDefault="002C0007" w:rsidP="002C0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Impact on ECL</w:t>
      </w:r>
    </w:p>
    <w:p w:rsidR="002C0007" w:rsidRPr="002C0007" w:rsidRDefault="002C0007" w:rsidP="002C0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Impact on provisioning</w:t>
      </w:r>
    </w:p>
    <w:p w:rsidR="002C0007" w:rsidRPr="002C0007" w:rsidRDefault="002C0007" w:rsidP="002C0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Regulatory significance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 Model Impairment Criteria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Potential impairment indicators include:</w:t>
      </w:r>
    </w:p>
    <w:p w:rsidR="002C0007" w:rsidRPr="002C0007" w:rsidRDefault="002C0007" w:rsidP="002C0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PSI &gt; 0.25</w:t>
      </w:r>
    </w:p>
    <w:p w:rsidR="002C0007" w:rsidRPr="002C0007" w:rsidRDefault="002C0007" w:rsidP="002C0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Significant calibration deterioration</w:t>
      </w:r>
    </w:p>
    <w:p w:rsidR="002C0007" w:rsidRPr="002C0007" w:rsidRDefault="002C0007" w:rsidP="002C0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Persistent threshold breaches</w:t>
      </w:r>
    </w:p>
    <w:p w:rsidR="002C0007" w:rsidRPr="002C0007" w:rsidRDefault="002C0007" w:rsidP="002C0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Unstable stage migration</w:t>
      </w:r>
    </w:p>
    <w:p w:rsidR="002C0007" w:rsidRPr="002C0007" w:rsidRDefault="002C0007" w:rsidP="002C0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Significant ECL volatility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8. Recalibration Triggers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Recalibration review may be initiated when:</w:t>
      </w:r>
    </w:p>
    <w:p w:rsidR="002C0007" w:rsidRPr="002C0007" w:rsidRDefault="002C0007" w:rsidP="002C0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Material drift persists</w:t>
      </w:r>
    </w:p>
    <w:p w:rsidR="002C0007" w:rsidRPr="002C0007" w:rsidRDefault="002C0007" w:rsidP="002C0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Calibration bias becomes significant</w:t>
      </w:r>
    </w:p>
    <w:p w:rsidR="002C0007" w:rsidRPr="002C0007" w:rsidRDefault="002C0007" w:rsidP="002C0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Portfolio composition materially changes</w:t>
      </w:r>
    </w:p>
    <w:p w:rsidR="002C0007" w:rsidRPr="002C0007" w:rsidRDefault="002C0007" w:rsidP="002C00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Economic conditions materially change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9. Escalation Framework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Threshold Breach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Investigation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Materiality Assessment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Governance Review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Recalibration Decision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2C0007">
        <w:rPr>
          <w:rFonts w:ascii="Times New Roman" w:eastAsia="Times New Roman" w:hAnsi="Times New Roman" w:cs="Times New Roman"/>
          <w:sz w:val="24"/>
          <w:szCs w:val="24"/>
        </w:rPr>
        <w:br/>
        <w:t>Redevelopment (if required)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10. SR 11-7 Alignment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The framework aligns with key SR 11-7 principles:</w:t>
      </w:r>
    </w:p>
    <w:p w:rsidR="002C0007" w:rsidRPr="002C0007" w:rsidRDefault="002C0007" w:rsidP="002C0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Model inventory</w:t>
      </w:r>
    </w:p>
    <w:p w:rsidR="002C0007" w:rsidRPr="002C0007" w:rsidRDefault="002C0007" w:rsidP="002C0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Independent validation</w:t>
      </w:r>
    </w:p>
    <w:p w:rsidR="002C0007" w:rsidRPr="002C0007" w:rsidRDefault="002C0007" w:rsidP="002C0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Monitoring framework</w:t>
      </w:r>
    </w:p>
    <w:p w:rsidR="002C0007" w:rsidRPr="002C0007" w:rsidRDefault="002C0007" w:rsidP="002C0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Documentation standards</w:t>
      </w:r>
    </w:p>
    <w:p w:rsidR="002C0007" w:rsidRPr="002C0007" w:rsidRDefault="002C0007" w:rsidP="002C0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Governance controls</w:t>
      </w:r>
    </w:p>
    <w:p w:rsidR="002C0007" w:rsidRPr="002C0007" w:rsidRDefault="002C0007" w:rsidP="002C00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Ongoing performance review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A3881" w:rsidRDefault="006A3881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A3881" w:rsidRDefault="006A3881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11. Residual Risks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Known residual risks include:</w:t>
      </w:r>
    </w:p>
    <w:p w:rsidR="002C0007" w:rsidRPr="002C0007" w:rsidRDefault="002C0007" w:rsidP="002C00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Simplified macroeconomic overlays</w:t>
      </w:r>
    </w:p>
    <w:p w:rsidR="002C0007" w:rsidRPr="002C0007" w:rsidRDefault="002C0007" w:rsidP="002C00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Simplified lifetime PD estimation</w:t>
      </w:r>
    </w:p>
    <w:p w:rsidR="002C0007" w:rsidRPr="002C0007" w:rsidRDefault="002C0007" w:rsidP="002C00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Limited scenario weighting sophistication</w:t>
      </w:r>
    </w:p>
    <w:p w:rsidR="002C0007" w:rsidRPr="002C0007" w:rsidRDefault="002C0007" w:rsidP="002C00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No production deployment validation</w:t>
      </w:r>
      <w:bookmarkStart w:id="0" w:name="_GoBack"/>
      <w:bookmarkEnd w:id="0"/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These risks are documented and accepted within the scope of the framework.</w:t>
      </w:r>
    </w:p>
    <w:p w:rsidR="002C0007" w:rsidRPr="002C0007" w:rsidRDefault="002C0007" w:rsidP="002C0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C0007" w:rsidRPr="002C0007" w:rsidRDefault="002C0007" w:rsidP="002C0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2C000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12. Governance Conclusion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The IFRS 9 framework demonstrates appropriate governance, monitoring, validation, and escalation controls consistent with industry model risk management expectations.</w:t>
      </w:r>
    </w:p>
    <w:p w:rsidR="002C0007" w:rsidRPr="002C0007" w:rsidRDefault="002C0007" w:rsidP="002C0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007">
        <w:rPr>
          <w:rFonts w:ascii="Times New Roman" w:eastAsia="Times New Roman" w:hAnsi="Times New Roman" w:cs="Times New Roman"/>
          <w:sz w:val="24"/>
          <w:szCs w:val="24"/>
        </w:rPr>
        <w:t>The framework is considered suitable for portfolio demonstration, interview discussion, and model governance illustration purposes.</w:t>
      </w:r>
    </w:p>
    <w:p w:rsidR="00B94511" w:rsidRDefault="00B94511"/>
    <w:sectPr w:rsidR="00B94511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B528A"/>
    <w:multiLevelType w:val="multilevel"/>
    <w:tmpl w:val="729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665433"/>
    <w:multiLevelType w:val="multilevel"/>
    <w:tmpl w:val="DBC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3F721A"/>
    <w:multiLevelType w:val="multilevel"/>
    <w:tmpl w:val="4C1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AB76FC"/>
    <w:multiLevelType w:val="multilevel"/>
    <w:tmpl w:val="F24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946B65"/>
    <w:multiLevelType w:val="multilevel"/>
    <w:tmpl w:val="C08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0971BF"/>
    <w:multiLevelType w:val="multilevel"/>
    <w:tmpl w:val="061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577092"/>
    <w:multiLevelType w:val="multilevel"/>
    <w:tmpl w:val="A4A8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48707F"/>
    <w:multiLevelType w:val="multilevel"/>
    <w:tmpl w:val="147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1D49EF"/>
    <w:multiLevelType w:val="multilevel"/>
    <w:tmpl w:val="56A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007"/>
    <w:rsid w:val="002C0007"/>
    <w:rsid w:val="006A3881"/>
    <w:rsid w:val="009C15F0"/>
    <w:rsid w:val="00B9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0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00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0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00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C0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A38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0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00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0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00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C0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A38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2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2026-05-30T07:28:00Z</dcterms:created>
  <dcterms:modified xsi:type="dcterms:W3CDTF">2026-05-30T07:33:00Z</dcterms:modified>
</cp:coreProperties>
</file>